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AD" w:rsidRPr="00237EC9" w:rsidRDefault="00EB4CAD" w:rsidP="00686EF1">
      <w:pPr>
        <w:spacing w:after="0" w:line="240" w:lineRule="auto"/>
        <w:ind w:left="6372" w:firstLine="708"/>
        <w:jc w:val="right"/>
        <w:rPr>
          <w:b/>
          <w:szCs w:val="24"/>
        </w:rPr>
      </w:pPr>
      <w:bookmarkStart w:id="0" w:name="_GoBack"/>
      <w:r w:rsidRPr="00237EC9">
        <w:rPr>
          <w:b/>
          <w:szCs w:val="24"/>
        </w:rPr>
        <w:t>Додаток №4</w:t>
      </w:r>
    </w:p>
    <w:p w:rsidR="00EB4CAD" w:rsidRPr="00237EC9" w:rsidRDefault="00EB4CAD" w:rsidP="00686EF1">
      <w:pPr>
        <w:pStyle w:val="a4"/>
        <w:ind w:firstLine="6096"/>
        <w:jc w:val="right"/>
        <w:rPr>
          <w:b/>
          <w:sz w:val="24"/>
        </w:rPr>
      </w:pPr>
      <w:r w:rsidRPr="00237EC9">
        <w:rPr>
          <w:b/>
          <w:sz w:val="24"/>
        </w:rPr>
        <w:t>до рішення міської ради</w:t>
      </w:r>
    </w:p>
    <w:p w:rsidR="00EB4CAD" w:rsidRPr="00237EC9" w:rsidRDefault="00EB4CAD" w:rsidP="00686EF1">
      <w:pPr>
        <w:tabs>
          <w:tab w:val="left" w:pos="5940"/>
        </w:tabs>
        <w:spacing w:after="0" w:line="240" w:lineRule="auto"/>
        <w:ind w:left="6379"/>
        <w:jc w:val="right"/>
        <w:rPr>
          <w:b/>
          <w:szCs w:val="24"/>
        </w:rPr>
      </w:pPr>
      <w:r>
        <w:rPr>
          <w:b/>
          <w:szCs w:val="24"/>
        </w:rPr>
        <w:t>від 25.10.2019р</w:t>
      </w:r>
      <w:bookmarkEnd w:id="0"/>
      <w:r>
        <w:rPr>
          <w:b/>
          <w:szCs w:val="24"/>
        </w:rPr>
        <w:t>. №7/39/19</w:t>
      </w:r>
    </w:p>
    <w:p w:rsidR="00EB4CAD" w:rsidRPr="00237EC9" w:rsidRDefault="00EB4CAD" w:rsidP="00EB4CAD">
      <w:pPr>
        <w:pStyle w:val="a3"/>
        <w:jc w:val="center"/>
        <w:rPr>
          <w:rFonts w:ascii="Times New Roman" w:hAnsi="Times New Roman"/>
          <w:b/>
          <w:sz w:val="24"/>
          <w:szCs w:val="24"/>
          <w:lang w:val="uk-UA"/>
        </w:rPr>
      </w:pPr>
    </w:p>
    <w:p w:rsidR="00EB4CAD" w:rsidRPr="00237EC9" w:rsidRDefault="00EB4CAD" w:rsidP="00EB4CAD">
      <w:pPr>
        <w:pStyle w:val="a3"/>
        <w:jc w:val="center"/>
        <w:rPr>
          <w:rFonts w:ascii="Times New Roman" w:hAnsi="Times New Roman"/>
          <w:b/>
          <w:sz w:val="24"/>
          <w:szCs w:val="24"/>
          <w:lang w:val="uk-UA"/>
        </w:rPr>
      </w:pPr>
      <w:r w:rsidRPr="00237EC9">
        <w:rPr>
          <w:rFonts w:ascii="Times New Roman" w:hAnsi="Times New Roman"/>
          <w:b/>
          <w:sz w:val="24"/>
          <w:szCs w:val="24"/>
          <w:lang w:val="uk-UA"/>
        </w:rPr>
        <w:t>ПОЛОЖЕННЯ</w:t>
      </w:r>
    </w:p>
    <w:p w:rsidR="00EB4CAD" w:rsidRPr="00237EC9" w:rsidRDefault="00EB4CAD" w:rsidP="00EB4CAD">
      <w:pPr>
        <w:pStyle w:val="a3"/>
        <w:jc w:val="center"/>
        <w:rPr>
          <w:rFonts w:ascii="Times New Roman" w:hAnsi="Times New Roman"/>
          <w:b/>
          <w:sz w:val="24"/>
          <w:szCs w:val="24"/>
          <w:lang w:val="uk-UA"/>
        </w:rPr>
      </w:pPr>
      <w:r w:rsidRPr="00237EC9">
        <w:rPr>
          <w:rFonts w:ascii="Times New Roman" w:hAnsi="Times New Roman"/>
          <w:b/>
          <w:sz w:val="24"/>
          <w:szCs w:val="24"/>
          <w:lang w:val="uk-UA"/>
        </w:rPr>
        <w:t>про управління економіки, промисловості та праці</w:t>
      </w:r>
    </w:p>
    <w:p w:rsidR="00EB4CAD" w:rsidRPr="00237EC9" w:rsidRDefault="00EB4CAD" w:rsidP="00EB4CAD">
      <w:pPr>
        <w:pStyle w:val="a3"/>
        <w:ind w:left="-567"/>
        <w:jc w:val="both"/>
        <w:rPr>
          <w:rFonts w:ascii="Times New Roman" w:hAnsi="Times New Roman"/>
          <w:b/>
          <w:sz w:val="24"/>
          <w:szCs w:val="24"/>
          <w:lang w:val="uk-UA"/>
        </w:rPr>
      </w:pPr>
      <w:r w:rsidRPr="00237EC9">
        <w:rPr>
          <w:rFonts w:ascii="Times New Roman" w:hAnsi="Times New Roman"/>
          <w:b/>
          <w:sz w:val="24"/>
          <w:szCs w:val="24"/>
          <w:lang w:val="uk-UA"/>
        </w:rPr>
        <w:t>1. Загальні положення</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lang w:val="uk-UA"/>
        </w:rPr>
        <w:t>1.1. Управління економіки, промисловості та праці (надалі-Управління) є виконавчим органом Тернопільської міської ради без статусу юридичної особи, утворюється Тернопільською міською радою, їй підзвітне і підконтрольне, підпорядковане виконавчому комітету та міському голові.</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Діяльність Управління координує заступник міського голови з питань діяльності виконавчих органів ради.</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r w:rsidRPr="00237EC9">
        <w:rPr>
          <w:rFonts w:ascii="Times New Roman" w:hAnsi="Times New Roman"/>
          <w:sz w:val="24"/>
          <w:szCs w:val="24"/>
          <w:lang w:val="uk-UA"/>
        </w:rPr>
        <w:t xml:space="preserve">Стандартом </w:t>
      </w:r>
      <w:r w:rsidRPr="00237EC9">
        <w:rPr>
          <w:rFonts w:ascii="Times New Roman" w:hAnsi="Times New Roman"/>
          <w:sz w:val="24"/>
          <w:szCs w:val="24"/>
        </w:rPr>
        <w:t xml:space="preserve">ISO 9001, Настановою </w:t>
      </w:r>
      <w:r w:rsidRPr="00237EC9">
        <w:rPr>
          <w:rFonts w:ascii="Times New Roman" w:hAnsi="Times New Roman"/>
          <w:sz w:val="24"/>
          <w:szCs w:val="24"/>
          <w:lang w:val="uk-UA"/>
        </w:rPr>
        <w:t xml:space="preserve">та Політикою у сфері </w:t>
      </w:r>
      <w:r w:rsidRPr="00237EC9">
        <w:rPr>
          <w:rFonts w:ascii="Times New Roman" w:hAnsi="Times New Roman"/>
          <w:sz w:val="24"/>
          <w:szCs w:val="24"/>
        </w:rPr>
        <w:t>якості та цим Положенням.</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1.3. Місцезнаходження управління: м. Тернопіль, вул. Коперніка, 1.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1.4.Управління має печатку із зображенням Державного Герба України і своїм найменуванням, інші необхідні штампи, бланки, реквізити.</w:t>
      </w:r>
    </w:p>
    <w:p w:rsidR="00EB4CAD" w:rsidRPr="00237EC9" w:rsidRDefault="00EB4CAD" w:rsidP="00EB4CAD">
      <w:pPr>
        <w:pStyle w:val="a3"/>
        <w:ind w:left="-567"/>
        <w:jc w:val="both"/>
        <w:rPr>
          <w:rFonts w:ascii="Times New Roman" w:hAnsi="Times New Roman"/>
          <w:sz w:val="24"/>
          <w:szCs w:val="24"/>
        </w:rPr>
      </w:pP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2. Завдання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2.1.1. Основним завданням управління є реалізація повноважень виконавчих органів міської ради в сфері соціально – економічного розвитку Тернопільської міської територіальної громади (надалі – громади), створення сприятливих умов для розвитку промислового виробництва, малого та середнього бізнесу, збільшення надходжень до бюджету,забезпечення здійснення контролю за дотриманням законодавства про працю, накладення штрафів за порушення законодавства про працю та вчинення інших дій спрямованих на забезпечення наданих повноважень.</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2.1.2. Координує забезпечення збалансованого економічного та соціального розвитку громади, ефективного використання природних, трудових, матеріальних і фінансових ресурсів.</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2.1.3. Розробляє прогнози комплексного економічного і соціального розвитку громади, сприяє створенню умов для ефективної роботи підприємств громади всіх форм власності.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2.1.4. Здійснює інформаційно-аналітичне забезпечення інвестиційної політики в громаді, розробляє та обґрунтовує заходи, спрямовані на залучення іноземних інвестицій та кредитних ресурсів для розвитку економічного потенціалу  громади.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2.1.5. Забезпечує реалізацію державної політики у сфері закупівель товарів, робіт і послуг за рахунок державних коштів та коштів  бюджету громади.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2.1.6. Забезпечує виконання державної, регіональної та програм громади  з питань розвитку малого бізнесу.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2.1.7. Готує проекти розпорядчих актів міської ради, її виконавчих органів і міського голови з питань, які відносяться до компетенції управління.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2.1.8. Здійснює розгляд звернень  фізичних та юридичних осіб та прийом фізичних та юридичних осіб з питань, що відносяться до компетенції управління за встановленим графіком.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2.1.9. Здійснює інші повноваження, покладені на управління відповідно до чинного законодавства. </w:t>
      </w:r>
    </w:p>
    <w:p w:rsidR="00EB4CAD" w:rsidRPr="00237EC9" w:rsidRDefault="00EB4CAD" w:rsidP="00EB4CAD">
      <w:pPr>
        <w:pStyle w:val="a3"/>
        <w:ind w:left="-567"/>
        <w:jc w:val="both"/>
        <w:rPr>
          <w:rFonts w:ascii="Times New Roman" w:hAnsi="Times New Roman"/>
          <w:sz w:val="24"/>
          <w:szCs w:val="24"/>
        </w:rPr>
      </w:pP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3. Функції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Відповідно до покладених на нього завдань управління реалізує наступні функції: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 Здійснює аналіз показників економічного і соціального розвитку громади.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3.2. Здійснює обґрунтування пріоритетів і цілей економічного і соціального розвитку громади, розробляє прогнозні показники на коротко - та довгостроковий період та моніторинг виконання плану соціально-економічного розвитку громади.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3.3. Розробляє проект програми економічного і соціального розвитку на поточний рік, подає на погодження виконкому міської ради, затвердження міською радою, аналізує виконання та подає міській раді звіт про хід і результати виконання програми.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lastRenderedPageBreak/>
        <w:t xml:space="preserve">3.4. Подає до обласної ради пропозиції до програми економічного і соціального розвитку області, а також до планів підприємств, установ та організацій незалежно від форм власності, розташованих в громаді, з питань, пов’язаних з соціально-економічним розвитком, задоволенням потреб населення.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3.5. Здійснює аналіз стану промислового виробництва, готує аналітичні матеріали, виявляє поточні проблеми та сприяє їх вирішенню.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3.6. Здійснює щоквартальний моніторинг обсягів реалізації промислової продукції з метою недопущення спаду виробництва.</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3.7. Проводить інспекційні</w:t>
      </w:r>
      <w:r w:rsidRPr="00237EC9">
        <w:rPr>
          <w:rFonts w:ascii="Times New Roman" w:hAnsi="Times New Roman"/>
          <w:sz w:val="24"/>
          <w:szCs w:val="24"/>
          <w:lang w:val="uk-UA"/>
        </w:rPr>
        <w:t xml:space="preserve"> </w:t>
      </w:r>
      <w:r w:rsidRPr="00237EC9">
        <w:rPr>
          <w:rFonts w:ascii="Times New Roman" w:hAnsi="Times New Roman"/>
          <w:sz w:val="24"/>
          <w:szCs w:val="24"/>
        </w:rPr>
        <w:t>відвідування та невиїзні інспектування з питань своєчасної та у повному обсязі оплати праці, додержання мінімальних гарантій в оплаті праці, оформлення трудових відносин.</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3.8. Складає та видає у випадках передбачених законодавством, акти, приписи, довідки, вимоги, протоколи про адміністративні правопорушення.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3.9. Складає у порядку, визначеному законодавством постанови про накладення штрафів за порушення законодавства про працю та вчиняє інші дії, спрямовані на забезпечення наданих повноважень.</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3.10. Аналізує стан та тенденції додержання законодавства про працю у межах громади та вживає заходів до усунення недоліків.</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3.11. Здійснює реєстрацію колективних договорів, змін і доповнень до них.</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3.12. Проводить аналіз виконання показників роздрібного товарообігу та платних послуг, аналізує стан споживчого ринку громади.</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3.13. Підтримує та оновлює інвестиційний портал .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3.14. Здійснює аналіз введення в дію житла та обсягів виконання будівельних робіт.</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3.15. Готує та надає інформацію стосовно закупівель товарів, робіт, послуг за запитом контролюючих органів та керівництва виконкому міської ради.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3.16. Вносить пропозиції щодо внесення змін та доповнень до законодавства з питань закупівель.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3.17. Розробляє проект Програми підтримки малого та середнього підприємництва м. Тернополя, організовує її виконання та подає раді звіт про хід і результати виконання програми.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3.18. Здійснює аналіз розвитку малого підприємництва в громаді.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3.19. Бере участь у розробці пропозицій про створення і функціонування інфраструктури підтримки малого бізнесу.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3.20. Сприяє впровадженню сучасних кредитно-інвестиційних механізмів розвитку малого підприємництва.</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3.21. Визначає умови щодо поліпшення підприємницького клімату в громаді спільно з громадськими об’єднаннями підприємців.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3.22. Надає пропозиції щодо здійснення інформаційної та ресурсної підтримки підприємництва.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3.23. Надає методичну та організаційну допомогу по розробці, написанню та втіленню грантових програм.</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3.24. Забезпечує нагляд за реалізацією проектів за кошти фонду регіонального розвитку та коштів міжнародних інституцій.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3.25. Координує та надає методичну допомогу виконавчим органам ради щодо складання міських цільових програм, узагальнення інформації про їх виконання.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3.26. Аналізує існуючий стан забезпечення громади енергоресурсами.</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3.27. Здійснює інші функції у межах своєї компетенції, які випливають із завдань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3.28. Готує та подає в установленому порядку аналітичні матеріали з питань, що належать до повноважень управління,  міському голові.</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3.29. Управління організовує роботу: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міських комісій, робочих груп з питань, що відносяться до повноважень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інформаційно-консультаційного центру підтримки підприємництва;</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 з підготовки науково-практичних конференцій, семінарів, нарад, інших заходів, що входять до компетенції управління;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 по залученню підприємств, установ та організацій до участі у виставках, ярмарках, конкурсах, форумах різних рівнів.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3.30. Управління при виконанні покладених на нього завдань взаємодіє з органами виконавчої влади, управліннями та іншими виконавчими органами Тернопільської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w:t>
      </w: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4. Права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Управління має право: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4.1. Залучати за узгодженням з керівником виконавчого органу міської ради на договірних (громадських) засадах науково-дослідні організації, вищі учбові заклади та інші установи, підприємства, громадські об’єднання, а також відповідних спеціалістів для підготовки нормативних і інших документів, а також для розробки і здійснення заходів, які проводяться управлінням відповідно до покладених на нього завдань.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4.2. Скликати у встановленому порядку наради з питань, що входять до компетенції управління.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 Посадові особи, що мають посвідчення інспектора праці, для виконання покладених на управління завдань мають право:</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4.3.1. під час проведення інспекційних відвідувань з питань виявлення неоформлених трудових відносин за наявності підстав, визначених законодавством,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4.3.2. ознайомлюватися з будь-якими книгами, реєстрами та документами, ведення яких передбачено законодавством про працю, що містять інформацію/відомості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4.3.3. 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4.3.4. за наявності ознак кримінального правопорушення та/або створення загрози безпеці інспектора праці залучати працівників правоохоронних органів;</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4.3.5. на надання робочого місця з можливістю ведення конфіденційної розмови з працівниками щодо предмета інспекційного відвідування;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4.3.6. фіксувати проведення інспекційного відвідування з питань виявлення неоформлених трудових відносин засобами аудіо-, фото- та відеотехніки;</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4.3.7. отримувати від державних органів інформацію, необхідну для проведення інспекційного відвідування, невиїзного інспектування.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4.4. В установленому законодавством порядку отримувати від інших 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управління завдань.</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4.5. Інформувати міського голову у разі покладання на управління виконання роботи, що не відноситься до функцій управління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4.6.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4.7. Здійснювати інші повноваження у межах своєї компетенції, які випливають із завдань управління.</w:t>
      </w: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5. Керівництво управлінням.</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Управління очолює начальник, який призначається на посаду і звільняється з посади міським головою відповідно до чинного законодавства.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Начальник управління: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5.1. Здійснює керівництво діяльністю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5.2.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 </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rPr>
        <w:t xml:space="preserve">5.3. Видає в межах своєї компетенції накази, контролює їх виконання, аналізує виконання завдань та функцій покладених на підрозділ, забезпечує дотримання вимог </w:t>
      </w:r>
      <w:r w:rsidRPr="00237EC9">
        <w:rPr>
          <w:rFonts w:ascii="Times New Roman" w:hAnsi="Times New Roman"/>
          <w:sz w:val="24"/>
          <w:szCs w:val="24"/>
          <w:lang w:val="uk-UA"/>
        </w:rPr>
        <w:t>С</w:t>
      </w:r>
      <w:r w:rsidRPr="00237EC9">
        <w:rPr>
          <w:rFonts w:ascii="Times New Roman" w:hAnsi="Times New Roman"/>
          <w:sz w:val="24"/>
          <w:szCs w:val="24"/>
        </w:rPr>
        <w:t>тандарт</w:t>
      </w:r>
      <w:r w:rsidRPr="00237EC9">
        <w:rPr>
          <w:rFonts w:ascii="Times New Roman" w:hAnsi="Times New Roman"/>
          <w:sz w:val="24"/>
          <w:szCs w:val="24"/>
          <w:lang w:val="uk-UA"/>
        </w:rPr>
        <w:t>у</w:t>
      </w:r>
      <w:r w:rsidRPr="00237EC9">
        <w:rPr>
          <w:rFonts w:ascii="Times New Roman" w:hAnsi="Times New Roman"/>
          <w:sz w:val="24"/>
          <w:szCs w:val="24"/>
        </w:rPr>
        <w:t xml:space="preserve"> ISO 900</w:t>
      </w:r>
      <w:r w:rsidRPr="00237EC9">
        <w:rPr>
          <w:rFonts w:ascii="Times New Roman" w:hAnsi="Times New Roman"/>
          <w:sz w:val="24"/>
          <w:szCs w:val="24"/>
          <w:lang w:val="uk-UA"/>
        </w:rPr>
        <w:t>1</w:t>
      </w:r>
      <w:r w:rsidRPr="00237EC9">
        <w:rPr>
          <w:rFonts w:ascii="Times New Roman" w:hAnsi="Times New Roman"/>
          <w:sz w:val="24"/>
          <w:szCs w:val="24"/>
        </w:rPr>
        <w:t xml:space="preserve"> у сфері управління</w:t>
      </w:r>
      <w:r w:rsidRPr="00237EC9">
        <w:rPr>
          <w:rFonts w:ascii="Times New Roman" w:hAnsi="Times New Roman"/>
          <w:sz w:val="24"/>
          <w:szCs w:val="24"/>
          <w:lang w:val="uk-UA"/>
        </w:rPr>
        <w:t>.</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lang w:val="uk-UA"/>
        </w:rPr>
        <w:t xml:space="preserve">5.4 Підвищує свій кваліфікаційний рівень та проводить роботу, пов’язану із підвищенням рівня професійних знань працівників; розподіляє посадові обов’язки між працівниками управління; затверджує посадові інструкції працівників управління; координує і контролює виконання посадових обов’язків працівниками управління. </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rPr>
        <w:t xml:space="preserve">5.5. Проводить особистий прийом громадян, розглядає їх пропозиції, заяви, скарги з питань віднесених до компетенції управління </w:t>
      </w:r>
      <w:r w:rsidRPr="00237EC9">
        <w:rPr>
          <w:rFonts w:ascii="Times New Roman" w:hAnsi="Times New Roman"/>
          <w:sz w:val="24"/>
          <w:szCs w:val="24"/>
          <w:lang w:val="uk-UA"/>
        </w:rPr>
        <w:t>.</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lang w:val="uk-UA"/>
        </w:rPr>
        <w:t xml:space="preserve">5.6. Організовує виконання завдань управління, рішень виконавчого комітету та міської ради, розпоряджень, доручень, наказів міського голови, профільного заступника міського голови. </w:t>
      </w:r>
      <w:r w:rsidRPr="00237EC9">
        <w:rPr>
          <w:rFonts w:ascii="Times New Roman" w:hAnsi="Times New Roman"/>
          <w:sz w:val="24"/>
          <w:szCs w:val="24"/>
        </w:rPr>
        <w:t xml:space="preserve">Звітує про роботу управління перед міською радою та виконавчим комітетом.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5.7. Організовує підготовку проектів рішень міської ради та виконкому міської ради, розпоряджень Тернопільського міського голови з питань, віднесених до компетенції Управління;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5.8. Інформує територіальну громаду  про виконання рішень міської ради, виконавчого комітету, розпоряджень міського голови та про інші питання відповідно до компетенції.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5.9. Начальник управління без доручення діє від імені управління, представляє його інтереси в органах місцевого самоврядування, інших організаціях, у відносинах з юридичними особами та громадянами. </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rPr>
        <w:t xml:space="preserve">5.10. </w:t>
      </w:r>
      <w:r w:rsidRPr="00237EC9">
        <w:rPr>
          <w:rFonts w:ascii="Times New Roman" w:hAnsi="Times New Roman"/>
          <w:sz w:val="24"/>
          <w:szCs w:val="24"/>
          <w:lang w:val="uk-UA"/>
        </w:rPr>
        <w:t>Не допускає в своїй діяльності порушення вимог антикорупційного законодавства.</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5.11. Здійснює інші повноваження, покладені на нього відповідно до діючого законодавства в межах компетенції управління. </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rPr>
        <w:t>5.12. Кваліфікаційні вимоги</w:t>
      </w:r>
      <w:r w:rsidRPr="00237EC9">
        <w:rPr>
          <w:rFonts w:ascii="Times New Roman" w:hAnsi="Times New Roman"/>
          <w:sz w:val="24"/>
          <w:szCs w:val="24"/>
          <w:lang w:val="uk-UA"/>
        </w:rPr>
        <w:t>.</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На посаду начальника може бути призначена особа, яка має вищу освіту за освітньо-кваліфікаційним рівнем магістра, спеціаліста.</w:t>
      </w:r>
    </w:p>
    <w:p w:rsidR="00EB4CAD" w:rsidRPr="00237EC9" w:rsidRDefault="00EB4CAD" w:rsidP="00EB4CAD">
      <w:pPr>
        <w:pStyle w:val="a3"/>
        <w:ind w:left="-567"/>
        <w:jc w:val="both"/>
        <w:rPr>
          <w:rFonts w:ascii="Times New Roman" w:hAnsi="Times New Roman"/>
          <w:sz w:val="24"/>
          <w:szCs w:val="24"/>
          <w:lang w:val="uk-UA"/>
        </w:rPr>
      </w:pPr>
      <w:r w:rsidRPr="00237EC9">
        <w:rPr>
          <w:rFonts w:ascii="Times New Roman" w:hAnsi="Times New Roman"/>
          <w:sz w:val="24"/>
          <w:szCs w:val="24"/>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lang w:val="uk-UA"/>
        </w:rPr>
        <w:t>5.13. У випадку відсутності начальника його обов’</w:t>
      </w:r>
      <w:r w:rsidRPr="00237EC9">
        <w:rPr>
          <w:rFonts w:ascii="Times New Roman" w:hAnsi="Times New Roman"/>
          <w:sz w:val="24"/>
          <w:szCs w:val="24"/>
        </w:rPr>
        <w:t>язки виконує один з працівників управління, на якого покладено виконання обов’язків розпорядженням міського голови.</w:t>
      </w: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6. Відповідальність.</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Начальник та працівники управління, що вчинили правопорушення, несуть відповідальність згідно з чинним законодавством України.</w:t>
      </w:r>
    </w:p>
    <w:p w:rsidR="00EB4CAD" w:rsidRPr="00237EC9" w:rsidRDefault="00EB4CAD" w:rsidP="00EB4CAD">
      <w:pPr>
        <w:pStyle w:val="a3"/>
        <w:ind w:left="-567"/>
        <w:jc w:val="both"/>
        <w:rPr>
          <w:rFonts w:ascii="Times New Roman" w:hAnsi="Times New Roman"/>
          <w:b/>
          <w:sz w:val="24"/>
          <w:szCs w:val="24"/>
        </w:rPr>
      </w:pPr>
      <w:r w:rsidRPr="00237EC9">
        <w:rPr>
          <w:rFonts w:ascii="Times New Roman" w:hAnsi="Times New Roman"/>
          <w:b/>
          <w:sz w:val="24"/>
          <w:szCs w:val="24"/>
        </w:rPr>
        <w:t>7 .Заключні положення.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7.2. Управління утримується за рахунок коштів  бюджету громади.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Структура Управління визначається штатним розписом, який затверджується міським головою.</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 xml:space="preserve">7.3.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7.4. Зміни та доповнення до цього Положення вносяться у порядку, встановленому для його прийняття.</w:t>
      </w:r>
    </w:p>
    <w:p w:rsidR="00EB4CAD" w:rsidRPr="00237EC9" w:rsidRDefault="00EB4CAD" w:rsidP="00EB4CAD">
      <w:pPr>
        <w:pStyle w:val="a3"/>
        <w:jc w:val="both"/>
        <w:rPr>
          <w:rFonts w:ascii="Times New Roman" w:hAnsi="Times New Roman"/>
          <w:b/>
          <w:sz w:val="24"/>
          <w:szCs w:val="24"/>
        </w:rPr>
      </w:pPr>
    </w:p>
    <w:p w:rsidR="00EB4CAD" w:rsidRPr="00237EC9" w:rsidRDefault="00EB4CAD" w:rsidP="00EB4CAD">
      <w:pPr>
        <w:pStyle w:val="a3"/>
        <w:ind w:left="-567"/>
        <w:jc w:val="both"/>
        <w:rPr>
          <w:rFonts w:ascii="Times New Roman" w:hAnsi="Times New Roman"/>
          <w:sz w:val="24"/>
          <w:szCs w:val="24"/>
        </w:rPr>
      </w:pPr>
    </w:p>
    <w:p w:rsidR="00EB4CAD" w:rsidRPr="00237EC9" w:rsidRDefault="00EB4CAD" w:rsidP="00EB4CAD">
      <w:pPr>
        <w:pStyle w:val="a3"/>
        <w:ind w:left="-567"/>
        <w:jc w:val="both"/>
        <w:rPr>
          <w:rFonts w:ascii="Times New Roman" w:hAnsi="Times New Roman"/>
          <w:sz w:val="24"/>
          <w:szCs w:val="24"/>
        </w:rPr>
      </w:pPr>
      <w:r w:rsidRPr="00237EC9">
        <w:rPr>
          <w:rFonts w:ascii="Times New Roman" w:hAnsi="Times New Roman"/>
          <w:sz w:val="24"/>
          <w:szCs w:val="24"/>
        </w:rPr>
        <w:t>Міський голова</w:t>
      </w:r>
      <w:r w:rsidRPr="00237EC9">
        <w:rPr>
          <w:rFonts w:ascii="Times New Roman" w:hAnsi="Times New Roman"/>
          <w:sz w:val="24"/>
          <w:szCs w:val="24"/>
        </w:rPr>
        <w:tab/>
      </w:r>
      <w:r w:rsidRPr="00237EC9">
        <w:rPr>
          <w:rFonts w:ascii="Times New Roman" w:hAnsi="Times New Roman"/>
          <w:sz w:val="24"/>
          <w:szCs w:val="24"/>
        </w:rPr>
        <w:tab/>
      </w:r>
      <w:r w:rsidRPr="00237EC9">
        <w:rPr>
          <w:rFonts w:ascii="Times New Roman" w:hAnsi="Times New Roman"/>
          <w:sz w:val="24"/>
          <w:szCs w:val="24"/>
        </w:rPr>
        <w:tab/>
      </w:r>
      <w:r w:rsidRPr="00237EC9">
        <w:rPr>
          <w:rFonts w:ascii="Times New Roman" w:hAnsi="Times New Roman"/>
          <w:sz w:val="24"/>
          <w:szCs w:val="24"/>
        </w:rPr>
        <w:tab/>
      </w:r>
      <w:r w:rsidRPr="00237EC9">
        <w:rPr>
          <w:rFonts w:ascii="Times New Roman" w:hAnsi="Times New Roman"/>
          <w:sz w:val="24"/>
          <w:szCs w:val="24"/>
        </w:rPr>
        <w:tab/>
      </w:r>
      <w:r w:rsidRPr="00237EC9">
        <w:rPr>
          <w:rFonts w:ascii="Times New Roman" w:hAnsi="Times New Roman"/>
          <w:sz w:val="24"/>
          <w:szCs w:val="24"/>
        </w:rPr>
        <w:tab/>
      </w:r>
      <w:r w:rsidRPr="00237EC9">
        <w:rPr>
          <w:rFonts w:ascii="Times New Roman" w:hAnsi="Times New Roman"/>
          <w:sz w:val="24"/>
          <w:szCs w:val="24"/>
        </w:rPr>
        <w:tab/>
        <w:t>С.В.Надал</w:t>
      </w:r>
    </w:p>
    <w:p w:rsidR="00EB4CAD" w:rsidRPr="00237EC9" w:rsidRDefault="00EB4CAD" w:rsidP="00EB4CAD">
      <w:pPr>
        <w:pStyle w:val="a3"/>
        <w:ind w:left="-567"/>
        <w:jc w:val="both"/>
        <w:rPr>
          <w:rFonts w:ascii="Times New Roman" w:hAnsi="Times New Roman"/>
          <w:sz w:val="24"/>
          <w:szCs w:val="24"/>
        </w:rPr>
      </w:pPr>
    </w:p>
    <w:p w:rsidR="00456565" w:rsidRDefault="00456565" w:rsidP="00EB4CAD"/>
    <w:sectPr w:rsidR="00456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D0"/>
    <w:rsid w:val="00456565"/>
    <w:rsid w:val="00686EF1"/>
    <w:rsid w:val="00D90ED0"/>
    <w:rsid w:val="00EB4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BC08"/>
  <w15:chartTrackingRefBased/>
  <w15:docId w15:val="{A9FBECD0-B224-4E22-87E6-459C5F24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CAD"/>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CAD"/>
    <w:pPr>
      <w:spacing w:after="0" w:line="240" w:lineRule="auto"/>
    </w:pPr>
    <w:rPr>
      <w:rFonts w:ascii="Calibri" w:eastAsia="Times New Roman" w:hAnsi="Calibri" w:cs="Times New Roman"/>
      <w:lang w:val="ru-RU" w:eastAsia="ru-RU"/>
    </w:rPr>
  </w:style>
  <w:style w:type="paragraph" w:customStyle="1" w:styleId="a4">
    <w:basedOn w:val="a"/>
    <w:next w:val="a5"/>
    <w:link w:val="a6"/>
    <w:qFormat/>
    <w:rsid w:val="00EB4CAD"/>
    <w:pPr>
      <w:spacing w:after="0" w:line="240" w:lineRule="auto"/>
      <w:jc w:val="center"/>
    </w:pPr>
    <w:rPr>
      <w:rFonts w:eastAsia="Times New Roman" w:cstheme="minorBidi"/>
      <w:sz w:val="28"/>
      <w:szCs w:val="24"/>
    </w:rPr>
  </w:style>
  <w:style w:type="character" w:customStyle="1" w:styleId="a6">
    <w:name w:val="Название Знак"/>
    <w:basedOn w:val="a0"/>
    <w:link w:val="a4"/>
    <w:rsid w:val="00EB4CAD"/>
    <w:rPr>
      <w:rFonts w:ascii="Times New Roman" w:eastAsia="Times New Roman" w:hAnsi="Times New Roman"/>
      <w:sz w:val="28"/>
      <w:szCs w:val="24"/>
    </w:rPr>
  </w:style>
  <w:style w:type="paragraph" w:styleId="a5">
    <w:name w:val="Title"/>
    <w:basedOn w:val="a"/>
    <w:next w:val="a"/>
    <w:link w:val="a7"/>
    <w:uiPriority w:val="10"/>
    <w:qFormat/>
    <w:rsid w:val="00EB4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EB4C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8971</Words>
  <Characters>5114</Characters>
  <Application>Microsoft Office Word</Application>
  <DocSecurity>0</DocSecurity>
  <Lines>42</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4</cp:revision>
  <dcterms:created xsi:type="dcterms:W3CDTF">2019-11-27T13:13:00Z</dcterms:created>
  <dcterms:modified xsi:type="dcterms:W3CDTF">2019-11-27T13:25:00Z</dcterms:modified>
</cp:coreProperties>
</file>