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7B61" w:rsidRPr="004F6EC7" w:rsidRDefault="00EA7B61" w:rsidP="00EA7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C7">
        <w:rPr>
          <w:rFonts w:ascii="Times New Roman" w:hAnsi="Times New Roman" w:cs="Times New Roman"/>
          <w:b/>
          <w:sz w:val="28"/>
          <w:szCs w:val="28"/>
          <w:lang w:val="ru-RU"/>
        </w:rPr>
        <w:t>Звіт про виконання паспортів бюджетних програм управління транс</w:t>
      </w:r>
      <w:r w:rsidR="0009293A" w:rsidRPr="004F6EC7">
        <w:rPr>
          <w:rFonts w:ascii="Times New Roman" w:hAnsi="Times New Roman" w:cs="Times New Roman"/>
          <w:b/>
          <w:sz w:val="28"/>
          <w:szCs w:val="28"/>
          <w:lang w:val="ru-RU"/>
        </w:rPr>
        <w:t>портних мереж</w:t>
      </w:r>
      <w:r w:rsidRPr="004F6E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зв</w:t>
      </w:r>
      <w:r w:rsidR="004343C6" w:rsidRPr="004F6EC7">
        <w:rPr>
          <w:rFonts w:ascii="Times New Roman" w:hAnsi="Times New Roman" w:cs="Times New Roman"/>
          <w:b/>
          <w:sz w:val="28"/>
          <w:szCs w:val="28"/>
        </w:rPr>
        <w:t>'язку ТМР за 20</w:t>
      </w:r>
      <w:r w:rsidR="000E43F8" w:rsidRPr="004F6EC7">
        <w:rPr>
          <w:rFonts w:ascii="Times New Roman" w:hAnsi="Times New Roman" w:cs="Times New Roman"/>
          <w:b/>
          <w:sz w:val="28"/>
          <w:szCs w:val="28"/>
        </w:rPr>
        <w:t>2</w:t>
      </w:r>
      <w:r w:rsidR="00D07037" w:rsidRPr="004F6EC7">
        <w:rPr>
          <w:rFonts w:ascii="Times New Roman" w:hAnsi="Times New Roman" w:cs="Times New Roman"/>
          <w:b/>
          <w:sz w:val="28"/>
          <w:szCs w:val="28"/>
        </w:rPr>
        <w:t>2</w:t>
      </w:r>
      <w:r w:rsidRPr="004F6EC7">
        <w:rPr>
          <w:rFonts w:ascii="Times New Roman" w:hAnsi="Times New Roman" w:cs="Times New Roman"/>
          <w:b/>
          <w:sz w:val="28"/>
          <w:szCs w:val="28"/>
        </w:rPr>
        <w:t xml:space="preserve"> рік.</w:t>
      </w:r>
    </w:p>
    <w:p w:rsidR="008B5145" w:rsidRPr="00D91F8E" w:rsidRDefault="00CB053A" w:rsidP="00EA7B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C7">
        <w:rPr>
          <w:rFonts w:ascii="Times New Roman" w:hAnsi="Times New Roman" w:cs="Times New Roman"/>
          <w:sz w:val="28"/>
          <w:szCs w:val="28"/>
        </w:rPr>
        <w:t>Фінансування управління транспорт</w:t>
      </w:r>
      <w:r w:rsidR="000E43F8" w:rsidRPr="004F6EC7">
        <w:rPr>
          <w:rFonts w:ascii="Times New Roman" w:hAnsi="Times New Roman" w:cs="Times New Roman"/>
          <w:sz w:val="28"/>
          <w:szCs w:val="28"/>
        </w:rPr>
        <w:t>них мереж</w:t>
      </w:r>
      <w:r w:rsidRPr="004F6EC7">
        <w:rPr>
          <w:rFonts w:ascii="Times New Roman" w:hAnsi="Times New Roman" w:cs="Times New Roman"/>
          <w:sz w:val="28"/>
          <w:szCs w:val="28"/>
        </w:rPr>
        <w:t xml:space="preserve"> та зв'язк</w:t>
      </w:r>
      <w:r w:rsidR="004343C6" w:rsidRPr="004F6EC7">
        <w:rPr>
          <w:rFonts w:ascii="Times New Roman" w:hAnsi="Times New Roman" w:cs="Times New Roman"/>
          <w:sz w:val="28"/>
          <w:szCs w:val="28"/>
        </w:rPr>
        <w:t>у, як розпорядника коштів у 20</w:t>
      </w:r>
      <w:r w:rsidR="000E43F8" w:rsidRPr="004F6EC7">
        <w:rPr>
          <w:rFonts w:ascii="Times New Roman" w:hAnsi="Times New Roman" w:cs="Times New Roman"/>
          <w:sz w:val="28"/>
          <w:szCs w:val="28"/>
        </w:rPr>
        <w:t>2</w:t>
      </w:r>
      <w:r w:rsidR="00D07037" w:rsidRPr="004F6EC7">
        <w:rPr>
          <w:rFonts w:ascii="Times New Roman" w:hAnsi="Times New Roman" w:cs="Times New Roman"/>
          <w:sz w:val="28"/>
          <w:szCs w:val="28"/>
        </w:rPr>
        <w:t>2</w:t>
      </w:r>
      <w:r w:rsidRPr="004F6EC7">
        <w:rPr>
          <w:rFonts w:ascii="Times New Roman" w:hAnsi="Times New Roman" w:cs="Times New Roman"/>
          <w:sz w:val="28"/>
          <w:szCs w:val="28"/>
        </w:rPr>
        <w:t xml:space="preserve"> році здійснювалось </w:t>
      </w:r>
      <w:r w:rsidR="000E43F8" w:rsidRPr="004F6EC7">
        <w:rPr>
          <w:rFonts w:ascii="Times New Roman" w:hAnsi="Times New Roman" w:cs="Times New Roman"/>
          <w:sz w:val="28"/>
          <w:szCs w:val="28"/>
        </w:rPr>
        <w:t>за</w:t>
      </w:r>
      <w:r w:rsidRPr="004F6EC7">
        <w:rPr>
          <w:rFonts w:ascii="Times New Roman" w:hAnsi="Times New Roman" w:cs="Times New Roman"/>
          <w:sz w:val="28"/>
          <w:szCs w:val="28"/>
        </w:rPr>
        <w:t xml:space="preserve"> </w:t>
      </w:r>
      <w:r w:rsidR="00D07037" w:rsidRPr="004F6EC7">
        <w:rPr>
          <w:rFonts w:ascii="Times New Roman" w:hAnsi="Times New Roman" w:cs="Times New Roman"/>
          <w:sz w:val="28"/>
          <w:szCs w:val="28"/>
        </w:rPr>
        <w:t>9</w:t>
      </w:r>
      <w:r w:rsidR="000E43F8" w:rsidRPr="004F6EC7">
        <w:rPr>
          <w:rFonts w:ascii="Times New Roman" w:hAnsi="Times New Roman" w:cs="Times New Roman"/>
          <w:sz w:val="28"/>
          <w:szCs w:val="28"/>
        </w:rPr>
        <w:t>-</w:t>
      </w:r>
      <w:r w:rsidR="00D07037" w:rsidRPr="004F6EC7">
        <w:rPr>
          <w:rFonts w:ascii="Times New Roman" w:hAnsi="Times New Roman" w:cs="Times New Roman"/>
          <w:sz w:val="28"/>
          <w:szCs w:val="28"/>
        </w:rPr>
        <w:t>ти</w:t>
      </w:r>
      <w:r w:rsidR="000E43F8" w:rsidRPr="004F6EC7">
        <w:rPr>
          <w:rFonts w:ascii="Times New Roman" w:hAnsi="Times New Roman" w:cs="Times New Roman"/>
          <w:sz w:val="28"/>
          <w:szCs w:val="28"/>
        </w:rPr>
        <w:t xml:space="preserve"> </w:t>
      </w:r>
      <w:r w:rsidRPr="004F6EC7">
        <w:rPr>
          <w:rFonts w:ascii="Times New Roman" w:hAnsi="Times New Roman" w:cs="Times New Roman"/>
          <w:sz w:val="28"/>
          <w:szCs w:val="28"/>
        </w:rPr>
        <w:t>бюджетни</w:t>
      </w:r>
      <w:r w:rsidR="000E43F8" w:rsidRPr="004F6EC7">
        <w:rPr>
          <w:rFonts w:ascii="Times New Roman" w:hAnsi="Times New Roman" w:cs="Times New Roman"/>
          <w:sz w:val="28"/>
          <w:szCs w:val="28"/>
        </w:rPr>
        <w:t>ми</w:t>
      </w:r>
      <w:r w:rsidRPr="004F6EC7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0E43F8" w:rsidRPr="004F6EC7">
        <w:rPr>
          <w:rFonts w:ascii="Times New Roman" w:hAnsi="Times New Roman" w:cs="Times New Roman"/>
          <w:sz w:val="28"/>
          <w:szCs w:val="28"/>
        </w:rPr>
        <w:t>ами</w:t>
      </w:r>
      <w:r w:rsidRPr="004F6EC7">
        <w:rPr>
          <w:rFonts w:ascii="Times New Roman" w:hAnsi="Times New Roman" w:cs="Times New Roman"/>
          <w:sz w:val="28"/>
          <w:szCs w:val="28"/>
        </w:rPr>
        <w:t xml:space="preserve"> на </w:t>
      </w:r>
      <w:r w:rsidR="004343C6" w:rsidRPr="004F6EC7">
        <w:rPr>
          <w:rFonts w:ascii="Times New Roman" w:hAnsi="Times New Roman" w:cs="Times New Roman"/>
          <w:sz w:val="28"/>
          <w:szCs w:val="28"/>
        </w:rPr>
        <w:t xml:space="preserve">загальну </w:t>
      </w:r>
      <w:r w:rsidR="004343C6" w:rsidRPr="00D91F8E">
        <w:rPr>
          <w:rFonts w:ascii="Times New Roman" w:hAnsi="Times New Roman" w:cs="Times New Roman"/>
          <w:sz w:val="28"/>
          <w:szCs w:val="28"/>
        </w:rPr>
        <w:t xml:space="preserve">суму </w:t>
      </w:r>
      <w:r w:rsidR="00D07037" w:rsidRPr="00D91F8E">
        <w:rPr>
          <w:rFonts w:ascii="Times New Roman" w:hAnsi="Times New Roman" w:cs="Times New Roman"/>
          <w:sz w:val="28"/>
          <w:szCs w:val="28"/>
        </w:rPr>
        <w:t>331</w:t>
      </w:r>
      <w:r w:rsidR="008B5145" w:rsidRPr="00D91F8E">
        <w:rPr>
          <w:rFonts w:ascii="Times New Roman" w:hAnsi="Times New Roman" w:cs="Times New Roman"/>
          <w:sz w:val="28"/>
          <w:szCs w:val="28"/>
        </w:rPr>
        <w:t> </w:t>
      </w:r>
      <w:r w:rsidR="00D07037" w:rsidRPr="00D91F8E">
        <w:rPr>
          <w:rFonts w:ascii="Times New Roman" w:hAnsi="Times New Roman" w:cs="Times New Roman"/>
          <w:sz w:val="28"/>
          <w:szCs w:val="28"/>
        </w:rPr>
        <w:t>16</w:t>
      </w:r>
      <w:r w:rsidR="008B5145" w:rsidRPr="00D91F8E">
        <w:rPr>
          <w:rFonts w:ascii="Times New Roman" w:hAnsi="Times New Roman" w:cs="Times New Roman"/>
          <w:sz w:val="28"/>
          <w:szCs w:val="28"/>
        </w:rPr>
        <w:t>8,7</w:t>
      </w:r>
      <w:r w:rsidR="00BF3359" w:rsidRPr="00D91F8E">
        <w:rPr>
          <w:rFonts w:ascii="Times New Roman" w:hAnsi="Times New Roman" w:cs="Times New Roman"/>
          <w:sz w:val="28"/>
          <w:szCs w:val="28"/>
        </w:rPr>
        <w:t xml:space="preserve"> </w:t>
      </w:r>
      <w:r w:rsidRPr="00D91F8E">
        <w:rPr>
          <w:rFonts w:ascii="Times New Roman" w:hAnsi="Times New Roman" w:cs="Times New Roman"/>
          <w:sz w:val="28"/>
          <w:szCs w:val="28"/>
        </w:rPr>
        <w:t>тис.</w:t>
      </w:r>
      <w:r w:rsidR="004343C6" w:rsidRPr="00D91F8E">
        <w:rPr>
          <w:rFonts w:ascii="Times New Roman" w:hAnsi="Times New Roman" w:cs="Times New Roman"/>
          <w:sz w:val="28"/>
          <w:szCs w:val="28"/>
        </w:rPr>
        <w:t xml:space="preserve"> грн., з яких використано </w:t>
      </w:r>
      <w:r w:rsidR="00D07037" w:rsidRPr="00D91F8E">
        <w:rPr>
          <w:rFonts w:ascii="Times New Roman" w:hAnsi="Times New Roman" w:cs="Times New Roman"/>
          <w:sz w:val="28"/>
          <w:szCs w:val="28"/>
        </w:rPr>
        <w:t>32</w:t>
      </w:r>
      <w:r w:rsidR="00100FF9">
        <w:rPr>
          <w:rFonts w:ascii="Times New Roman" w:hAnsi="Times New Roman" w:cs="Times New Roman"/>
          <w:sz w:val="28"/>
          <w:szCs w:val="28"/>
        </w:rPr>
        <w:t>4</w:t>
      </w:r>
      <w:r w:rsidR="008B5145" w:rsidRPr="00D91F8E">
        <w:rPr>
          <w:rFonts w:ascii="Times New Roman" w:hAnsi="Times New Roman" w:cs="Times New Roman"/>
          <w:sz w:val="28"/>
          <w:szCs w:val="28"/>
        </w:rPr>
        <w:t> </w:t>
      </w:r>
      <w:r w:rsidR="00D07037" w:rsidRPr="00D91F8E">
        <w:rPr>
          <w:rFonts w:ascii="Times New Roman" w:hAnsi="Times New Roman" w:cs="Times New Roman"/>
          <w:sz w:val="28"/>
          <w:szCs w:val="28"/>
        </w:rPr>
        <w:t>425</w:t>
      </w:r>
      <w:r w:rsidR="008B5145" w:rsidRPr="00D91F8E">
        <w:rPr>
          <w:rFonts w:ascii="Times New Roman" w:hAnsi="Times New Roman" w:cs="Times New Roman"/>
          <w:sz w:val="28"/>
          <w:szCs w:val="28"/>
        </w:rPr>
        <w:t>,3</w:t>
      </w:r>
      <w:r w:rsidR="00BF3359" w:rsidRPr="00D91F8E">
        <w:rPr>
          <w:rFonts w:ascii="Times New Roman" w:hAnsi="Times New Roman" w:cs="Times New Roman"/>
          <w:sz w:val="28"/>
          <w:szCs w:val="28"/>
        </w:rPr>
        <w:t xml:space="preserve"> </w:t>
      </w:r>
      <w:r w:rsidR="004343C6" w:rsidRPr="00D91F8E">
        <w:rPr>
          <w:rFonts w:ascii="Times New Roman" w:hAnsi="Times New Roman" w:cs="Times New Roman"/>
          <w:sz w:val="28"/>
          <w:szCs w:val="28"/>
        </w:rPr>
        <w:t>тис. грн. , що становить 9</w:t>
      </w:r>
      <w:r w:rsidR="00100FF9">
        <w:rPr>
          <w:rFonts w:ascii="Times New Roman" w:hAnsi="Times New Roman" w:cs="Times New Roman"/>
          <w:sz w:val="28"/>
          <w:szCs w:val="28"/>
        </w:rPr>
        <w:t>8</w:t>
      </w:r>
      <w:r w:rsidR="004343C6" w:rsidRPr="00D91F8E">
        <w:rPr>
          <w:rFonts w:ascii="Times New Roman" w:hAnsi="Times New Roman" w:cs="Times New Roman"/>
          <w:sz w:val="28"/>
          <w:szCs w:val="28"/>
        </w:rPr>
        <w:t xml:space="preserve">% від загальної суми. Решту </w:t>
      </w:r>
      <w:r w:rsidR="008B5145" w:rsidRPr="00D91F8E">
        <w:rPr>
          <w:rFonts w:ascii="Times New Roman" w:hAnsi="Times New Roman" w:cs="Times New Roman"/>
          <w:sz w:val="28"/>
          <w:szCs w:val="28"/>
        </w:rPr>
        <w:t>2</w:t>
      </w:r>
      <w:r w:rsidR="004343C6" w:rsidRPr="00D91F8E">
        <w:rPr>
          <w:rFonts w:ascii="Times New Roman" w:hAnsi="Times New Roman" w:cs="Times New Roman"/>
          <w:sz w:val="28"/>
          <w:szCs w:val="28"/>
        </w:rPr>
        <w:t xml:space="preserve">%, а саме </w:t>
      </w:r>
      <w:r w:rsidR="00100FF9">
        <w:rPr>
          <w:rFonts w:ascii="Times New Roman" w:hAnsi="Times New Roman" w:cs="Times New Roman"/>
          <w:sz w:val="28"/>
          <w:szCs w:val="28"/>
        </w:rPr>
        <w:t>6</w:t>
      </w:r>
      <w:r w:rsidR="008B5145" w:rsidRPr="00D91F8E">
        <w:rPr>
          <w:rFonts w:ascii="Times New Roman" w:hAnsi="Times New Roman" w:cs="Times New Roman"/>
          <w:sz w:val="28"/>
          <w:szCs w:val="28"/>
        </w:rPr>
        <w:t xml:space="preserve"> 743,4 </w:t>
      </w:r>
      <w:r w:rsidRPr="00D91F8E">
        <w:rPr>
          <w:rFonts w:ascii="Times New Roman" w:hAnsi="Times New Roman" w:cs="Times New Roman"/>
          <w:sz w:val="28"/>
          <w:szCs w:val="28"/>
        </w:rPr>
        <w:t>тис. грн. зекономлено та повернено в бюджет.</w:t>
      </w:r>
    </w:p>
    <w:p w:rsidR="008B5145" w:rsidRPr="00D91F8E" w:rsidRDefault="008B5145" w:rsidP="00EA7B61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>3</w:t>
      </w:r>
      <w:r w:rsidR="00100FF9">
        <w:rPr>
          <w:rFonts w:ascii="Times New Roman" w:hAnsi="Times New Roman" w:cs="Times New Roman"/>
          <w:sz w:val="28"/>
          <w:szCs w:val="28"/>
        </w:rPr>
        <w:t>4</w:t>
      </w:r>
      <w:r w:rsidRPr="00D91F8E">
        <w:rPr>
          <w:rFonts w:ascii="Times New Roman" w:hAnsi="Times New Roman" w:cs="Times New Roman"/>
          <w:sz w:val="28"/>
          <w:szCs w:val="28"/>
        </w:rPr>
        <w:t>,</w:t>
      </w:r>
      <w:r w:rsidR="00100FF9">
        <w:rPr>
          <w:rFonts w:ascii="Times New Roman" w:hAnsi="Times New Roman" w:cs="Times New Roman"/>
          <w:sz w:val="28"/>
          <w:szCs w:val="28"/>
        </w:rPr>
        <w:t>4%</w:t>
      </w:r>
      <w:r w:rsidRPr="00D91F8E">
        <w:rPr>
          <w:rFonts w:ascii="Times New Roman" w:hAnsi="Times New Roman" w:cs="Times New Roman"/>
          <w:sz w:val="28"/>
          <w:szCs w:val="28"/>
        </w:rPr>
        <w:t xml:space="preserve"> відсотки видатків (а саме 113 841,0 тис.грн.) спрямовані </w:t>
      </w:r>
      <w:r w:rsidR="00155C3A" w:rsidRPr="00D91F8E">
        <w:rPr>
          <w:rFonts w:ascii="Times New Roman" w:hAnsi="Times New Roman" w:cs="Times New Roman"/>
          <w:sz w:val="28"/>
          <w:szCs w:val="28"/>
        </w:rPr>
        <w:t xml:space="preserve">на покілометрову оплату : відшкодування перевізникам наданих послуг з перевезення пасажирів міським пасажирським транспортом за кодом програмної класифікації </w:t>
      </w:r>
      <w:r w:rsidR="00155C3A" w:rsidRPr="00D91F8E">
        <w:rPr>
          <w:rFonts w:ascii="Times New Roman" w:hAnsi="Times New Roman" w:cs="Times New Roman"/>
          <w:b/>
          <w:bCs/>
          <w:sz w:val="28"/>
          <w:szCs w:val="28"/>
        </w:rPr>
        <w:t>1917450 «Інша діяльність у сфері транспорту»</w:t>
      </w:r>
      <w:r w:rsidR="00620D29" w:rsidRPr="00D91F8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20D29" w:rsidRPr="00D91F8E" w:rsidRDefault="00620D29" w:rsidP="00620D29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b/>
          <w:sz w:val="28"/>
          <w:szCs w:val="28"/>
        </w:rPr>
        <w:t xml:space="preserve">      Паспортом бюджетної програми 1917450 передбачено такі показники</w:t>
      </w:r>
      <w:r w:rsidRPr="00D91F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0D29" w:rsidRPr="00D91F8E" w:rsidRDefault="00620D29" w:rsidP="00620D29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 xml:space="preserve">показник продукту - кількість підприємств-отримувачів компенсаційних виплат за надані транспортні послуги зменшився з 11 одиниць на початку року до 10 одиниць на кінець бюджетного року у зв’язку із розірванням договору на перевезення з одним із перевізників. Обсяг виконаної транспортної роботи </w:t>
      </w:r>
      <w:r w:rsidR="00100FF9">
        <w:rPr>
          <w:rFonts w:ascii="Times New Roman" w:hAnsi="Times New Roman" w:cs="Times New Roman"/>
          <w:sz w:val="28"/>
          <w:szCs w:val="28"/>
        </w:rPr>
        <w:t>по факту 2022 року становить 8754250 машин.км.</w:t>
      </w:r>
    </w:p>
    <w:p w:rsidR="006154DB" w:rsidRPr="00D91F8E" w:rsidRDefault="006154DB" w:rsidP="00620D29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>показник затрат при цьому склав 113 841,0 тис.грн.;</w:t>
      </w:r>
    </w:p>
    <w:p w:rsidR="006154DB" w:rsidRPr="00D91F8E" w:rsidRDefault="006154DB" w:rsidP="006154DB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>показник ефективності, а саме середньомісячний розмір компенсаційних виплат за надані транспортні послуги становить 9 486,7 тис.грн.;</w:t>
      </w:r>
    </w:p>
    <w:p w:rsidR="006154DB" w:rsidRPr="00D91F8E" w:rsidRDefault="006154DB" w:rsidP="006154DB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>показник якості - питома вага відшкодованих компенсаційних виплат до нарахованих в межах кошторису 100%.</w:t>
      </w:r>
    </w:p>
    <w:p w:rsidR="008B5BF5" w:rsidRPr="00D91F8E" w:rsidRDefault="008B5BF5" w:rsidP="00BA6E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FD9" w:rsidRPr="00D91F8E" w:rsidRDefault="00BF3359" w:rsidP="00BA6E79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>3</w:t>
      </w:r>
      <w:r w:rsidR="00100FF9">
        <w:rPr>
          <w:rFonts w:ascii="Times New Roman" w:hAnsi="Times New Roman" w:cs="Times New Roman"/>
          <w:sz w:val="28"/>
          <w:szCs w:val="28"/>
        </w:rPr>
        <w:t>5</w:t>
      </w:r>
      <w:r w:rsidR="008B5BF5" w:rsidRPr="00D91F8E">
        <w:rPr>
          <w:rFonts w:ascii="Times New Roman" w:hAnsi="Times New Roman" w:cs="Times New Roman"/>
          <w:sz w:val="28"/>
          <w:szCs w:val="28"/>
        </w:rPr>
        <w:t>,</w:t>
      </w:r>
      <w:r w:rsidR="00100FF9">
        <w:rPr>
          <w:rFonts w:ascii="Times New Roman" w:hAnsi="Times New Roman" w:cs="Times New Roman"/>
          <w:sz w:val="28"/>
          <w:szCs w:val="28"/>
        </w:rPr>
        <w:t>3</w:t>
      </w:r>
      <w:r w:rsidRPr="00D91F8E">
        <w:rPr>
          <w:rFonts w:ascii="Times New Roman" w:hAnsi="Times New Roman" w:cs="Times New Roman"/>
          <w:sz w:val="28"/>
          <w:szCs w:val="28"/>
        </w:rPr>
        <w:t xml:space="preserve"> відсотк</w:t>
      </w:r>
      <w:r w:rsidR="008B5BF5" w:rsidRPr="00D91F8E">
        <w:rPr>
          <w:rFonts w:ascii="Times New Roman" w:hAnsi="Times New Roman" w:cs="Times New Roman"/>
          <w:sz w:val="28"/>
          <w:szCs w:val="28"/>
        </w:rPr>
        <w:t>и</w:t>
      </w:r>
      <w:r w:rsidRPr="00D91F8E">
        <w:rPr>
          <w:rFonts w:ascii="Times New Roman" w:hAnsi="Times New Roman" w:cs="Times New Roman"/>
          <w:sz w:val="28"/>
          <w:szCs w:val="28"/>
        </w:rPr>
        <w:t xml:space="preserve"> видатків (а саме </w:t>
      </w:r>
      <w:r w:rsidR="008B5BF5" w:rsidRPr="00D91F8E">
        <w:rPr>
          <w:rFonts w:ascii="Times New Roman" w:hAnsi="Times New Roman" w:cs="Times New Roman"/>
          <w:sz w:val="28"/>
          <w:szCs w:val="28"/>
        </w:rPr>
        <w:t>116 840,9</w:t>
      </w:r>
      <w:r w:rsidRPr="00D91F8E">
        <w:rPr>
          <w:rFonts w:ascii="Times New Roman" w:hAnsi="Times New Roman" w:cs="Times New Roman"/>
          <w:sz w:val="28"/>
          <w:szCs w:val="28"/>
        </w:rPr>
        <w:t xml:space="preserve"> тис. грн.) спрямовано на</w:t>
      </w:r>
      <w:r w:rsidR="00AC6FD9" w:rsidRPr="00D91F8E">
        <w:rPr>
          <w:rFonts w:ascii="Times New Roman" w:hAnsi="Times New Roman" w:cs="Times New Roman"/>
          <w:sz w:val="28"/>
          <w:szCs w:val="28"/>
        </w:rPr>
        <w:t xml:space="preserve"> компенсаційні виплати </w:t>
      </w:r>
      <w:r w:rsidR="007C0D0F" w:rsidRPr="00D91F8E">
        <w:rPr>
          <w:rFonts w:ascii="Times New Roman" w:hAnsi="Times New Roman" w:cs="Times New Roman"/>
          <w:sz w:val="28"/>
          <w:szCs w:val="28"/>
        </w:rPr>
        <w:t xml:space="preserve">за пільгові перевезення окремих категорій громадян </w:t>
      </w:r>
      <w:r w:rsidR="00D662D2" w:rsidRPr="00D91F8E">
        <w:rPr>
          <w:rFonts w:ascii="Times New Roman" w:hAnsi="Times New Roman" w:cs="Times New Roman"/>
          <w:sz w:val="28"/>
          <w:szCs w:val="28"/>
        </w:rPr>
        <w:t xml:space="preserve"> за</w:t>
      </w:r>
      <w:r w:rsidR="00AC6FD9" w:rsidRPr="00D91F8E">
        <w:rPr>
          <w:rFonts w:ascii="Times New Roman" w:hAnsi="Times New Roman" w:cs="Times New Roman"/>
          <w:sz w:val="28"/>
          <w:szCs w:val="28"/>
        </w:rPr>
        <w:t xml:space="preserve"> таки</w:t>
      </w:r>
      <w:r w:rsidR="00D662D2" w:rsidRPr="00D91F8E">
        <w:rPr>
          <w:rFonts w:ascii="Times New Roman" w:hAnsi="Times New Roman" w:cs="Times New Roman"/>
          <w:sz w:val="28"/>
          <w:szCs w:val="28"/>
        </w:rPr>
        <w:t>ми</w:t>
      </w:r>
      <w:r w:rsidR="00AC6FD9" w:rsidRPr="00D91F8E">
        <w:rPr>
          <w:rFonts w:ascii="Times New Roman" w:hAnsi="Times New Roman" w:cs="Times New Roman"/>
          <w:sz w:val="28"/>
          <w:szCs w:val="28"/>
        </w:rPr>
        <w:t xml:space="preserve"> кода</w:t>
      </w:r>
      <w:r w:rsidR="00D662D2" w:rsidRPr="00D91F8E">
        <w:rPr>
          <w:rFonts w:ascii="Times New Roman" w:hAnsi="Times New Roman" w:cs="Times New Roman"/>
          <w:sz w:val="28"/>
          <w:szCs w:val="28"/>
        </w:rPr>
        <w:t>ми</w:t>
      </w:r>
      <w:r w:rsidR="00AC6FD9" w:rsidRPr="00D91F8E">
        <w:rPr>
          <w:rFonts w:ascii="Times New Roman" w:hAnsi="Times New Roman" w:cs="Times New Roman"/>
          <w:sz w:val="28"/>
          <w:szCs w:val="28"/>
        </w:rPr>
        <w:t xml:space="preserve"> програмної класифікації:</w:t>
      </w:r>
    </w:p>
    <w:p w:rsidR="00AC6FD9" w:rsidRPr="00D91F8E" w:rsidRDefault="00AC6FD9" w:rsidP="00BA6E79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>1913033- Компенсаційні виплати на пільговий проїзд автомобільним транспортом окремим категоріям громадян</w:t>
      </w:r>
      <w:r w:rsidR="00BF3359" w:rsidRPr="00D91F8E">
        <w:rPr>
          <w:rFonts w:ascii="Times New Roman" w:hAnsi="Times New Roman" w:cs="Times New Roman"/>
          <w:sz w:val="28"/>
          <w:szCs w:val="28"/>
        </w:rPr>
        <w:t xml:space="preserve">, що становить </w:t>
      </w:r>
      <w:r w:rsidR="002D3B18" w:rsidRPr="00D91F8E">
        <w:rPr>
          <w:rFonts w:ascii="Times New Roman" w:hAnsi="Times New Roman" w:cs="Times New Roman"/>
          <w:sz w:val="28"/>
          <w:szCs w:val="28"/>
        </w:rPr>
        <w:t>68,3</w:t>
      </w:r>
      <w:r w:rsidR="00BF3359" w:rsidRPr="00D91F8E">
        <w:rPr>
          <w:rFonts w:ascii="Times New Roman" w:hAnsi="Times New Roman" w:cs="Times New Roman"/>
          <w:sz w:val="28"/>
          <w:szCs w:val="28"/>
        </w:rPr>
        <w:t xml:space="preserve"> % із здійснен</w:t>
      </w:r>
      <w:r w:rsidR="00683049" w:rsidRPr="00D91F8E">
        <w:rPr>
          <w:rFonts w:ascii="Times New Roman" w:hAnsi="Times New Roman" w:cs="Times New Roman"/>
          <w:sz w:val="28"/>
          <w:szCs w:val="28"/>
        </w:rPr>
        <w:t xml:space="preserve">их видатків (а саме </w:t>
      </w:r>
      <w:r w:rsidR="002D3B18" w:rsidRPr="00D91F8E">
        <w:rPr>
          <w:rFonts w:ascii="Times New Roman" w:hAnsi="Times New Roman" w:cs="Times New Roman"/>
          <w:sz w:val="28"/>
          <w:szCs w:val="28"/>
        </w:rPr>
        <w:t>79 777,0</w:t>
      </w:r>
      <w:r w:rsidR="00683049" w:rsidRPr="00D91F8E">
        <w:rPr>
          <w:rFonts w:ascii="Times New Roman" w:hAnsi="Times New Roman" w:cs="Times New Roman"/>
          <w:sz w:val="28"/>
          <w:szCs w:val="28"/>
        </w:rPr>
        <w:t xml:space="preserve"> тис.грн.);</w:t>
      </w:r>
      <w:r w:rsidR="00BF3359" w:rsidRPr="00D91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E1F" w:rsidRPr="00D91F8E" w:rsidRDefault="00371E1F" w:rsidP="00371E1F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>1913035 - Компенсаційні виплати на пільговий проїзд окремих категорій громадян на залізничному транспорті</w:t>
      </w:r>
      <w:r w:rsidR="00683049" w:rsidRPr="00D91F8E">
        <w:rPr>
          <w:rFonts w:ascii="Times New Roman" w:hAnsi="Times New Roman" w:cs="Times New Roman"/>
          <w:sz w:val="28"/>
          <w:szCs w:val="28"/>
        </w:rPr>
        <w:t xml:space="preserve">, що становить </w:t>
      </w:r>
      <w:r w:rsidR="002D3B18" w:rsidRPr="00D91F8E">
        <w:rPr>
          <w:rFonts w:ascii="Times New Roman" w:hAnsi="Times New Roman" w:cs="Times New Roman"/>
          <w:sz w:val="28"/>
          <w:szCs w:val="28"/>
        </w:rPr>
        <w:t>2</w:t>
      </w:r>
      <w:r w:rsidR="00683049" w:rsidRPr="00D91F8E">
        <w:rPr>
          <w:rFonts w:ascii="Times New Roman" w:hAnsi="Times New Roman" w:cs="Times New Roman"/>
          <w:sz w:val="28"/>
          <w:szCs w:val="28"/>
        </w:rPr>
        <w:t xml:space="preserve">% </w:t>
      </w:r>
      <w:r w:rsidR="0009293A" w:rsidRPr="00D91F8E">
        <w:rPr>
          <w:rFonts w:ascii="Times New Roman" w:hAnsi="Times New Roman" w:cs="Times New Roman"/>
          <w:sz w:val="28"/>
          <w:szCs w:val="28"/>
        </w:rPr>
        <w:t xml:space="preserve">із загальної суми видатків </w:t>
      </w:r>
      <w:r w:rsidR="00683049" w:rsidRPr="00D91F8E">
        <w:rPr>
          <w:rFonts w:ascii="Times New Roman" w:hAnsi="Times New Roman" w:cs="Times New Roman"/>
          <w:sz w:val="28"/>
          <w:szCs w:val="28"/>
        </w:rPr>
        <w:t xml:space="preserve">(а саме 2 </w:t>
      </w:r>
      <w:r w:rsidR="002D3B18" w:rsidRPr="00D91F8E">
        <w:rPr>
          <w:rFonts w:ascii="Times New Roman" w:hAnsi="Times New Roman" w:cs="Times New Roman"/>
          <w:sz w:val="28"/>
          <w:szCs w:val="28"/>
        </w:rPr>
        <w:t>4</w:t>
      </w:r>
      <w:r w:rsidR="00683049" w:rsidRPr="00D91F8E">
        <w:rPr>
          <w:rFonts w:ascii="Times New Roman" w:hAnsi="Times New Roman" w:cs="Times New Roman"/>
          <w:sz w:val="28"/>
          <w:szCs w:val="28"/>
        </w:rPr>
        <w:t>00,0 тис.грн.);</w:t>
      </w:r>
    </w:p>
    <w:p w:rsidR="00371E1F" w:rsidRPr="00D91F8E" w:rsidRDefault="00371E1F" w:rsidP="00BA6E79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lastRenderedPageBreak/>
        <w:t>1913036 - Компенсаційні виплати на пільговий проїзд електротранспортом окремим категоріям громадян</w:t>
      </w:r>
      <w:r w:rsidR="0009293A" w:rsidRPr="00D91F8E">
        <w:rPr>
          <w:rFonts w:ascii="Times New Roman" w:hAnsi="Times New Roman" w:cs="Times New Roman"/>
          <w:sz w:val="28"/>
          <w:szCs w:val="28"/>
        </w:rPr>
        <w:t xml:space="preserve">, що становить </w:t>
      </w:r>
      <w:r w:rsidR="002D3B18" w:rsidRPr="00D91F8E">
        <w:rPr>
          <w:rFonts w:ascii="Times New Roman" w:hAnsi="Times New Roman" w:cs="Times New Roman"/>
          <w:sz w:val="28"/>
          <w:szCs w:val="28"/>
        </w:rPr>
        <w:t>29</w:t>
      </w:r>
      <w:r w:rsidR="00464FA2" w:rsidRPr="00D91F8E">
        <w:rPr>
          <w:rFonts w:ascii="Times New Roman" w:hAnsi="Times New Roman" w:cs="Times New Roman"/>
          <w:sz w:val="28"/>
          <w:szCs w:val="28"/>
        </w:rPr>
        <w:t xml:space="preserve">,7 % загальної суми видатків (а саме </w:t>
      </w:r>
      <w:r w:rsidR="002D3B18" w:rsidRPr="00D91F8E">
        <w:rPr>
          <w:rFonts w:ascii="Times New Roman" w:hAnsi="Times New Roman" w:cs="Times New Roman"/>
          <w:sz w:val="28"/>
          <w:szCs w:val="28"/>
        </w:rPr>
        <w:t>34 663,9</w:t>
      </w:r>
      <w:r w:rsidR="00464FA2" w:rsidRPr="00D91F8E">
        <w:rPr>
          <w:rFonts w:ascii="Times New Roman" w:hAnsi="Times New Roman" w:cs="Times New Roman"/>
          <w:sz w:val="28"/>
          <w:szCs w:val="28"/>
        </w:rPr>
        <w:t xml:space="preserve"> тис.грн.)</w:t>
      </w:r>
    </w:p>
    <w:p w:rsidR="00BA6E79" w:rsidRPr="00D91F8E" w:rsidRDefault="00AC6FD9" w:rsidP="00BA6E79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b/>
          <w:sz w:val="28"/>
          <w:szCs w:val="28"/>
        </w:rPr>
        <w:t xml:space="preserve">Паспортом бюджетної програми </w:t>
      </w:r>
      <w:r w:rsidR="00BA6E79" w:rsidRPr="00D91F8E">
        <w:rPr>
          <w:rFonts w:ascii="Times New Roman" w:hAnsi="Times New Roman" w:cs="Times New Roman"/>
          <w:b/>
          <w:sz w:val="28"/>
          <w:szCs w:val="28"/>
        </w:rPr>
        <w:t xml:space="preserve">1913033 </w:t>
      </w:r>
      <w:r w:rsidRPr="00D91F8E">
        <w:rPr>
          <w:rFonts w:ascii="Times New Roman" w:hAnsi="Times New Roman" w:cs="Times New Roman"/>
          <w:b/>
          <w:sz w:val="28"/>
          <w:szCs w:val="28"/>
        </w:rPr>
        <w:t>передбачено такі показники</w:t>
      </w:r>
      <w:r w:rsidRPr="00D91F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6FD9" w:rsidRPr="00D91F8E" w:rsidRDefault="00BA6E79" w:rsidP="00BA6E79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 xml:space="preserve">показник </w:t>
      </w:r>
      <w:r w:rsidR="00AC6FD9" w:rsidRPr="00D91F8E">
        <w:rPr>
          <w:rFonts w:ascii="Times New Roman" w:hAnsi="Times New Roman" w:cs="Times New Roman"/>
          <w:sz w:val="28"/>
          <w:szCs w:val="28"/>
        </w:rPr>
        <w:t>продукту</w:t>
      </w:r>
      <w:r w:rsidRPr="00D91F8E">
        <w:rPr>
          <w:rFonts w:ascii="Times New Roman" w:hAnsi="Times New Roman" w:cs="Times New Roman"/>
          <w:sz w:val="28"/>
          <w:szCs w:val="28"/>
        </w:rPr>
        <w:t xml:space="preserve"> -</w:t>
      </w:r>
      <w:r w:rsidR="00AC6FD9" w:rsidRPr="00D91F8E">
        <w:rPr>
          <w:rFonts w:ascii="Times New Roman" w:hAnsi="Times New Roman" w:cs="Times New Roman"/>
          <w:sz w:val="28"/>
          <w:szCs w:val="28"/>
        </w:rPr>
        <w:t xml:space="preserve"> кількість підприємств-отримувачів компенсацій</w:t>
      </w:r>
      <w:r w:rsidRPr="00D91F8E">
        <w:rPr>
          <w:rFonts w:ascii="Times New Roman" w:hAnsi="Times New Roman" w:cs="Times New Roman"/>
          <w:sz w:val="28"/>
          <w:szCs w:val="28"/>
        </w:rPr>
        <w:t xml:space="preserve"> за пільговий проїзд окремих ка</w:t>
      </w:r>
      <w:r w:rsidR="004343C6" w:rsidRPr="00D91F8E">
        <w:rPr>
          <w:rFonts w:ascii="Times New Roman" w:hAnsi="Times New Roman" w:cs="Times New Roman"/>
          <w:sz w:val="28"/>
          <w:szCs w:val="28"/>
        </w:rPr>
        <w:t>тегорій громадян у кількості  11</w:t>
      </w:r>
      <w:r w:rsidRPr="00D91F8E">
        <w:rPr>
          <w:rFonts w:ascii="Times New Roman" w:hAnsi="Times New Roman" w:cs="Times New Roman"/>
          <w:sz w:val="28"/>
          <w:szCs w:val="28"/>
        </w:rPr>
        <w:t xml:space="preserve"> одиниць </w:t>
      </w:r>
      <w:r w:rsidR="003E051B" w:rsidRPr="00D91F8E">
        <w:rPr>
          <w:rFonts w:ascii="Times New Roman" w:hAnsi="Times New Roman" w:cs="Times New Roman"/>
          <w:sz w:val="28"/>
          <w:szCs w:val="28"/>
        </w:rPr>
        <w:t xml:space="preserve">на початок року та 10 одиниць на кінець року - </w:t>
      </w:r>
      <w:r w:rsidR="004343C6" w:rsidRPr="00D91F8E">
        <w:rPr>
          <w:rFonts w:ascii="Times New Roman" w:hAnsi="Times New Roman" w:cs="Times New Roman"/>
          <w:sz w:val="28"/>
          <w:szCs w:val="28"/>
        </w:rPr>
        <w:t xml:space="preserve">виконаний, в тому числі здійснювались перевезення </w:t>
      </w:r>
      <w:r w:rsidR="00B42E4D" w:rsidRPr="00D91F8E">
        <w:rPr>
          <w:rFonts w:ascii="Times New Roman" w:hAnsi="Times New Roman" w:cs="Times New Roman"/>
          <w:sz w:val="28"/>
          <w:szCs w:val="28"/>
        </w:rPr>
        <w:t xml:space="preserve">по ОТГ. </w:t>
      </w:r>
      <w:r w:rsidR="00371E1F" w:rsidRPr="00D91F8E">
        <w:rPr>
          <w:rFonts w:ascii="Times New Roman" w:hAnsi="Times New Roman" w:cs="Times New Roman"/>
          <w:sz w:val="28"/>
          <w:szCs w:val="28"/>
        </w:rPr>
        <w:t xml:space="preserve"> О</w:t>
      </w:r>
      <w:r w:rsidRPr="00D91F8E">
        <w:rPr>
          <w:rFonts w:ascii="Times New Roman" w:hAnsi="Times New Roman" w:cs="Times New Roman"/>
          <w:sz w:val="28"/>
          <w:szCs w:val="28"/>
        </w:rPr>
        <w:t xml:space="preserve">бсяг перевезених окремих категорій громадян автотранспортом </w:t>
      </w:r>
      <w:r w:rsidR="00371E1F" w:rsidRPr="00D91F8E">
        <w:rPr>
          <w:rFonts w:ascii="Times New Roman" w:hAnsi="Times New Roman" w:cs="Times New Roman"/>
          <w:sz w:val="28"/>
          <w:szCs w:val="28"/>
        </w:rPr>
        <w:t xml:space="preserve"> </w:t>
      </w:r>
      <w:r w:rsidR="00ED19DE" w:rsidRPr="00D91F8E">
        <w:rPr>
          <w:rFonts w:ascii="Times New Roman" w:hAnsi="Times New Roman" w:cs="Times New Roman"/>
          <w:sz w:val="28"/>
          <w:szCs w:val="28"/>
        </w:rPr>
        <w:t>становить 7993,4</w:t>
      </w:r>
      <w:r w:rsidRPr="00D91F8E">
        <w:rPr>
          <w:rFonts w:ascii="Times New Roman" w:hAnsi="Times New Roman" w:cs="Times New Roman"/>
          <w:sz w:val="28"/>
          <w:szCs w:val="28"/>
        </w:rPr>
        <w:t xml:space="preserve"> тис.чол.</w:t>
      </w:r>
      <w:r w:rsidR="00371E1F" w:rsidRPr="00D91F8E">
        <w:rPr>
          <w:rFonts w:ascii="Times New Roman" w:hAnsi="Times New Roman" w:cs="Times New Roman"/>
          <w:sz w:val="28"/>
          <w:szCs w:val="28"/>
        </w:rPr>
        <w:t>;</w:t>
      </w:r>
    </w:p>
    <w:p w:rsidR="00BA6E79" w:rsidRPr="00D91F8E" w:rsidRDefault="00BA6E79" w:rsidP="00BA6E79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 xml:space="preserve">показник затрат при </w:t>
      </w:r>
      <w:r w:rsidR="00B42E4D" w:rsidRPr="00D91F8E">
        <w:rPr>
          <w:rFonts w:ascii="Times New Roman" w:hAnsi="Times New Roman" w:cs="Times New Roman"/>
          <w:sz w:val="28"/>
          <w:szCs w:val="28"/>
        </w:rPr>
        <w:t xml:space="preserve">цьому склав </w:t>
      </w:r>
      <w:r w:rsidR="00ED19DE" w:rsidRPr="00D91F8E">
        <w:rPr>
          <w:rFonts w:ascii="Times New Roman" w:hAnsi="Times New Roman" w:cs="Times New Roman"/>
          <w:sz w:val="28"/>
          <w:szCs w:val="28"/>
        </w:rPr>
        <w:t>79777,0</w:t>
      </w:r>
      <w:r w:rsidRPr="00D91F8E">
        <w:rPr>
          <w:rFonts w:ascii="Times New Roman" w:hAnsi="Times New Roman" w:cs="Times New Roman"/>
          <w:sz w:val="28"/>
          <w:szCs w:val="28"/>
        </w:rPr>
        <w:t xml:space="preserve"> тис.грн.</w:t>
      </w:r>
      <w:r w:rsidR="00371E1F" w:rsidRPr="00D91F8E">
        <w:rPr>
          <w:rFonts w:ascii="Times New Roman" w:hAnsi="Times New Roman" w:cs="Times New Roman"/>
          <w:sz w:val="28"/>
          <w:szCs w:val="28"/>
        </w:rPr>
        <w:t>;</w:t>
      </w:r>
    </w:p>
    <w:p w:rsidR="00BA6E79" w:rsidRPr="00D91F8E" w:rsidRDefault="00BA6E79" w:rsidP="00BA6E79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>показник ефективності, а саме середньомісячний розмір компенсацій при цьому становив</w:t>
      </w:r>
      <w:r w:rsidR="00464FA2" w:rsidRPr="00D91F8E">
        <w:rPr>
          <w:rFonts w:ascii="Times New Roman" w:hAnsi="Times New Roman" w:cs="Times New Roman"/>
          <w:sz w:val="28"/>
          <w:szCs w:val="28"/>
        </w:rPr>
        <w:t xml:space="preserve"> </w:t>
      </w:r>
      <w:r w:rsidR="00ED19DE" w:rsidRPr="00D91F8E">
        <w:rPr>
          <w:rFonts w:ascii="Times New Roman" w:hAnsi="Times New Roman" w:cs="Times New Roman"/>
          <w:sz w:val="28"/>
          <w:szCs w:val="28"/>
        </w:rPr>
        <w:t>6648,1</w:t>
      </w:r>
      <w:r w:rsidR="00371E1F" w:rsidRPr="00D91F8E">
        <w:rPr>
          <w:rFonts w:ascii="Times New Roman" w:hAnsi="Times New Roman" w:cs="Times New Roman"/>
          <w:sz w:val="28"/>
          <w:szCs w:val="28"/>
        </w:rPr>
        <w:t xml:space="preserve"> тис.грн.;</w:t>
      </w:r>
    </w:p>
    <w:p w:rsidR="00371E1F" w:rsidRPr="00D91F8E" w:rsidRDefault="00371E1F" w:rsidP="00BA6E79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>показник якості - питома вага відшкодованих компенсацій до нарахованих в межах кошторису 100%.</w:t>
      </w:r>
    </w:p>
    <w:p w:rsidR="00ED19DE" w:rsidRPr="00D91F8E" w:rsidRDefault="00ED19DE" w:rsidP="00BA6E79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>На кінець бюджетного року фактичний показник затрат склав 78767,9 тис.грн., а середньомісячний розмір компенсації – 6564,0 тис.грн.  Тобто</w:t>
      </w:r>
      <w:r w:rsidR="00E851E2" w:rsidRPr="00D91F8E">
        <w:rPr>
          <w:rFonts w:ascii="Times New Roman" w:hAnsi="Times New Roman" w:cs="Times New Roman"/>
          <w:sz w:val="28"/>
          <w:szCs w:val="28"/>
        </w:rPr>
        <w:t xml:space="preserve">, зекономленими залишилися 1009,1 тис.грн., які повернуті в бюджет. </w:t>
      </w:r>
    </w:p>
    <w:p w:rsidR="00371E1F" w:rsidRPr="00D91F8E" w:rsidRDefault="00371E1F" w:rsidP="00371E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F8E">
        <w:rPr>
          <w:rFonts w:ascii="Times New Roman" w:hAnsi="Times New Roman" w:cs="Times New Roman"/>
          <w:b/>
          <w:sz w:val="28"/>
          <w:szCs w:val="28"/>
        </w:rPr>
        <w:t xml:space="preserve">Паспортом бюджетної програми 1913035 передбачено такі показники: </w:t>
      </w:r>
    </w:p>
    <w:p w:rsidR="00371E1F" w:rsidRPr="00D91F8E" w:rsidRDefault="00371E1F" w:rsidP="00371E1F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 xml:space="preserve">показник продукту - кількість підприємств-отримувачів компенсацій за пільговий проїзд окремих категорій громадян </w:t>
      </w:r>
      <w:r w:rsidR="003B478E" w:rsidRPr="00D91F8E">
        <w:rPr>
          <w:rFonts w:ascii="Times New Roman" w:hAnsi="Times New Roman" w:cs="Times New Roman"/>
          <w:sz w:val="28"/>
          <w:szCs w:val="28"/>
        </w:rPr>
        <w:t xml:space="preserve">залізничним транспортом </w:t>
      </w:r>
      <w:r w:rsidRPr="00D91F8E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E77F9D" w:rsidRPr="00D91F8E">
        <w:rPr>
          <w:rFonts w:ascii="Times New Roman" w:hAnsi="Times New Roman" w:cs="Times New Roman"/>
          <w:sz w:val="28"/>
          <w:szCs w:val="28"/>
        </w:rPr>
        <w:t xml:space="preserve"> 1 </w:t>
      </w:r>
      <w:r w:rsidR="00C9512B" w:rsidRPr="00D91F8E">
        <w:rPr>
          <w:rFonts w:ascii="Times New Roman" w:hAnsi="Times New Roman" w:cs="Times New Roman"/>
          <w:sz w:val="28"/>
          <w:szCs w:val="28"/>
        </w:rPr>
        <w:t xml:space="preserve">одиниця </w:t>
      </w:r>
      <w:r w:rsidR="003B478E" w:rsidRPr="00D91F8E">
        <w:rPr>
          <w:rFonts w:ascii="Times New Roman" w:hAnsi="Times New Roman" w:cs="Times New Roman"/>
          <w:sz w:val="28"/>
          <w:szCs w:val="28"/>
        </w:rPr>
        <w:t xml:space="preserve">(Львівська залізниця) </w:t>
      </w:r>
      <w:r w:rsidR="00E77F9D" w:rsidRPr="00D91F8E">
        <w:rPr>
          <w:rFonts w:ascii="Times New Roman" w:hAnsi="Times New Roman" w:cs="Times New Roman"/>
          <w:sz w:val="28"/>
          <w:szCs w:val="28"/>
        </w:rPr>
        <w:t xml:space="preserve">- </w:t>
      </w:r>
      <w:r w:rsidRPr="00D91F8E">
        <w:rPr>
          <w:rFonts w:ascii="Times New Roman" w:hAnsi="Times New Roman" w:cs="Times New Roman"/>
          <w:sz w:val="28"/>
          <w:szCs w:val="28"/>
        </w:rPr>
        <w:t>виконаний. Обсяг перевезених окремих ка</w:t>
      </w:r>
      <w:r w:rsidR="00FC3E85" w:rsidRPr="00D91F8E">
        <w:rPr>
          <w:rFonts w:ascii="Times New Roman" w:hAnsi="Times New Roman" w:cs="Times New Roman"/>
          <w:sz w:val="28"/>
          <w:szCs w:val="28"/>
        </w:rPr>
        <w:t>тегорій громадян залізничним транспортом</w:t>
      </w:r>
      <w:r w:rsidRPr="00D91F8E">
        <w:rPr>
          <w:rFonts w:ascii="Times New Roman" w:hAnsi="Times New Roman" w:cs="Times New Roman"/>
          <w:sz w:val="28"/>
          <w:szCs w:val="28"/>
        </w:rPr>
        <w:t xml:space="preserve"> </w:t>
      </w:r>
      <w:r w:rsidR="007C0D0F" w:rsidRPr="00D91F8E">
        <w:rPr>
          <w:rFonts w:ascii="Times New Roman" w:hAnsi="Times New Roman" w:cs="Times New Roman"/>
          <w:sz w:val="28"/>
          <w:szCs w:val="28"/>
        </w:rPr>
        <w:t xml:space="preserve"> для відшкодування </w:t>
      </w:r>
      <w:r w:rsidR="00E541F3" w:rsidRPr="00D91F8E">
        <w:rPr>
          <w:rFonts w:ascii="Times New Roman" w:hAnsi="Times New Roman" w:cs="Times New Roman"/>
          <w:sz w:val="28"/>
          <w:szCs w:val="28"/>
        </w:rPr>
        <w:t xml:space="preserve">в межах кошторису </w:t>
      </w:r>
      <w:r w:rsidR="004C4485">
        <w:rPr>
          <w:rFonts w:ascii="Times New Roman" w:hAnsi="Times New Roman" w:cs="Times New Roman"/>
          <w:sz w:val="28"/>
          <w:szCs w:val="28"/>
        </w:rPr>
        <w:t xml:space="preserve">30,4 тис. </w:t>
      </w:r>
      <w:r w:rsidR="00FC3E85" w:rsidRPr="00D91F8E">
        <w:rPr>
          <w:rFonts w:ascii="Times New Roman" w:hAnsi="Times New Roman" w:cs="Times New Roman"/>
          <w:sz w:val="28"/>
          <w:szCs w:val="28"/>
        </w:rPr>
        <w:t>чол.</w:t>
      </w:r>
      <w:r w:rsidR="004C4485">
        <w:rPr>
          <w:rFonts w:ascii="Times New Roman" w:hAnsi="Times New Roman" w:cs="Times New Roman"/>
          <w:sz w:val="28"/>
          <w:szCs w:val="28"/>
        </w:rPr>
        <w:t xml:space="preserve"> пільгових категорій.</w:t>
      </w:r>
      <w:r w:rsidR="00FC3E85" w:rsidRPr="00D91F8E">
        <w:rPr>
          <w:rFonts w:ascii="Times New Roman" w:hAnsi="Times New Roman" w:cs="Times New Roman"/>
          <w:sz w:val="28"/>
          <w:szCs w:val="28"/>
        </w:rPr>
        <w:t xml:space="preserve"> </w:t>
      </w:r>
      <w:r w:rsidR="007C0D0F" w:rsidRPr="00D91F8E">
        <w:rPr>
          <w:rFonts w:ascii="Times New Roman" w:hAnsi="Times New Roman" w:cs="Times New Roman"/>
          <w:sz w:val="28"/>
          <w:szCs w:val="28"/>
        </w:rPr>
        <w:t xml:space="preserve">Фактично перевезено залізничним транспортом </w:t>
      </w:r>
      <w:r w:rsidR="00464FA2" w:rsidRPr="004C448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C4485" w:rsidRPr="004C4485">
        <w:rPr>
          <w:rFonts w:ascii="Times New Roman" w:hAnsi="Times New Roman" w:cs="Times New Roman"/>
          <w:color w:val="000000" w:themeColor="text1"/>
          <w:sz w:val="28"/>
          <w:szCs w:val="28"/>
        </w:rPr>
        <w:t>13,0</w:t>
      </w:r>
      <w:r w:rsidRPr="00D91F8E">
        <w:rPr>
          <w:rFonts w:ascii="Times New Roman" w:hAnsi="Times New Roman" w:cs="Times New Roman"/>
          <w:sz w:val="28"/>
          <w:szCs w:val="28"/>
        </w:rPr>
        <w:t xml:space="preserve"> тис. чол. </w:t>
      </w:r>
      <w:r w:rsidR="007C0D0F" w:rsidRPr="00D91F8E">
        <w:rPr>
          <w:rFonts w:ascii="Times New Roman" w:hAnsi="Times New Roman" w:cs="Times New Roman"/>
          <w:sz w:val="28"/>
          <w:szCs w:val="28"/>
        </w:rPr>
        <w:t>пільгових категорій громадян.</w:t>
      </w:r>
    </w:p>
    <w:p w:rsidR="00371E1F" w:rsidRPr="00D91F8E" w:rsidRDefault="00371E1F" w:rsidP="00371E1F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>показ</w:t>
      </w:r>
      <w:r w:rsidR="00FC3E85" w:rsidRPr="00D91F8E">
        <w:rPr>
          <w:rFonts w:ascii="Times New Roman" w:hAnsi="Times New Roman" w:cs="Times New Roman"/>
          <w:sz w:val="28"/>
          <w:szCs w:val="28"/>
        </w:rPr>
        <w:t xml:space="preserve">ник затрат при цьому склав </w:t>
      </w:r>
      <w:r w:rsidR="00464FA2" w:rsidRPr="00D91F8E">
        <w:rPr>
          <w:rFonts w:ascii="Times New Roman" w:hAnsi="Times New Roman" w:cs="Times New Roman"/>
          <w:sz w:val="28"/>
          <w:szCs w:val="28"/>
        </w:rPr>
        <w:t>2</w:t>
      </w:r>
      <w:r w:rsidR="00E851E2" w:rsidRPr="00D91F8E">
        <w:rPr>
          <w:rFonts w:ascii="Times New Roman" w:hAnsi="Times New Roman" w:cs="Times New Roman"/>
          <w:sz w:val="28"/>
          <w:szCs w:val="28"/>
        </w:rPr>
        <w:t>4</w:t>
      </w:r>
      <w:r w:rsidR="00464FA2" w:rsidRPr="00D91F8E">
        <w:rPr>
          <w:rFonts w:ascii="Times New Roman" w:hAnsi="Times New Roman" w:cs="Times New Roman"/>
          <w:sz w:val="28"/>
          <w:szCs w:val="28"/>
        </w:rPr>
        <w:t xml:space="preserve">00,0 </w:t>
      </w:r>
      <w:r w:rsidRPr="00D91F8E">
        <w:rPr>
          <w:rFonts w:ascii="Times New Roman" w:hAnsi="Times New Roman" w:cs="Times New Roman"/>
          <w:sz w:val="28"/>
          <w:szCs w:val="28"/>
        </w:rPr>
        <w:t>тис.грн.;</w:t>
      </w:r>
    </w:p>
    <w:p w:rsidR="00371E1F" w:rsidRPr="00D91F8E" w:rsidRDefault="00371E1F" w:rsidP="00371E1F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 xml:space="preserve">показник ефективності, а саме середньомісячний розмір компенсацій при цьому становив </w:t>
      </w:r>
      <w:r w:rsidR="00E851E2" w:rsidRPr="00D91F8E">
        <w:rPr>
          <w:rFonts w:ascii="Times New Roman" w:hAnsi="Times New Roman" w:cs="Times New Roman"/>
          <w:sz w:val="28"/>
          <w:szCs w:val="28"/>
        </w:rPr>
        <w:t>200,0</w:t>
      </w:r>
      <w:r w:rsidRPr="00D91F8E">
        <w:rPr>
          <w:rFonts w:ascii="Times New Roman" w:hAnsi="Times New Roman" w:cs="Times New Roman"/>
          <w:sz w:val="28"/>
          <w:szCs w:val="28"/>
        </w:rPr>
        <w:t xml:space="preserve"> тис.грн.;</w:t>
      </w:r>
    </w:p>
    <w:p w:rsidR="00371E1F" w:rsidRPr="00D91F8E" w:rsidRDefault="00371E1F" w:rsidP="00371E1F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>показник якості - питома вага відшкодованих компенсацій до нарахованих в межах кошторису 100%.</w:t>
      </w:r>
    </w:p>
    <w:p w:rsidR="003B478E" w:rsidRPr="00D91F8E" w:rsidRDefault="003B478E" w:rsidP="003B478E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b/>
          <w:sz w:val="28"/>
          <w:szCs w:val="28"/>
        </w:rPr>
        <w:t>Паспортом бюджетної програми 1913036 передбачено такі показники</w:t>
      </w:r>
      <w:r w:rsidRPr="00D91F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478E" w:rsidRPr="00D91F8E" w:rsidRDefault="003B478E" w:rsidP="003B478E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 xml:space="preserve">показник продукту - кількість підприємств-отримувачів компенсацій за пільговий проїзд окремих категорій громадян у кількості  1-го комунального підприємства "Тернопільелектротранс" - виконаний. Обсяг перевезених </w:t>
      </w:r>
      <w:r w:rsidRPr="00D91F8E">
        <w:rPr>
          <w:rFonts w:ascii="Times New Roman" w:hAnsi="Times New Roman" w:cs="Times New Roman"/>
          <w:sz w:val="28"/>
          <w:szCs w:val="28"/>
        </w:rPr>
        <w:lastRenderedPageBreak/>
        <w:t xml:space="preserve">окремих категорій громадян електротранспортом </w:t>
      </w:r>
      <w:r w:rsidR="007C0D0F" w:rsidRPr="00D91F8E">
        <w:rPr>
          <w:rFonts w:ascii="Times New Roman" w:hAnsi="Times New Roman" w:cs="Times New Roman"/>
          <w:sz w:val="28"/>
          <w:szCs w:val="28"/>
        </w:rPr>
        <w:t xml:space="preserve">становив </w:t>
      </w:r>
      <w:r w:rsidR="00D662D2" w:rsidRPr="004F6EC7">
        <w:rPr>
          <w:rFonts w:ascii="Times New Roman" w:hAnsi="Times New Roman" w:cs="Times New Roman"/>
          <w:color w:val="000000" w:themeColor="text1"/>
          <w:sz w:val="28"/>
          <w:szCs w:val="28"/>
        </w:rPr>
        <w:t>3 9</w:t>
      </w:r>
      <w:r w:rsidR="004F6EC7" w:rsidRPr="004F6EC7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D662D2" w:rsidRPr="004F6E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F6EC7" w:rsidRPr="004F6E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91F8E">
        <w:rPr>
          <w:rFonts w:ascii="Times New Roman" w:hAnsi="Times New Roman" w:cs="Times New Roman"/>
          <w:sz w:val="28"/>
          <w:szCs w:val="28"/>
        </w:rPr>
        <w:t xml:space="preserve"> тис. п</w:t>
      </w:r>
      <w:r w:rsidR="00C9512B" w:rsidRPr="00D91F8E">
        <w:rPr>
          <w:rFonts w:ascii="Times New Roman" w:hAnsi="Times New Roman" w:cs="Times New Roman"/>
          <w:sz w:val="28"/>
          <w:szCs w:val="28"/>
        </w:rPr>
        <w:t>ільговиків</w:t>
      </w:r>
      <w:r w:rsidRPr="00D91F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478E" w:rsidRPr="00D91F8E" w:rsidRDefault="003B478E" w:rsidP="003B478E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>показн</w:t>
      </w:r>
      <w:r w:rsidR="007C0D0F" w:rsidRPr="00D91F8E">
        <w:rPr>
          <w:rFonts w:ascii="Times New Roman" w:hAnsi="Times New Roman" w:cs="Times New Roman"/>
          <w:sz w:val="28"/>
          <w:szCs w:val="28"/>
        </w:rPr>
        <w:t xml:space="preserve">ик затрат при цьому склав </w:t>
      </w:r>
      <w:r w:rsidR="00E541F3" w:rsidRPr="00D91F8E">
        <w:rPr>
          <w:rFonts w:ascii="Times New Roman" w:hAnsi="Times New Roman" w:cs="Times New Roman"/>
          <w:sz w:val="28"/>
          <w:szCs w:val="28"/>
        </w:rPr>
        <w:t>34663,9</w:t>
      </w:r>
      <w:r w:rsidRPr="00D91F8E">
        <w:rPr>
          <w:rFonts w:ascii="Times New Roman" w:hAnsi="Times New Roman" w:cs="Times New Roman"/>
          <w:sz w:val="28"/>
          <w:szCs w:val="28"/>
        </w:rPr>
        <w:t xml:space="preserve"> тис.грн.;</w:t>
      </w:r>
      <w:r w:rsidR="00E541F3" w:rsidRPr="00D91F8E">
        <w:rPr>
          <w:rFonts w:ascii="Times New Roman" w:hAnsi="Times New Roman" w:cs="Times New Roman"/>
          <w:sz w:val="28"/>
          <w:szCs w:val="28"/>
        </w:rPr>
        <w:t xml:space="preserve"> фактичний показник затрат на кінець року становить – 32967,0 тис.грн.</w:t>
      </w:r>
    </w:p>
    <w:p w:rsidR="003B478E" w:rsidRPr="00D91F8E" w:rsidRDefault="003B478E" w:rsidP="003B478E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>показник ефективності, а саме середньомісячний розмір компен</w:t>
      </w:r>
      <w:r w:rsidR="007C0D0F" w:rsidRPr="00D91F8E">
        <w:rPr>
          <w:rFonts w:ascii="Times New Roman" w:hAnsi="Times New Roman" w:cs="Times New Roman"/>
          <w:sz w:val="28"/>
          <w:szCs w:val="28"/>
        </w:rPr>
        <w:t xml:space="preserve">сацій при цьому становив </w:t>
      </w:r>
      <w:r w:rsidR="00E541F3" w:rsidRPr="00D91F8E">
        <w:rPr>
          <w:rFonts w:ascii="Times New Roman" w:hAnsi="Times New Roman" w:cs="Times New Roman"/>
          <w:sz w:val="28"/>
          <w:szCs w:val="28"/>
        </w:rPr>
        <w:t>2888,6</w:t>
      </w:r>
      <w:r w:rsidRPr="00D91F8E">
        <w:rPr>
          <w:rFonts w:ascii="Times New Roman" w:hAnsi="Times New Roman" w:cs="Times New Roman"/>
          <w:sz w:val="28"/>
          <w:szCs w:val="28"/>
        </w:rPr>
        <w:t xml:space="preserve"> тис.грн.</w:t>
      </w:r>
      <w:r w:rsidR="00E541F3" w:rsidRPr="00D91F8E">
        <w:rPr>
          <w:rFonts w:ascii="Times New Roman" w:hAnsi="Times New Roman" w:cs="Times New Roman"/>
          <w:sz w:val="28"/>
          <w:szCs w:val="28"/>
        </w:rPr>
        <w:t>, фактичний показник становить – 2747,2 тис.грн.</w:t>
      </w:r>
    </w:p>
    <w:p w:rsidR="003B478E" w:rsidRPr="00D91F8E" w:rsidRDefault="003B478E" w:rsidP="003B478E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>показник якості - питома вага відшкодованих компенсацій до нарахованих в межах кошторису 100%.</w:t>
      </w:r>
    </w:p>
    <w:p w:rsidR="001118AF" w:rsidRPr="00D91F8E" w:rsidRDefault="00A8267D" w:rsidP="003B478E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 xml:space="preserve">Окрім вищезазначених паспортів бюджетних програм, видатки управління здійснювалися і за іншими бюджетними програмами, а саме: </w:t>
      </w:r>
    </w:p>
    <w:p w:rsidR="00A8267D" w:rsidRPr="00D91F8E" w:rsidRDefault="00A8267D" w:rsidP="003B478E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 xml:space="preserve">1917530 «Інші заходи у сфері </w:t>
      </w:r>
      <w:r w:rsidR="001E733F" w:rsidRPr="00D91F8E">
        <w:rPr>
          <w:rFonts w:ascii="Times New Roman" w:hAnsi="Times New Roman" w:cs="Times New Roman"/>
          <w:sz w:val="28"/>
          <w:szCs w:val="28"/>
        </w:rPr>
        <w:t>зв’язку, телекомунікацій та інформатики»</w:t>
      </w:r>
    </w:p>
    <w:p w:rsidR="002005EA" w:rsidRPr="00D91F8E" w:rsidRDefault="002005EA" w:rsidP="002005EA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bCs/>
          <w:sz w:val="28"/>
          <w:szCs w:val="28"/>
        </w:rPr>
        <w:t xml:space="preserve">1917691 </w:t>
      </w:r>
      <w:r w:rsidRPr="00D91F8E">
        <w:rPr>
          <w:rFonts w:ascii="Times New Roman" w:hAnsi="Times New Roman" w:cs="Times New Roman"/>
          <w:sz w:val="28"/>
          <w:szCs w:val="28"/>
        </w:rPr>
        <w:t xml:space="preserve"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влади. </w:t>
      </w:r>
    </w:p>
    <w:p w:rsidR="00315399" w:rsidRPr="00D91F8E" w:rsidRDefault="002005EA" w:rsidP="003E35AC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b/>
          <w:sz w:val="28"/>
          <w:szCs w:val="28"/>
        </w:rPr>
        <w:t>Паспортом бюджетної програми 1917</w:t>
      </w:r>
      <w:r w:rsidR="001E733F" w:rsidRPr="00D91F8E">
        <w:rPr>
          <w:rFonts w:ascii="Times New Roman" w:hAnsi="Times New Roman" w:cs="Times New Roman"/>
          <w:b/>
          <w:sz w:val="28"/>
          <w:szCs w:val="28"/>
        </w:rPr>
        <w:t>530</w:t>
      </w:r>
      <w:r w:rsidRPr="00D91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33F" w:rsidRPr="00D91F8E">
        <w:rPr>
          <w:rFonts w:ascii="Times New Roman" w:hAnsi="Times New Roman" w:cs="Times New Roman"/>
          <w:b/>
          <w:bCs/>
          <w:sz w:val="28"/>
          <w:szCs w:val="28"/>
        </w:rPr>
        <w:t>«Інші заходи у сфері зв’язку, телекомунікацій та інформатики»</w:t>
      </w:r>
      <w:r w:rsidR="00315399" w:rsidRPr="00D91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35AC" w:rsidRPr="00D91F8E">
        <w:rPr>
          <w:rFonts w:ascii="Times New Roman" w:hAnsi="Times New Roman" w:cs="Times New Roman"/>
          <w:sz w:val="28"/>
          <w:szCs w:val="28"/>
        </w:rPr>
        <w:t>передбачена фінансова підтримка КП</w:t>
      </w:r>
      <w:r w:rsidR="00315399" w:rsidRPr="00D91F8E">
        <w:rPr>
          <w:rFonts w:ascii="Times New Roman" w:hAnsi="Times New Roman" w:cs="Times New Roman"/>
          <w:sz w:val="28"/>
          <w:szCs w:val="28"/>
        </w:rPr>
        <w:t xml:space="preserve"> </w:t>
      </w:r>
      <w:r w:rsidR="003E35AC" w:rsidRPr="00D91F8E">
        <w:rPr>
          <w:rFonts w:ascii="Times New Roman" w:hAnsi="Times New Roman" w:cs="Times New Roman"/>
          <w:sz w:val="28"/>
          <w:szCs w:val="28"/>
        </w:rPr>
        <w:t>"</w:t>
      </w:r>
      <w:r w:rsidR="00315399" w:rsidRPr="00D91F8E">
        <w:rPr>
          <w:rFonts w:ascii="Times New Roman" w:hAnsi="Times New Roman" w:cs="Times New Roman"/>
          <w:sz w:val="28"/>
          <w:szCs w:val="28"/>
        </w:rPr>
        <w:t>Тернопіль Інтеравіа</w:t>
      </w:r>
      <w:r w:rsidR="003E35AC" w:rsidRPr="00D91F8E">
        <w:rPr>
          <w:rFonts w:ascii="Times New Roman" w:hAnsi="Times New Roman" w:cs="Times New Roman"/>
          <w:sz w:val="28"/>
          <w:szCs w:val="28"/>
        </w:rPr>
        <w:t xml:space="preserve">" в розмірі </w:t>
      </w:r>
      <w:r w:rsidR="00315399" w:rsidRPr="00D91F8E">
        <w:rPr>
          <w:rFonts w:ascii="Times New Roman" w:hAnsi="Times New Roman" w:cs="Times New Roman"/>
          <w:sz w:val="28"/>
          <w:szCs w:val="28"/>
        </w:rPr>
        <w:t>2200,0</w:t>
      </w:r>
      <w:r w:rsidR="003E35AC" w:rsidRPr="00D91F8E">
        <w:rPr>
          <w:rFonts w:ascii="Times New Roman" w:hAnsi="Times New Roman" w:cs="Times New Roman"/>
          <w:sz w:val="28"/>
          <w:szCs w:val="28"/>
        </w:rPr>
        <w:t xml:space="preserve"> тис.грн. </w:t>
      </w:r>
      <w:r w:rsidR="00DC2277" w:rsidRPr="00D91F8E">
        <w:rPr>
          <w:rFonts w:ascii="Times New Roman" w:hAnsi="Times New Roman" w:cs="Times New Roman"/>
          <w:sz w:val="28"/>
          <w:szCs w:val="28"/>
        </w:rPr>
        <w:t>(</w:t>
      </w:r>
      <w:r w:rsidR="00315399" w:rsidRPr="00D91F8E">
        <w:rPr>
          <w:rFonts w:ascii="Times New Roman" w:hAnsi="Times New Roman" w:cs="Times New Roman"/>
          <w:sz w:val="28"/>
          <w:szCs w:val="28"/>
        </w:rPr>
        <w:t>0</w:t>
      </w:r>
      <w:r w:rsidR="00DC2277" w:rsidRPr="00D91F8E">
        <w:rPr>
          <w:rFonts w:ascii="Times New Roman" w:hAnsi="Times New Roman" w:cs="Times New Roman"/>
          <w:sz w:val="28"/>
          <w:szCs w:val="28"/>
        </w:rPr>
        <w:t>,</w:t>
      </w:r>
      <w:r w:rsidR="00315399" w:rsidRPr="00D91F8E">
        <w:rPr>
          <w:rFonts w:ascii="Times New Roman" w:hAnsi="Times New Roman" w:cs="Times New Roman"/>
          <w:sz w:val="28"/>
          <w:szCs w:val="28"/>
        </w:rPr>
        <w:t>7</w:t>
      </w:r>
      <w:r w:rsidR="00DC2277" w:rsidRPr="00D91F8E">
        <w:rPr>
          <w:rFonts w:ascii="Times New Roman" w:hAnsi="Times New Roman" w:cs="Times New Roman"/>
          <w:sz w:val="28"/>
          <w:szCs w:val="28"/>
        </w:rPr>
        <w:t>%видатків)</w:t>
      </w:r>
      <w:r w:rsidR="00315399" w:rsidRPr="00D91F8E">
        <w:rPr>
          <w:rFonts w:ascii="Times New Roman" w:hAnsi="Times New Roman" w:cs="Times New Roman"/>
          <w:sz w:val="28"/>
          <w:szCs w:val="28"/>
        </w:rPr>
        <w:t xml:space="preserve"> по програмі «Безпечна громада» проєкт «Безпечний двір». Кошти спрямовувалися </w:t>
      </w:r>
      <w:r w:rsidR="003E35AC" w:rsidRPr="00D91F8E">
        <w:rPr>
          <w:rFonts w:ascii="Times New Roman" w:hAnsi="Times New Roman" w:cs="Times New Roman"/>
          <w:sz w:val="28"/>
          <w:szCs w:val="28"/>
        </w:rPr>
        <w:t xml:space="preserve"> </w:t>
      </w:r>
      <w:r w:rsidR="00315399" w:rsidRPr="00D91F8E">
        <w:rPr>
          <w:rFonts w:ascii="Times New Roman" w:hAnsi="Times New Roman" w:cs="Times New Roman"/>
          <w:sz w:val="28"/>
          <w:szCs w:val="28"/>
        </w:rPr>
        <w:t xml:space="preserve">на придбання та встановлення камер відеоспостереження на перехрестях вулиць міста, забезпечення доступу до мережі Інтернет камер відеоспостереження, забезпечення функціонування </w:t>
      </w:r>
      <w:r w:rsidR="00315399" w:rsidRPr="00D91F8E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315399" w:rsidRPr="00D91F8E">
        <w:rPr>
          <w:rFonts w:ascii="Times New Roman" w:hAnsi="Times New Roman" w:cs="Times New Roman"/>
          <w:sz w:val="28"/>
          <w:szCs w:val="28"/>
        </w:rPr>
        <w:t xml:space="preserve"> центру, придбання та встановлення камер відеоспостереження по проєкту «Безпечний двір».</w:t>
      </w:r>
    </w:p>
    <w:p w:rsidR="003E35AC" w:rsidRPr="00D91F8E" w:rsidRDefault="003E35AC" w:rsidP="003E35AC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 xml:space="preserve">Середньомісячний обсяг фінансової підтримки  становив </w:t>
      </w:r>
      <w:r w:rsidR="00315399" w:rsidRPr="00D91F8E">
        <w:rPr>
          <w:rFonts w:ascii="Times New Roman" w:hAnsi="Times New Roman" w:cs="Times New Roman"/>
          <w:sz w:val="28"/>
          <w:szCs w:val="28"/>
        </w:rPr>
        <w:t>183,3</w:t>
      </w:r>
      <w:r w:rsidR="00F01FAC" w:rsidRPr="00D91F8E">
        <w:rPr>
          <w:rFonts w:ascii="Times New Roman" w:hAnsi="Times New Roman" w:cs="Times New Roman"/>
          <w:sz w:val="28"/>
          <w:szCs w:val="28"/>
        </w:rPr>
        <w:t xml:space="preserve"> </w:t>
      </w:r>
      <w:r w:rsidRPr="00D91F8E">
        <w:rPr>
          <w:rFonts w:ascii="Times New Roman" w:hAnsi="Times New Roman" w:cs="Times New Roman"/>
          <w:sz w:val="28"/>
          <w:szCs w:val="28"/>
        </w:rPr>
        <w:t>тис. грн.</w:t>
      </w:r>
    </w:p>
    <w:p w:rsidR="00315399" w:rsidRPr="00D91F8E" w:rsidRDefault="00315399" w:rsidP="003E35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>Фактичне виконання паспорта бюджетної програми</w:t>
      </w:r>
      <w:r w:rsidR="00B15F56" w:rsidRPr="00D91F8E">
        <w:rPr>
          <w:rFonts w:ascii="Times New Roman" w:hAnsi="Times New Roman" w:cs="Times New Roman"/>
          <w:sz w:val="28"/>
          <w:szCs w:val="28"/>
        </w:rPr>
        <w:t xml:space="preserve"> складає 1931,8 тис.грн. Не використаними залишилися 2</w:t>
      </w:r>
      <w:r w:rsidR="00100FF9">
        <w:rPr>
          <w:rFonts w:ascii="Times New Roman" w:hAnsi="Times New Roman" w:cs="Times New Roman"/>
          <w:sz w:val="28"/>
          <w:szCs w:val="28"/>
        </w:rPr>
        <w:t>68</w:t>
      </w:r>
      <w:r w:rsidR="00B15F56" w:rsidRPr="00D91F8E">
        <w:rPr>
          <w:rFonts w:ascii="Times New Roman" w:hAnsi="Times New Roman" w:cs="Times New Roman"/>
          <w:sz w:val="28"/>
          <w:szCs w:val="28"/>
        </w:rPr>
        <w:t>,</w:t>
      </w:r>
      <w:r w:rsidR="00100FF9">
        <w:rPr>
          <w:rFonts w:ascii="Times New Roman" w:hAnsi="Times New Roman" w:cs="Times New Roman"/>
          <w:sz w:val="28"/>
          <w:szCs w:val="28"/>
        </w:rPr>
        <w:t>2</w:t>
      </w:r>
      <w:r w:rsidR="00B15F56" w:rsidRPr="00D91F8E">
        <w:rPr>
          <w:rFonts w:ascii="Times New Roman" w:hAnsi="Times New Roman" w:cs="Times New Roman"/>
          <w:sz w:val="28"/>
          <w:szCs w:val="28"/>
        </w:rPr>
        <w:t xml:space="preserve"> тис.грн.</w:t>
      </w:r>
    </w:p>
    <w:p w:rsidR="00DC2277" w:rsidRPr="00D91F8E" w:rsidRDefault="00DC2277" w:rsidP="00DC2277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b/>
          <w:sz w:val="28"/>
          <w:szCs w:val="28"/>
        </w:rPr>
        <w:t xml:space="preserve">Паспортом бюджетної програми 1917691 </w:t>
      </w:r>
      <w:r w:rsidRPr="00D91F8E">
        <w:rPr>
          <w:rFonts w:ascii="Times New Roman" w:hAnsi="Times New Roman" w:cs="Times New Roman"/>
          <w:sz w:val="28"/>
          <w:szCs w:val="28"/>
        </w:rPr>
        <w:t xml:space="preserve"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 </w:t>
      </w:r>
    </w:p>
    <w:p w:rsidR="00B15F56" w:rsidRPr="00D91F8E" w:rsidRDefault="00DC2277" w:rsidP="003B478E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 xml:space="preserve">передбачено  </w:t>
      </w:r>
      <w:r w:rsidR="00B15F56" w:rsidRPr="00D91F8E">
        <w:rPr>
          <w:rFonts w:ascii="Times New Roman" w:hAnsi="Times New Roman" w:cs="Times New Roman"/>
          <w:sz w:val="28"/>
          <w:szCs w:val="28"/>
        </w:rPr>
        <w:t>9,0</w:t>
      </w:r>
      <w:r w:rsidRPr="00D91F8E">
        <w:rPr>
          <w:rFonts w:ascii="Times New Roman" w:hAnsi="Times New Roman" w:cs="Times New Roman"/>
          <w:sz w:val="28"/>
          <w:szCs w:val="28"/>
        </w:rPr>
        <w:t xml:space="preserve"> тис.грн., </w:t>
      </w:r>
      <w:r w:rsidR="00B15F56" w:rsidRPr="00D91F8E">
        <w:rPr>
          <w:rFonts w:ascii="Times New Roman" w:hAnsi="Times New Roman" w:cs="Times New Roman"/>
          <w:sz w:val="28"/>
          <w:szCs w:val="28"/>
        </w:rPr>
        <w:t>які планувалося використати на виготовлення паспортів маршрутів в кількості 3 штуки</w:t>
      </w:r>
      <w:r w:rsidRPr="00D91F8E">
        <w:rPr>
          <w:rFonts w:ascii="Times New Roman" w:hAnsi="Times New Roman" w:cs="Times New Roman"/>
          <w:sz w:val="28"/>
          <w:szCs w:val="28"/>
        </w:rPr>
        <w:t xml:space="preserve">. </w:t>
      </w:r>
      <w:r w:rsidR="00B15F56" w:rsidRPr="00D91F8E">
        <w:rPr>
          <w:rFonts w:ascii="Times New Roman" w:hAnsi="Times New Roman" w:cs="Times New Roman"/>
          <w:sz w:val="28"/>
          <w:szCs w:val="28"/>
        </w:rPr>
        <w:t>Середня вартість виготовлення одного паспорту – 3,0 тис.грн.</w:t>
      </w:r>
    </w:p>
    <w:p w:rsidR="002005EA" w:rsidRPr="00D91F8E" w:rsidRDefault="00DC2277" w:rsidP="003B478E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15F56" w:rsidRPr="00D91F8E">
        <w:rPr>
          <w:rFonts w:ascii="Times New Roman" w:hAnsi="Times New Roman" w:cs="Times New Roman"/>
          <w:sz w:val="28"/>
          <w:szCs w:val="28"/>
        </w:rPr>
        <w:t>На протязі бюджетного року кошти не були використані.</w:t>
      </w:r>
    </w:p>
    <w:p w:rsidR="005435D3" w:rsidRPr="00D91F8E" w:rsidRDefault="00B15F56" w:rsidP="003B478E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ab/>
        <w:t>У зв’язку із введенням військового стану у 2022 році</w:t>
      </w:r>
      <w:r w:rsidR="0054577B" w:rsidRPr="00D91F8E">
        <w:rPr>
          <w:rFonts w:ascii="Times New Roman" w:hAnsi="Times New Roman" w:cs="Times New Roman"/>
          <w:sz w:val="28"/>
          <w:szCs w:val="28"/>
        </w:rPr>
        <w:t xml:space="preserve">, з метою забезпечення </w:t>
      </w:r>
      <w:r w:rsidR="00D12530" w:rsidRPr="00D91F8E">
        <w:rPr>
          <w:rFonts w:ascii="Times New Roman" w:hAnsi="Times New Roman" w:cs="Times New Roman"/>
          <w:sz w:val="28"/>
          <w:szCs w:val="28"/>
        </w:rPr>
        <w:t>військових формувань засобами індивідуального захисту, військовою амуніцією, форменним одягом, взуттям тощо, виготовленням, пошиттям та закупівлею військової муніції, форменного одягу тощо, придбання пмм, придбанням квадрокоптера</w:t>
      </w:r>
      <w:r w:rsidR="0054577B" w:rsidRPr="00D91F8E">
        <w:rPr>
          <w:rFonts w:ascii="Times New Roman" w:hAnsi="Times New Roman" w:cs="Times New Roman"/>
          <w:sz w:val="28"/>
          <w:szCs w:val="28"/>
        </w:rPr>
        <w:t xml:space="preserve">, на управління транспортних мереж </w:t>
      </w:r>
      <w:r w:rsidRPr="00D91F8E">
        <w:rPr>
          <w:rFonts w:ascii="Times New Roman" w:hAnsi="Times New Roman" w:cs="Times New Roman"/>
          <w:sz w:val="28"/>
          <w:szCs w:val="28"/>
        </w:rPr>
        <w:t xml:space="preserve"> </w:t>
      </w:r>
      <w:r w:rsidR="0054577B" w:rsidRPr="00D91F8E">
        <w:rPr>
          <w:rFonts w:ascii="Times New Roman" w:hAnsi="Times New Roman" w:cs="Times New Roman"/>
          <w:sz w:val="28"/>
          <w:szCs w:val="28"/>
        </w:rPr>
        <w:t xml:space="preserve">та зв’язку, як головного розпорядника, виділялися кошти </w:t>
      </w:r>
      <w:r w:rsidR="00D8208A" w:rsidRPr="00D91F8E">
        <w:rPr>
          <w:rFonts w:ascii="Times New Roman" w:hAnsi="Times New Roman" w:cs="Times New Roman"/>
          <w:sz w:val="28"/>
          <w:szCs w:val="28"/>
        </w:rPr>
        <w:t xml:space="preserve">в сумі 3303,6 тис.грн. з загального фонду та 120,0 тис.грн. з спецфонду </w:t>
      </w:r>
      <w:r w:rsidR="0054577B" w:rsidRPr="00D91F8E">
        <w:rPr>
          <w:rFonts w:ascii="Times New Roman" w:hAnsi="Times New Roman" w:cs="Times New Roman"/>
          <w:sz w:val="28"/>
          <w:szCs w:val="28"/>
        </w:rPr>
        <w:t>по бюджетн</w:t>
      </w:r>
      <w:r w:rsidR="00D8208A" w:rsidRPr="00D91F8E">
        <w:rPr>
          <w:rFonts w:ascii="Times New Roman" w:hAnsi="Times New Roman" w:cs="Times New Roman"/>
          <w:sz w:val="28"/>
          <w:szCs w:val="28"/>
        </w:rPr>
        <w:t>ій</w:t>
      </w:r>
      <w:r w:rsidR="0054577B" w:rsidRPr="00D91F8E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D8208A" w:rsidRPr="00D91F8E">
        <w:rPr>
          <w:rFonts w:ascii="Times New Roman" w:hAnsi="Times New Roman" w:cs="Times New Roman"/>
          <w:sz w:val="28"/>
          <w:szCs w:val="28"/>
        </w:rPr>
        <w:t>і</w:t>
      </w:r>
      <w:r w:rsidR="0054577B" w:rsidRPr="00D91F8E">
        <w:rPr>
          <w:rFonts w:ascii="Times New Roman" w:hAnsi="Times New Roman" w:cs="Times New Roman"/>
          <w:sz w:val="28"/>
          <w:szCs w:val="28"/>
        </w:rPr>
        <w:t xml:space="preserve"> 1918240 «</w:t>
      </w:r>
      <w:r w:rsidR="00D8208A" w:rsidRPr="00D91F8E">
        <w:rPr>
          <w:rFonts w:ascii="Times New Roman" w:hAnsi="Times New Roman" w:cs="Times New Roman"/>
          <w:sz w:val="28"/>
          <w:szCs w:val="28"/>
        </w:rPr>
        <w:t>Заходи та роботи з територіальної оборони».</w:t>
      </w:r>
    </w:p>
    <w:p w:rsidR="00B15F56" w:rsidRPr="00D91F8E" w:rsidRDefault="00D8208A" w:rsidP="003B478E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 xml:space="preserve"> Видатки проводилися для двох комунальних підприємств «Тернопільелектротранс» та «Міськавтотранс» згідно заходів Програми забезпечення обороноздатності військових формувань Тернопільського гарнізону та військового призову </w:t>
      </w:r>
      <w:r w:rsidR="00D12530" w:rsidRPr="00D91F8E">
        <w:rPr>
          <w:rFonts w:ascii="Times New Roman" w:hAnsi="Times New Roman" w:cs="Times New Roman"/>
          <w:sz w:val="28"/>
          <w:szCs w:val="28"/>
        </w:rPr>
        <w:t>Тернопільської міської територіальної громади на 2022 рік</w:t>
      </w:r>
      <w:r w:rsidR="005435D3" w:rsidRPr="00D91F8E">
        <w:rPr>
          <w:rFonts w:ascii="Times New Roman" w:hAnsi="Times New Roman" w:cs="Times New Roman"/>
          <w:sz w:val="28"/>
          <w:szCs w:val="28"/>
        </w:rPr>
        <w:t xml:space="preserve"> та фактично склали 2787,8 тис.грн. (0,8</w:t>
      </w:r>
      <w:r w:rsidR="00C01648">
        <w:rPr>
          <w:rFonts w:ascii="Times New Roman" w:hAnsi="Times New Roman" w:cs="Times New Roman"/>
          <w:sz w:val="28"/>
          <w:szCs w:val="28"/>
        </w:rPr>
        <w:t>6</w:t>
      </w:r>
      <w:r w:rsidR="005435D3" w:rsidRPr="00D91F8E">
        <w:rPr>
          <w:rFonts w:ascii="Times New Roman" w:hAnsi="Times New Roman" w:cs="Times New Roman"/>
          <w:sz w:val="28"/>
          <w:szCs w:val="28"/>
        </w:rPr>
        <w:t xml:space="preserve">% здійснених </w:t>
      </w:r>
      <w:r w:rsidR="00C01648">
        <w:rPr>
          <w:rFonts w:ascii="Times New Roman" w:hAnsi="Times New Roman" w:cs="Times New Roman"/>
          <w:sz w:val="28"/>
          <w:szCs w:val="28"/>
        </w:rPr>
        <w:t xml:space="preserve">фактичних </w:t>
      </w:r>
      <w:r w:rsidR="005435D3" w:rsidRPr="00D91F8E">
        <w:rPr>
          <w:rFonts w:ascii="Times New Roman" w:hAnsi="Times New Roman" w:cs="Times New Roman"/>
          <w:sz w:val="28"/>
          <w:szCs w:val="28"/>
        </w:rPr>
        <w:t>видатків).</w:t>
      </w:r>
    </w:p>
    <w:p w:rsidR="005435D3" w:rsidRPr="00D91F8E" w:rsidRDefault="005435D3" w:rsidP="00543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F8E">
        <w:rPr>
          <w:rFonts w:ascii="Times New Roman" w:hAnsi="Times New Roman" w:cs="Times New Roman"/>
          <w:b/>
          <w:sz w:val="28"/>
          <w:szCs w:val="28"/>
        </w:rPr>
        <w:t xml:space="preserve">Паспортом бюджетної програми 1918240 </w:t>
      </w:r>
      <w:r w:rsidRPr="00D91F8E">
        <w:rPr>
          <w:rFonts w:ascii="Times New Roman" w:hAnsi="Times New Roman" w:cs="Times New Roman"/>
          <w:b/>
          <w:bCs/>
          <w:sz w:val="28"/>
          <w:szCs w:val="28"/>
        </w:rPr>
        <w:t>«Заходи та роботи з територіальної оборони» передбачені такі показники:</w:t>
      </w:r>
    </w:p>
    <w:p w:rsidR="005435D3" w:rsidRPr="00D91F8E" w:rsidRDefault="005435D3" w:rsidP="003B478E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>показник продукту - кількість підприємств, яким спрямовані кошти – 2 підприємства – виконаний;</w:t>
      </w:r>
    </w:p>
    <w:p w:rsidR="005435D3" w:rsidRDefault="005435D3" w:rsidP="003B478E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 xml:space="preserve">показник затрат - обсяг видатків на заходи та роботи з територіальної оборони: при плановому показнику затрат 3420,6 тис.грн. (3300,6 тис.грн. та 120,0 тис.грн.), підприємства освоїли  </w:t>
      </w:r>
      <w:r w:rsidR="008B108F" w:rsidRPr="00D91F8E">
        <w:rPr>
          <w:rFonts w:ascii="Times New Roman" w:hAnsi="Times New Roman" w:cs="Times New Roman"/>
          <w:sz w:val="28"/>
          <w:szCs w:val="28"/>
        </w:rPr>
        <w:t>2787,8 тис.грн. (загальний фонд) та 119,4 тис.грн. (спеціальний фонд). Решта коштів повернено в бюджет як зекономлені кошти.</w:t>
      </w:r>
    </w:p>
    <w:p w:rsidR="00C01648" w:rsidRPr="00D91F8E" w:rsidRDefault="00C01648" w:rsidP="003B4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Кошти були використані на придбання та пошиття комплектів форми польової, придбання паливно-мастильних матеріалів для заправки транспортних засобів, якими забезпечувались перевезення з питань тероборони та допомоги Збройним силам України.</w:t>
      </w:r>
    </w:p>
    <w:p w:rsidR="003B478E" w:rsidRPr="00D91F8E" w:rsidRDefault="003B478E" w:rsidP="003B478E">
      <w:pPr>
        <w:jc w:val="both"/>
        <w:rPr>
          <w:rFonts w:ascii="Times New Roman" w:hAnsi="Times New Roman" w:cs="Times New Roman"/>
          <w:sz w:val="28"/>
          <w:szCs w:val="28"/>
        </w:rPr>
      </w:pPr>
      <w:r w:rsidRPr="008E04CB">
        <w:rPr>
          <w:rFonts w:ascii="Times New Roman" w:hAnsi="Times New Roman" w:cs="Times New Roman"/>
          <w:b/>
          <w:bCs/>
          <w:sz w:val="28"/>
          <w:szCs w:val="28"/>
        </w:rPr>
        <w:t>Внески до статутного капіталу суб'єктів господарювання</w:t>
      </w:r>
      <w:r w:rsidRPr="00D91F8E">
        <w:rPr>
          <w:rFonts w:ascii="Times New Roman" w:hAnsi="Times New Roman" w:cs="Times New Roman"/>
          <w:sz w:val="28"/>
          <w:szCs w:val="28"/>
        </w:rPr>
        <w:t xml:space="preserve"> проводились для трьох комунальних підприємств:</w:t>
      </w:r>
      <w:r w:rsidR="00423AC5" w:rsidRPr="00D91F8E">
        <w:rPr>
          <w:rFonts w:ascii="Times New Roman" w:hAnsi="Times New Roman" w:cs="Times New Roman"/>
          <w:sz w:val="28"/>
          <w:szCs w:val="28"/>
        </w:rPr>
        <w:t xml:space="preserve"> КП "Тернопільелектротранс",</w:t>
      </w:r>
      <w:r w:rsidR="009C6C95" w:rsidRPr="00D91F8E">
        <w:rPr>
          <w:rFonts w:ascii="Times New Roman" w:hAnsi="Times New Roman" w:cs="Times New Roman"/>
          <w:sz w:val="28"/>
          <w:szCs w:val="28"/>
        </w:rPr>
        <w:t xml:space="preserve"> КП «Міськавтотранс»</w:t>
      </w:r>
      <w:r w:rsidR="00423AC5" w:rsidRPr="00D91F8E">
        <w:rPr>
          <w:rFonts w:ascii="Times New Roman" w:hAnsi="Times New Roman" w:cs="Times New Roman"/>
          <w:sz w:val="28"/>
          <w:szCs w:val="28"/>
        </w:rPr>
        <w:t xml:space="preserve"> КП "Тернопіль Інтеравіа" грунтуючись на заходах Програми розвитку пасажирського транспорту в м.Тернополі на 20</w:t>
      </w:r>
      <w:r w:rsidR="009C6C95" w:rsidRPr="00D91F8E">
        <w:rPr>
          <w:rFonts w:ascii="Times New Roman" w:hAnsi="Times New Roman" w:cs="Times New Roman"/>
          <w:sz w:val="28"/>
          <w:szCs w:val="28"/>
        </w:rPr>
        <w:t>21</w:t>
      </w:r>
      <w:r w:rsidR="00423AC5" w:rsidRPr="00D91F8E">
        <w:rPr>
          <w:rFonts w:ascii="Times New Roman" w:hAnsi="Times New Roman" w:cs="Times New Roman"/>
          <w:sz w:val="28"/>
          <w:szCs w:val="28"/>
        </w:rPr>
        <w:t>-202</w:t>
      </w:r>
      <w:r w:rsidR="009C6C95" w:rsidRPr="00D91F8E">
        <w:rPr>
          <w:rFonts w:ascii="Times New Roman" w:hAnsi="Times New Roman" w:cs="Times New Roman"/>
          <w:sz w:val="28"/>
          <w:szCs w:val="28"/>
        </w:rPr>
        <w:t>3</w:t>
      </w:r>
      <w:r w:rsidR="00423AC5" w:rsidRPr="00D91F8E">
        <w:rPr>
          <w:rFonts w:ascii="Times New Roman" w:hAnsi="Times New Roman" w:cs="Times New Roman"/>
          <w:sz w:val="28"/>
          <w:szCs w:val="28"/>
        </w:rPr>
        <w:t xml:space="preserve"> роки та Програмі</w:t>
      </w:r>
      <w:r w:rsidR="00B86F77" w:rsidRPr="00D91F8E">
        <w:rPr>
          <w:rFonts w:ascii="Times New Roman" w:hAnsi="Times New Roman" w:cs="Times New Roman"/>
          <w:sz w:val="28"/>
          <w:szCs w:val="28"/>
        </w:rPr>
        <w:t xml:space="preserve"> </w:t>
      </w:r>
      <w:r w:rsidR="00586EFC" w:rsidRPr="00D91F8E">
        <w:rPr>
          <w:rFonts w:ascii="Times New Roman" w:hAnsi="Times New Roman" w:cs="Times New Roman"/>
          <w:sz w:val="28"/>
          <w:szCs w:val="28"/>
        </w:rPr>
        <w:t>«Безпечна громада»</w:t>
      </w:r>
      <w:r w:rsidR="009C6C95" w:rsidRPr="00D91F8E">
        <w:rPr>
          <w:rFonts w:ascii="Times New Roman" w:hAnsi="Times New Roman" w:cs="Times New Roman"/>
          <w:sz w:val="28"/>
          <w:szCs w:val="28"/>
        </w:rPr>
        <w:t xml:space="preserve"> на 2021-2022 роки</w:t>
      </w:r>
      <w:r w:rsidR="00D74A76" w:rsidRPr="00D91F8E">
        <w:rPr>
          <w:rFonts w:ascii="Times New Roman" w:hAnsi="Times New Roman" w:cs="Times New Roman"/>
          <w:sz w:val="28"/>
          <w:szCs w:val="28"/>
        </w:rPr>
        <w:t xml:space="preserve"> на загальну суму </w:t>
      </w:r>
      <w:r w:rsidR="009C6C95" w:rsidRPr="00D91F8E">
        <w:rPr>
          <w:rFonts w:ascii="Times New Roman" w:hAnsi="Times New Roman" w:cs="Times New Roman"/>
          <w:sz w:val="28"/>
          <w:szCs w:val="28"/>
        </w:rPr>
        <w:t>88 525,0</w:t>
      </w:r>
      <w:r w:rsidR="00D74A76" w:rsidRPr="00D91F8E">
        <w:rPr>
          <w:rFonts w:ascii="Times New Roman" w:hAnsi="Times New Roman" w:cs="Times New Roman"/>
          <w:sz w:val="28"/>
          <w:szCs w:val="28"/>
        </w:rPr>
        <w:t xml:space="preserve"> тис. грн</w:t>
      </w:r>
      <w:r w:rsidR="00423AC5" w:rsidRPr="00D91F8E">
        <w:rPr>
          <w:rFonts w:ascii="Times New Roman" w:hAnsi="Times New Roman" w:cs="Times New Roman"/>
          <w:sz w:val="28"/>
          <w:szCs w:val="28"/>
        </w:rPr>
        <w:t>.</w:t>
      </w:r>
      <w:r w:rsidR="00D74A76" w:rsidRPr="00D91F8E">
        <w:rPr>
          <w:rFonts w:ascii="Times New Roman" w:hAnsi="Times New Roman" w:cs="Times New Roman"/>
          <w:sz w:val="28"/>
          <w:szCs w:val="28"/>
        </w:rPr>
        <w:t xml:space="preserve"> (2</w:t>
      </w:r>
      <w:r w:rsidR="008E04CB">
        <w:rPr>
          <w:rFonts w:ascii="Times New Roman" w:hAnsi="Times New Roman" w:cs="Times New Roman"/>
          <w:sz w:val="28"/>
          <w:szCs w:val="28"/>
        </w:rPr>
        <w:t>6</w:t>
      </w:r>
      <w:r w:rsidR="00D74A76" w:rsidRPr="00D91F8E">
        <w:rPr>
          <w:rFonts w:ascii="Times New Roman" w:hAnsi="Times New Roman" w:cs="Times New Roman"/>
          <w:sz w:val="28"/>
          <w:szCs w:val="28"/>
        </w:rPr>
        <w:t>,</w:t>
      </w:r>
      <w:r w:rsidR="008E04CB">
        <w:rPr>
          <w:rFonts w:ascii="Times New Roman" w:hAnsi="Times New Roman" w:cs="Times New Roman"/>
          <w:sz w:val="28"/>
          <w:szCs w:val="28"/>
        </w:rPr>
        <w:t>7</w:t>
      </w:r>
      <w:r w:rsidR="009C6C95" w:rsidRPr="00D91F8E">
        <w:rPr>
          <w:rFonts w:ascii="Times New Roman" w:hAnsi="Times New Roman" w:cs="Times New Roman"/>
          <w:sz w:val="28"/>
          <w:szCs w:val="28"/>
        </w:rPr>
        <w:t>4</w:t>
      </w:r>
      <w:r w:rsidR="00D74A76" w:rsidRPr="00D91F8E">
        <w:rPr>
          <w:rFonts w:ascii="Times New Roman" w:hAnsi="Times New Roman" w:cs="Times New Roman"/>
          <w:sz w:val="28"/>
          <w:szCs w:val="28"/>
        </w:rPr>
        <w:t xml:space="preserve">% здійснених </w:t>
      </w:r>
      <w:r w:rsidR="008E04CB">
        <w:rPr>
          <w:rFonts w:ascii="Times New Roman" w:hAnsi="Times New Roman" w:cs="Times New Roman"/>
          <w:sz w:val="28"/>
          <w:szCs w:val="28"/>
        </w:rPr>
        <w:t xml:space="preserve">фактичних </w:t>
      </w:r>
      <w:r w:rsidR="00D74A76" w:rsidRPr="00D91F8E">
        <w:rPr>
          <w:rFonts w:ascii="Times New Roman" w:hAnsi="Times New Roman" w:cs="Times New Roman"/>
          <w:sz w:val="28"/>
          <w:szCs w:val="28"/>
        </w:rPr>
        <w:t>видатків).</w:t>
      </w:r>
    </w:p>
    <w:p w:rsidR="00371E1F" w:rsidRPr="00D91F8E" w:rsidRDefault="00423AC5" w:rsidP="00BA6E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F8E">
        <w:rPr>
          <w:rFonts w:ascii="Times New Roman" w:hAnsi="Times New Roman" w:cs="Times New Roman"/>
          <w:b/>
          <w:sz w:val="28"/>
          <w:szCs w:val="28"/>
        </w:rPr>
        <w:t xml:space="preserve">Паспортом бюджетної програми 1917670 </w:t>
      </w:r>
      <w:r w:rsidR="001B0713" w:rsidRPr="00D91F8E">
        <w:rPr>
          <w:rFonts w:ascii="Times New Roman" w:hAnsi="Times New Roman" w:cs="Times New Roman"/>
          <w:b/>
          <w:sz w:val="28"/>
          <w:szCs w:val="28"/>
        </w:rPr>
        <w:t xml:space="preserve">Внески до статутного капіталу суб'єктів господарювання </w:t>
      </w:r>
      <w:r w:rsidRPr="00D91F8E">
        <w:rPr>
          <w:rFonts w:ascii="Times New Roman" w:hAnsi="Times New Roman" w:cs="Times New Roman"/>
          <w:b/>
          <w:sz w:val="28"/>
          <w:szCs w:val="28"/>
        </w:rPr>
        <w:t>передбачено такі показники:</w:t>
      </w:r>
    </w:p>
    <w:p w:rsidR="00423AC5" w:rsidRPr="00D91F8E" w:rsidRDefault="00423AC5" w:rsidP="00423AC5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lastRenderedPageBreak/>
        <w:t>показник продукту - кількість підприємств, яким спрямов</w:t>
      </w:r>
      <w:r w:rsidR="00586EFC" w:rsidRPr="00D91F8E">
        <w:rPr>
          <w:rFonts w:ascii="Times New Roman" w:hAnsi="Times New Roman" w:cs="Times New Roman"/>
          <w:sz w:val="28"/>
          <w:szCs w:val="28"/>
        </w:rPr>
        <w:t>ані</w:t>
      </w:r>
      <w:r w:rsidRPr="00D91F8E">
        <w:rPr>
          <w:rFonts w:ascii="Times New Roman" w:hAnsi="Times New Roman" w:cs="Times New Roman"/>
          <w:sz w:val="28"/>
          <w:szCs w:val="28"/>
        </w:rPr>
        <w:t xml:space="preserve"> кошти на поповнення ста</w:t>
      </w:r>
      <w:r w:rsidR="00417E80" w:rsidRPr="00D91F8E">
        <w:rPr>
          <w:rFonts w:ascii="Times New Roman" w:hAnsi="Times New Roman" w:cs="Times New Roman"/>
          <w:sz w:val="28"/>
          <w:szCs w:val="28"/>
        </w:rPr>
        <w:t xml:space="preserve">тутного капіталу </w:t>
      </w:r>
      <w:r w:rsidR="005B2A2A" w:rsidRPr="00D91F8E">
        <w:rPr>
          <w:rFonts w:ascii="Times New Roman" w:hAnsi="Times New Roman" w:cs="Times New Roman"/>
          <w:sz w:val="28"/>
          <w:szCs w:val="28"/>
        </w:rPr>
        <w:t xml:space="preserve">- </w:t>
      </w:r>
      <w:r w:rsidR="00586EFC" w:rsidRPr="00D91F8E">
        <w:rPr>
          <w:rFonts w:ascii="Times New Roman" w:hAnsi="Times New Roman" w:cs="Times New Roman"/>
          <w:sz w:val="28"/>
          <w:szCs w:val="28"/>
        </w:rPr>
        <w:t>3</w:t>
      </w:r>
      <w:r w:rsidR="00417E80" w:rsidRPr="00D91F8E"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 w:rsidR="009C6C95" w:rsidRPr="00D91F8E">
        <w:rPr>
          <w:rFonts w:ascii="Times New Roman" w:hAnsi="Times New Roman" w:cs="Times New Roman"/>
          <w:sz w:val="28"/>
          <w:szCs w:val="28"/>
        </w:rPr>
        <w:t xml:space="preserve"> - виконано</w:t>
      </w:r>
      <w:r w:rsidR="00586EFC" w:rsidRPr="00D91F8E">
        <w:rPr>
          <w:rFonts w:ascii="Times New Roman" w:hAnsi="Times New Roman" w:cs="Times New Roman"/>
          <w:sz w:val="28"/>
          <w:szCs w:val="28"/>
        </w:rPr>
        <w:t>;</w:t>
      </w:r>
    </w:p>
    <w:p w:rsidR="00423AC5" w:rsidRPr="00D91F8E" w:rsidRDefault="00423AC5" w:rsidP="00423AC5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>при план</w:t>
      </w:r>
      <w:r w:rsidR="007C0D0F" w:rsidRPr="00D91F8E">
        <w:rPr>
          <w:rFonts w:ascii="Times New Roman" w:hAnsi="Times New Roman" w:cs="Times New Roman"/>
          <w:sz w:val="28"/>
          <w:szCs w:val="28"/>
        </w:rPr>
        <w:t xml:space="preserve">овому показнику затрат  </w:t>
      </w:r>
      <w:r w:rsidR="009C6C95" w:rsidRPr="00D91F8E">
        <w:rPr>
          <w:rFonts w:ascii="Times New Roman" w:hAnsi="Times New Roman" w:cs="Times New Roman"/>
          <w:sz w:val="28"/>
          <w:szCs w:val="28"/>
        </w:rPr>
        <w:t>91767,9</w:t>
      </w:r>
      <w:r w:rsidRPr="00D91F8E">
        <w:rPr>
          <w:rFonts w:ascii="Times New Roman" w:hAnsi="Times New Roman" w:cs="Times New Roman"/>
          <w:sz w:val="28"/>
          <w:szCs w:val="28"/>
        </w:rPr>
        <w:t xml:space="preserve"> тис.гр</w:t>
      </w:r>
      <w:r w:rsidR="007C0D0F" w:rsidRPr="00D91F8E">
        <w:rPr>
          <w:rFonts w:ascii="Times New Roman" w:hAnsi="Times New Roman" w:cs="Times New Roman"/>
          <w:sz w:val="28"/>
          <w:szCs w:val="28"/>
        </w:rPr>
        <w:t xml:space="preserve">н. підприємства освоїли </w:t>
      </w:r>
      <w:r w:rsidR="009C6C95" w:rsidRPr="00D91F8E">
        <w:rPr>
          <w:rFonts w:ascii="Times New Roman" w:hAnsi="Times New Roman" w:cs="Times New Roman"/>
          <w:sz w:val="28"/>
          <w:szCs w:val="28"/>
        </w:rPr>
        <w:t>88525,0</w:t>
      </w:r>
      <w:r w:rsidRPr="00D91F8E">
        <w:rPr>
          <w:rFonts w:ascii="Times New Roman" w:hAnsi="Times New Roman" w:cs="Times New Roman"/>
          <w:sz w:val="28"/>
          <w:szCs w:val="28"/>
        </w:rPr>
        <w:t>тис. грн</w:t>
      </w:r>
      <w:r w:rsidR="008E04CB">
        <w:rPr>
          <w:rFonts w:ascii="Times New Roman" w:hAnsi="Times New Roman" w:cs="Times New Roman"/>
          <w:sz w:val="28"/>
          <w:szCs w:val="28"/>
        </w:rPr>
        <w:t>.</w:t>
      </w:r>
      <w:r w:rsidR="006813DB" w:rsidRPr="00D91F8E">
        <w:rPr>
          <w:rFonts w:ascii="Times New Roman" w:hAnsi="Times New Roman" w:cs="Times New Roman"/>
          <w:sz w:val="28"/>
          <w:szCs w:val="28"/>
        </w:rPr>
        <w:t>, решту</w:t>
      </w:r>
      <w:r w:rsidR="00894FB2" w:rsidRPr="00D91F8E">
        <w:rPr>
          <w:rFonts w:ascii="Times New Roman" w:hAnsi="Times New Roman" w:cs="Times New Roman"/>
          <w:sz w:val="28"/>
          <w:szCs w:val="28"/>
        </w:rPr>
        <w:t xml:space="preserve"> повернено в бюджет</w:t>
      </w:r>
      <w:r w:rsidR="006813DB" w:rsidRPr="00D91F8E">
        <w:rPr>
          <w:rFonts w:ascii="Times New Roman" w:hAnsi="Times New Roman" w:cs="Times New Roman"/>
          <w:sz w:val="28"/>
          <w:szCs w:val="28"/>
        </w:rPr>
        <w:t xml:space="preserve"> як зекономлені кошти за результатами проведених закупівель</w:t>
      </w:r>
      <w:r w:rsidRPr="00D91F8E">
        <w:rPr>
          <w:rFonts w:ascii="Times New Roman" w:hAnsi="Times New Roman" w:cs="Times New Roman"/>
          <w:sz w:val="28"/>
          <w:szCs w:val="28"/>
        </w:rPr>
        <w:t>;</w:t>
      </w:r>
    </w:p>
    <w:p w:rsidR="00423AC5" w:rsidRPr="00D91F8E" w:rsidRDefault="00423AC5" w:rsidP="00423AC5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>показник ефективності, а саме середній розмі</w:t>
      </w:r>
      <w:r w:rsidR="00D72FBC" w:rsidRPr="00D91F8E">
        <w:rPr>
          <w:rFonts w:ascii="Times New Roman" w:hAnsi="Times New Roman" w:cs="Times New Roman"/>
          <w:sz w:val="28"/>
          <w:szCs w:val="28"/>
        </w:rPr>
        <w:t>р одного внеску  стано</w:t>
      </w:r>
      <w:r w:rsidR="007C0D0F" w:rsidRPr="00D91F8E">
        <w:rPr>
          <w:rFonts w:ascii="Times New Roman" w:hAnsi="Times New Roman" w:cs="Times New Roman"/>
          <w:sz w:val="28"/>
          <w:szCs w:val="28"/>
        </w:rPr>
        <w:t xml:space="preserve">вив </w:t>
      </w:r>
      <w:r w:rsidR="001C0F5F" w:rsidRPr="00D91F8E">
        <w:rPr>
          <w:rFonts w:ascii="Times New Roman" w:hAnsi="Times New Roman" w:cs="Times New Roman"/>
          <w:sz w:val="28"/>
          <w:szCs w:val="28"/>
        </w:rPr>
        <w:t>7647,3</w:t>
      </w:r>
      <w:r w:rsidRPr="00D91F8E">
        <w:rPr>
          <w:rFonts w:ascii="Times New Roman" w:hAnsi="Times New Roman" w:cs="Times New Roman"/>
          <w:sz w:val="28"/>
          <w:szCs w:val="28"/>
        </w:rPr>
        <w:t xml:space="preserve"> тис.грн.;</w:t>
      </w:r>
    </w:p>
    <w:p w:rsidR="00D91F8E" w:rsidRPr="00D91F8E" w:rsidRDefault="00423AC5" w:rsidP="00D91F8E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>показник якості - динаміка внесків до статутного фонду у порівн</w:t>
      </w:r>
      <w:r w:rsidR="007C0D0F" w:rsidRPr="00D91F8E">
        <w:rPr>
          <w:rFonts w:ascii="Times New Roman" w:hAnsi="Times New Roman" w:cs="Times New Roman"/>
          <w:sz w:val="28"/>
          <w:szCs w:val="28"/>
        </w:rPr>
        <w:t>янні з минулим роком</w:t>
      </w:r>
      <w:r w:rsidR="00D91F8E" w:rsidRPr="00D91F8E">
        <w:rPr>
          <w:rFonts w:ascii="Times New Roman" w:hAnsi="Times New Roman" w:cs="Times New Roman"/>
          <w:sz w:val="28"/>
          <w:szCs w:val="28"/>
        </w:rPr>
        <w:t xml:space="preserve"> </w:t>
      </w:r>
      <w:r w:rsidR="007C0D0F" w:rsidRPr="00D91F8E">
        <w:rPr>
          <w:rFonts w:ascii="Times New Roman" w:hAnsi="Times New Roman" w:cs="Times New Roman"/>
          <w:sz w:val="28"/>
          <w:szCs w:val="28"/>
        </w:rPr>
        <w:t xml:space="preserve">склала </w:t>
      </w:r>
      <w:r w:rsidR="008E04CB">
        <w:rPr>
          <w:rFonts w:ascii="Times New Roman" w:hAnsi="Times New Roman" w:cs="Times New Roman"/>
          <w:sz w:val="28"/>
          <w:szCs w:val="28"/>
        </w:rPr>
        <w:t>2</w:t>
      </w:r>
      <w:r w:rsidR="001C0F5F" w:rsidRPr="00D91F8E">
        <w:rPr>
          <w:rFonts w:ascii="Times New Roman" w:hAnsi="Times New Roman" w:cs="Times New Roman"/>
          <w:sz w:val="28"/>
          <w:szCs w:val="28"/>
        </w:rPr>
        <w:t>50</w:t>
      </w:r>
      <w:r w:rsidRPr="00D91F8E">
        <w:rPr>
          <w:rFonts w:ascii="Times New Roman" w:hAnsi="Times New Roman" w:cs="Times New Roman"/>
          <w:sz w:val="28"/>
          <w:szCs w:val="28"/>
        </w:rPr>
        <w:t>%.</w:t>
      </w:r>
      <w:r w:rsidR="00CD5BFD" w:rsidRPr="00D91F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5766" w:rsidRPr="00D91F8E">
        <w:rPr>
          <w:rFonts w:ascii="Times New Roman" w:hAnsi="Times New Roman" w:cs="Times New Roman"/>
          <w:sz w:val="28"/>
          <w:szCs w:val="28"/>
        </w:rPr>
        <w:br/>
      </w:r>
    </w:p>
    <w:p w:rsidR="00D91F8E" w:rsidRPr="00D91F8E" w:rsidRDefault="006B5766" w:rsidP="00D91F8E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>Передбачені бюджетною програмою кошти використані на проведення наступних заходів:</w:t>
      </w:r>
      <w:r w:rsidR="00CD5BFD" w:rsidRPr="00D91F8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91F8E" w:rsidRPr="00D91F8E" w:rsidRDefault="00D91F8E" w:rsidP="00D91F8E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 xml:space="preserve"> погашення лізингових платежів КП ТЕТ (14</w:t>
      </w:r>
      <w:r w:rsidR="008E04CB">
        <w:rPr>
          <w:rFonts w:ascii="Times New Roman" w:hAnsi="Times New Roman" w:cs="Times New Roman"/>
          <w:sz w:val="28"/>
          <w:szCs w:val="28"/>
        </w:rPr>
        <w:t> 079,4</w:t>
      </w:r>
      <w:r w:rsidRPr="00D91F8E">
        <w:rPr>
          <w:rFonts w:ascii="Times New Roman" w:hAnsi="Times New Roman" w:cs="Times New Roman"/>
          <w:sz w:val="28"/>
          <w:szCs w:val="28"/>
        </w:rPr>
        <w:t xml:space="preserve"> </w:t>
      </w:r>
      <w:r w:rsidR="008E04CB">
        <w:rPr>
          <w:rFonts w:ascii="Times New Roman" w:hAnsi="Times New Roman" w:cs="Times New Roman"/>
          <w:sz w:val="28"/>
          <w:szCs w:val="28"/>
        </w:rPr>
        <w:t>тис</w:t>
      </w:r>
      <w:r w:rsidRPr="00D91F8E">
        <w:rPr>
          <w:rFonts w:ascii="Times New Roman" w:hAnsi="Times New Roman" w:cs="Times New Roman"/>
          <w:sz w:val="28"/>
          <w:szCs w:val="28"/>
        </w:rPr>
        <w:t>.грн.),</w:t>
      </w:r>
    </w:p>
    <w:p w:rsidR="00D91F8E" w:rsidRPr="00D91F8E" w:rsidRDefault="00D91F8E" w:rsidP="00D91F8E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 xml:space="preserve"> лізингових платежів КП МАТ (344</w:t>
      </w:r>
      <w:r w:rsidR="008E04CB">
        <w:rPr>
          <w:rFonts w:ascii="Times New Roman" w:hAnsi="Times New Roman" w:cs="Times New Roman"/>
          <w:sz w:val="28"/>
          <w:szCs w:val="28"/>
        </w:rPr>
        <w:t>01,8</w:t>
      </w:r>
      <w:r w:rsidRPr="00D91F8E">
        <w:rPr>
          <w:rFonts w:ascii="Times New Roman" w:hAnsi="Times New Roman" w:cs="Times New Roman"/>
          <w:sz w:val="28"/>
          <w:szCs w:val="28"/>
        </w:rPr>
        <w:t xml:space="preserve"> </w:t>
      </w:r>
      <w:r w:rsidR="008E04CB">
        <w:rPr>
          <w:rFonts w:ascii="Times New Roman" w:hAnsi="Times New Roman" w:cs="Times New Roman"/>
          <w:sz w:val="28"/>
          <w:szCs w:val="28"/>
        </w:rPr>
        <w:t>тис</w:t>
      </w:r>
      <w:r w:rsidRPr="00D91F8E">
        <w:rPr>
          <w:rFonts w:ascii="Times New Roman" w:hAnsi="Times New Roman" w:cs="Times New Roman"/>
          <w:sz w:val="28"/>
          <w:szCs w:val="28"/>
        </w:rPr>
        <w:t xml:space="preserve">.грн.) за придбані транспортні засоби (оновлення рухомого складу), </w:t>
      </w:r>
    </w:p>
    <w:p w:rsidR="00D91F8E" w:rsidRPr="00D91F8E" w:rsidRDefault="00D91F8E" w:rsidP="00D91F8E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>реконструкцію тролейбусних ліній – 800,0 тис.грн.,</w:t>
      </w:r>
    </w:p>
    <w:p w:rsidR="00D91F8E" w:rsidRPr="00D91F8E" w:rsidRDefault="00D91F8E" w:rsidP="00D91F8E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 xml:space="preserve"> внески до статутного капіталу (в обмін на корпоративні права) КП ТЕТ та КП МАТ – 35</w:t>
      </w:r>
      <w:r w:rsidR="008E04CB">
        <w:rPr>
          <w:rFonts w:ascii="Times New Roman" w:hAnsi="Times New Roman" w:cs="Times New Roman"/>
          <w:sz w:val="28"/>
          <w:szCs w:val="28"/>
        </w:rPr>
        <w:t>387,9</w:t>
      </w:r>
      <w:r w:rsidRPr="00D91F8E">
        <w:rPr>
          <w:rFonts w:ascii="Times New Roman" w:hAnsi="Times New Roman" w:cs="Times New Roman"/>
          <w:sz w:val="28"/>
          <w:szCs w:val="28"/>
        </w:rPr>
        <w:t xml:space="preserve"> </w:t>
      </w:r>
      <w:r w:rsidR="008E04CB">
        <w:rPr>
          <w:rFonts w:ascii="Times New Roman" w:hAnsi="Times New Roman" w:cs="Times New Roman"/>
          <w:sz w:val="28"/>
          <w:szCs w:val="28"/>
        </w:rPr>
        <w:t>тис</w:t>
      </w:r>
      <w:r w:rsidRPr="00D91F8E">
        <w:rPr>
          <w:rFonts w:ascii="Times New Roman" w:hAnsi="Times New Roman" w:cs="Times New Roman"/>
          <w:sz w:val="28"/>
          <w:szCs w:val="28"/>
        </w:rPr>
        <w:t>. грн.</w:t>
      </w:r>
    </w:p>
    <w:p w:rsidR="00D91F8E" w:rsidRDefault="00D91F8E" w:rsidP="00D91F8E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>придбання тролейбусів б/в (2 тролейбуси) – 16</w:t>
      </w:r>
      <w:r w:rsidR="008E04CB">
        <w:rPr>
          <w:rFonts w:ascii="Times New Roman" w:hAnsi="Times New Roman" w:cs="Times New Roman"/>
          <w:sz w:val="28"/>
          <w:szCs w:val="28"/>
        </w:rPr>
        <w:t>05,0</w:t>
      </w:r>
      <w:r w:rsidRPr="00D91F8E">
        <w:rPr>
          <w:rFonts w:ascii="Times New Roman" w:hAnsi="Times New Roman" w:cs="Times New Roman"/>
          <w:sz w:val="28"/>
          <w:szCs w:val="28"/>
        </w:rPr>
        <w:t xml:space="preserve"> </w:t>
      </w:r>
      <w:r w:rsidR="008E04CB">
        <w:rPr>
          <w:rFonts w:ascii="Times New Roman" w:hAnsi="Times New Roman" w:cs="Times New Roman"/>
          <w:sz w:val="28"/>
          <w:szCs w:val="28"/>
        </w:rPr>
        <w:t>тис</w:t>
      </w:r>
      <w:r w:rsidRPr="00D91F8E">
        <w:rPr>
          <w:rFonts w:ascii="Times New Roman" w:hAnsi="Times New Roman" w:cs="Times New Roman"/>
          <w:sz w:val="28"/>
          <w:szCs w:val="28"/>
        </w:rPr>
        <w:t>.грн.</w:t>
      </w:r>
    </w:p>
    <w:p w:rsidR="008E04CB" w:rsidRDefault="008E04CB" w:rsidP="00D91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будівництво АГЗП -1003,9 тис.грн.;</w:t>
      </w:r>
    </w:p>
    <w:p w:rsidR="008E04CB" w:rsidRPr="00D91F8E" w:rsidRDefault="008E04CB" w:rsidP="00D91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придбання та встановлення моніторів для автобусів придбаних в лізинг – 750,0 тис.грн.</w:t>
      </w:r>
    </w:p>
    <w:p w:rsidR="00D91F8E" w:rsidRPr="00D91F8E" w:rsidRDefault="00D91F8E" w:rsidP="00D91F8E">
      <w:pPr>
        <w:jc w:val="both"/>
        <w:rPr>
          <w:rFonts w:ascii="Times New Roman" w:hAnsi="Times New Roman" w:cs="Times New Roman"/>
          <w:sz w:val="28"/>
          <w:szCs w:val="28"/>
        </w:rPr>
      </w:pPr>
      <w:r w:rsidRPr="00D91F8E">
        <w:rPr>
          <w:rFonts w:ascii="Times New Roman" w:hAnsi="Times New Roman" w:cs="Times New Roman"/>
          <w:sz w:val="28"/>
          <w:szCs w:val="28"/>
        </w:rPr>
        <w:t>придбання відеообладнання для централізованої системи відеоспостереження – 497,1 тис.грн.</w:t>
      </w:r>
    </w:p>
    <w:p w:rsidR="00D91F8E" w:rsidRDefault="00CD5BFD" w:rsidP="00D91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1F8E" w:rsidRPr="00FC3E85">
        <w:rPr>
          <w:b/>
          <w:sz w:val="28"/>
          <w:szCs w:val="28"/>
        </w:rPr>
        <w:t xml:space="preserve">Паспортом бюджетної програми </w:t>
      </w:r>
      <w:r w:rsidR="00D91F8E">
        <w:rPr>
          <w:b/>
          <w:sz w:val="28"/>
          <w:szCs w:val="28"/>
        </w:rPr>
        <w:t xml:space="preserve">1910160 </w:t>
      </w:r>
      <w:r w:rsidR="00D91F8E" w:rsidRPr="00E85448">
        <w:rPr>
          <w:rFonts w:ascii="Times New Roman" w:hAnsi="Times New Roman" w:cs="Times New Roman"/>
          <w:sz w:val="28"/>
          <w:szCs w:val="28"/>
        </w:rPr>
        <w:t>Керівництво і управління у відповідній сфері у містах (місті Києві), селищах, селах, об'єднаних</w:t>
      </w:r>
      <w:r w:rsidR="00D91F8E">
        <w:rPr>
          <w:rFonts w:ascii="Times New Roman" w:hAnsi="Times New Roman" w:cs="Times New Roman"/>
          <w:sz w:val="28"/>
          <w:szCs w:val="28"/>
        </w:rPr>
        <w:t xml:space="preserve"> </w:t>
      </w:r>
      <w:r w:rsidR="00D91F8E" w:rsidRPr="00E85448">
        <w:rPr>
          <w:rFonts w:ascii="Times New Roman" w:hAnsi="Times New Roman" w:cs="Times New Roman"/>
          <w:sz w:val="28"/>
          <w:szCs w:val="28"/>
        </w:rPr>
        <w:t>територіальних громадах</w:t>
      </w:r>
      <w:r w:rsidR="00D91F8E">
        <w:rPr>
          <w:rFonts w:ascii="Times New Roman" w:hAnsi="Times New Roman" w:cs="Times New Roman"/>
          <w:sz w:val="28"/>
          <w:szCs w:val="28"/>
        </w:rPr>
        <w:t xml:space="preserve"> забезпечено здійснення повноважень у сфері транспорту та зв’язку.</w:t>
      </w:r>
    </w:p>
    <w:p w:rsidR="00CF5570" w:rsidRDefault="00D91F8E" w:rsidP="00CF5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показнику затрат із передбачених 3089,3 тис.грн. використано 3085,4 тис.грн. </w:t>
      </w:r>
      <w:r w:rsidR="00CF5570">
        <w:rPr>
          <w:rFonts w:ascii="Times New Roman" w:hAnsi="Times New Roman" w:cs="Times New Roman"/>
          <w:sz w:val="28"/>
          <w:szCs w:val="28"/>
        </w:rPr>
        <w:t>. Кошти використані на виплату заробітної плати, оплату енергоносіїв, оплату послуг (окрім комунальних), придбання предметів та матеріалів для забезпечення ефективної роботи управління.</w:t>
      </w:r>
    </w:p>
    <w:p w:rsidR="00D91F8E" w:rsidRDefault="00D91F8E" w:rsidP="00D91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Роботу управління на кінець бюджетного року забезпечувало 8 штатних одиниць. Витрати на одну штатну одиницю склали 35</w:t>
      </w:r>
      <w:r w:rsidR="00885E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5E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тис.грн.. </w:t>
      </w:r>
    </w:p>
    <w:p w:rsidR="00D91F8E" w:rsidRDefault="00D91F8E" w:rsidP="00D91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F5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році розглянуто та опрацьовано1000 листів, звернень та заяв.</w:t>
      </w:r>
    </w:p>
    <w:p w:rsidR="00AA7788" w:rsidRDefault="00AA7788" w:rsidP="00D91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788" w:rsidRDefault="00AA7788" w:rsidP="00D91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788" w:rsidRDefault="00AA7788" w:rsidP="00D91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                                                   Олег ВІТРУК</w:t>
      </w:r>
    </w:p>
    <w:p w:rsidR="00AA7788" w:rsidRDefault="00AA7788" w:rsidP="00D91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788" w:rsidRDefault="00AA7788" w:rsidP="00D91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788" w:rsidRDefault="00AA7788" w:rsidP="00D91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Філіппова Лариса</w:t>
      </w:r>
    </w:p>
    <w:p w:rsidR="00AA7788" w:rsidRPr="00B0310F" w:rsidRDefault="00AA7788" w:rsidP="00D91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0352 525855</w:t>
      </w:r>
      <w:bookmarkStart w:id="0" w:name="_GoBack"/>
      <w:bookmarkEnd w:id="0"/>
    </w:p>
    <w:p w:rsidR="00D91F8E" w:rsidRDefault="00D91F8E" w:rsidP="00D91F8E">
      <w:pPr>
        <w:jc w:val="both"/>
        <w:rPr>
          <w:sz w:val="28"/>
          <w:szCs w:val="28"/>
        </w:rPr>
      </w:pPr>
    </w:p>
    <w:p w:rsidR="00423AC5" w:rsidRDefault="00CD5BFD" w:rsidP="00423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8666" w:type="dxa"/>
        <w:tblInd w:w="93" w:type="dxa"/>
        <w:tblLook w:val="04A0" w:firstRow="1" w:lastRow="0" w:firstColumn="1" w:lastColumn="0" w:noHBand="0" w:noVBand="1"/>
      </w:tblPr>
      <w:tblGrid>
        <w:gridCol w:w="238"/>
        <w:gridCol w:w="3718"/>
        <w:gridCol w:w="1891"/>
        <w:gridCol w:w="2819"/>
      </w:tblGrid>
      <w:tr w:rsidR="006B5766" w:rsidRPr="00417E80" w:rsidTr="00B3495B">
        <w:trPr>
          <w:trHeight w:val="360"/>
        </w:trPr>
        <w:tc>
          <w:tcPr>
            <w:tcW w:w="238" w:type="dxa"/>
            <w:shd w:val="clear" w:color="auto" w:fill="auto"/>
            <w:noWrap/>
            <w:vAlign w:val="bottom"/>
            <w:hideMark/>
          </w:tcPr>
          <w:p w:rsidR="006B5766" w:rsidRPr="00417E80" w:rsidRDefault="006B5766" w:rsidP="00417E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</w:tcPr>
          <w:p w:rsidR="006B5766" w:rsidRPr="00D91F8E" w:rsidRDefault="006B5766" w:rsidP="00417E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6B5766" w:rsidRPr="00CD5BFD" w:rsidRDefault="006B5766" w:rsidP="00417E8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uk-UA"/>
              </w:rPr>
            </w:pPr>
          </w:p>
        </w:tc>
        <w:tc>
          <w:tcPr>
            <w:tcW w:w="2819" w:type="dxa"/>
          </w:tcPr>
          <w:p w:rsidR="006B5766" w:rsidRPr="00417E80" w:rsidRDefault="006B5766" w:rsidP="00417E8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uk-UA"/>
              </w:rPr>
            </w:pPr>
          </w:p>
        </w:tc>
      </w:tr>
      <w:tr w:rsidR="006B5766" w:rsidRPr="00417E80" w:rsidTr="00B3495B">
        <w:trPr>
          <w:trHeight w:val="1035"/>
        </w:trPr>
        <w:tc>
          <w:tcPr>
            <w:tcW w:w="238" w:type="dxa"/>
            <w:shd w:val="clear" w:color="auto" w:fill="auto"/>
            <w:noWrap/>
            <w:vAlign w:val="bottom"/>
            <w:hideMark/>
          </w:tcPr>
          <w:p w:rsidR="006B5766" w:rsidRPr="00417E80" w:rsidRDefault="006B5766" w:rsidP="006B5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shd w:val="clear" w:color="auto" w:fill="auto"/>
            <w:vAlign w:val="bottom"/>
          </w:tcPr>
          <w:p w:rsidR="006B5766" w:rsidRPr="006B5766" w:rsidRDefault="006B5766" w:rsidP="006B5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6B5766" w:rsidRPr="00CD5BFD" w:rsidRDefault="006B5766" w:rsidP="006B57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B5766" w:rsidRPr="00466279" w:rsidRDefault="006B5766" w:rsidP="006B576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5766" w:rsidRPr="00417E80" w:rsidTr="00B3495B">
        <w:trPr>
          <w:trHeight w:val="1500"/>
        </w:trPr>
        <w:tc>
          <w:tcPr>
            <w:tcW w:w="238" w:type="dxa"/>
            <w:shd w:val="clear" w:color="auto" w:fill="auto"/>
            <w:noWrap/>
            <w:vAlign w:val="bottom"/>
            <w:hideMark/>
          </w:tcPr>
          <w:p w:rsidR="006B5766" w:rsidRPr="00417E80" w:rsidRDefault="006B5766" w:rsidP="006B5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shd w:val="clear" w:color="auto" w:fill="auto"/>
            <w:vAlign w:val="bottom"/>
          </w:tcPr>
          <w:p w:rsidR="006B5766" w:rsidRPr="006B5766" w:rsidRDefault="006B5766" w:rsidP="006B5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6B5766" w:rsidRPr="00CD5BFD" w:rsidRDefault="006B5766" w:rsidP="006B57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B5766" w:rsidRPr="00466279" w:rsidRDefault="006B5766" w:rsidP="006B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B5766" w:rsidRPr="00417E80" w:rsidTr="00B3495B">
        <w:trPr>
          <w:trHeight w:val="831"/>
        </w:trPr>
        <w:tc>
          <w:tcPr>
            <w:tcW w:w="238" w:type="dxa"/>
            <w:shd w:val="clear" w:color="auto" w:fill="auto"/>
            <w:noWrap/>
            <w:vAlign w:val="bottom"/>
            <w:hideMark/>
          </w:tcPr>
          <w:p w:rsidR="006B5766" w:rsidRPr="00417E80" w:rsidRDefault="006B5766" w:rsidP="006B5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shd w:val="clear" w:color="auto" w:fill="auto"/>
            <w:vAlign w:val="bottom"/>
          </w:tcPr>
          <w:p w:rsidR="006B5766" w:rsidRPr="006B5766" w:rsidRDefault="006B5766" w:rsidP="006B5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6B5766" w:rsidRPr="00CD5BFD" w:rsidRDefault="006B5766" w:rsidP="006B57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B5766" w:rsidRPr="00466279" w:rsidRDefault="006B5766" w:rsidP="006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60F3" w:rsidRPr="00417E80" w:rsidTr="00B3495B">
        <w:trPr>
          <w:trHeight w:val="315"/>
        </w:trPr>
        <w:tc>
          <w:tcPr>
            <w:tcW w:w="238" w:type="dxa"/>
            <w:shd w:val="clear" w:color="auto" w:fill="auto"/>
            <w:noWrap/>
            <w:vAlign w:val="bottom"/>
            <w:hideMark/>
          </w:tcPr>
          <w:p w:rsidR="004960F3" w:rsidRPr="00417E80" w:rsidRDefault="004960F3" w:rsidP="00496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</w:tcPr>
          <w:p w:rsidR="004960F3" w:rsidRPr="006B5766" w:rsidRDefault="004960F3" w:rsidP="0049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4960F3" w:rsidRPr="00CD5BFD" w:rsidRDefault="004960F3" w:rsidP="004960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960F3" w:rsidRPr="00466279" w:rsidRDefault="004960F3" w:rsidP="004960F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60F3" w:rsidRPr="00417E80" w:rsidTr="00B3495B">
        <w:trPr>
          <w:trHeight w:val="1260"/>
        </w:trPr>
        <w:tc>
          <w:tcPr>
            <w:tcW w:w="238" w:type="dxa"/>
            <w:shd w:val="clear" w:color="auto" w:fill="auto"/>
            <w:noWrap/>
            <w:vAlign w:val="bottom"/>
            <w:hideMark/>
          </w:tcPr>
          <w:p w:rsidR="004960F3" w:rsidRPr="00417E80" w:rsidRDefault="004960F3" w:rsidP="00496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shd w:val="clear" w:color="auto" w:fill="auto"/>
            <w:vAlign w:val="bottom"/>
          </w:tcPr>
          <w:p w:rsidR="004960F3" w:rsidRPr="006B5766" w:rsidRDefault="004960F3" w:rsidP="0049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4960F3" w:rsidRPr="00CD5BFD" w:rsidRDefault="004960F3" w:rsidP="004960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960F3" w:rsidRPr="00466279" w:rsidRDefault="004960F3" w:rsidP="0049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60F3" w:rsidRPr="00417E80" w:rsidTr="00B3495B">
        <w:trPr>
          <w:trHeight w:val="1125"/>
        </w:trPr>
        <w:tc>
          <w:tcPr>
            <w:tcW w:w="238" w:type="dxa"/>
            <w:shd w:val="clear" w:color="auto" w:fill="auto"/>
            <w:noWrap/>
            <w:vAlign w:val="bottom"/>
            <w:hideMark/>
          </w:tcPr>
          <w:p w:rsidR="004960F3" w:rsidRPr="00417E80" w:rsidRDefault="004960F3" w:rsidP="00496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shd w:val="clear" w:color="auto" w:fill="auto"/>
            <w:vAlign w:val="bottom"/>
          </w:tcPr>
          <w:p w:rsidR="004960F3" w:rsidRPr="006B5766" w:rsidRDefault="004960F3" w:rsidP="0049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4960F3" w:rsidRPr="00CD5BFD" w:rsidRDefault="004960F3" w:rsidP="004960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960F3" w:rsidRPr="00466279" w:rsidRDefault="004960F3" w:rsidP="004960F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60F3" w:rsidRPr="00417E80" w:rsidTr="00B3495B">
        <w:trPr>
          <w:trHeight w:val="1125"/>
        </w:trPr>
        <w:tc>
          <w:tcPr>
            <w:tcW w:w="238" w:type="dxa"/>
            <w:shd w:val="clear" w:color="auto" w:fill="auto"/>
            <w:noWrap/>
            <w:vAlign w:val="bottom"/>
            <w:hideMark/>
          </w:tcPr>
          <w:p w:rsidR="004960F3" w:rsidRPr="00417E80" w:rsidRDefault="004960F3" w:rsidP="00496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shd w:val="clear" w:color="auto" w:fill="auto"/>
            <w:vAlign w:val="bottom"/>
          </w:tcPr>
          <w:p w:rsidR="004960F3" w:rsidRPr="006B5766" w:rsidRDefault="004960F3" w:rsidP="0049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4960F3" w:rsidRPr="00CD5BFD" w:rsidRDefault="004960F3" w:rsidP="004960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960F3" w:rsidRPr="00466279" w:rsidRDefault="004960F3" w:rsidP="004960F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60F3" w:rsidRPr="00417E80" w:rsidTr="00B3495B">
        <w:trPr>
          <w:trHeight w:val="375"/>
        </w:trPr>
        <w:tc>
          <w:tcPr>
            <w:tcW w:w="238" w:type="dxa"/>
            <w:shd w:val="clear" w:color="auto" w:fill="auto"/>
            <w:noWrap/>
            <w:vAlign w:val="bottom"/>
            <w:hideMark/>
          </w:tcPr>
          <w:p w:rsidR="004960F3" w:rsidRPr="00417E80" w:rsidRDefault="004960F3" w:rsidP="00496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</w:tcPr>
          <w:p w:rsidR="004960F3" w:rsidRPr="006B5766" w:rsidRDefault="004960F3" w:rsidP="0049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4960F3" w:rsidRPr="006B5766" w:rsidRDefault="004960F3" w:rsidP="004960F3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19" w:type="dxa"/>
          </w:tcPr>
          <w:p w:rsidR="004960F3" w:rsidRPr="00417E80" w:rsidRDefault="004960F3" w:rsidP="00496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</w:tr>
      <w:tr w:rsidR="004960F3" w:rsidRPr="00417E80" w:rsidTr="00B3495B">
        <w:trPr>
          <w:trHeight w:val="375"/>
        </w:trPr>
        <w:tc>
          <w:tcPr>
            <w:tcW w:w="238" w:type="dxa"/>
            <w:shd w:val="clear" w:color="auto" w:fill="auto"/>
            <w:noWrap/>
            <w:vAlign w:val="bottom"/>
            <w:hideMark/>
          </w:tcPr>
          <w:p w:rsidR="004960F3" w:rsidRPr="00417E80" w:rsidRDefault="004960F3" w:rsidP="00496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</w:tcPr>
          <w:p w:rsidR="004960F3" w:rsidRPr="006B5766" w:rsidRDefault="004960F3" w:rsidP="004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4960F3" w:rsidRPr="006B5766" w:rsidRDefault="004960F3" w:rsidP="004960F3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819" w:type="dxa"/>
          </w:tcPr>
          <w:p w:rsidR="004960F3" w:rsidRPr="004E1304" w:rsidRDefault="004960F3" w:rsidP="004960F3">
            <w:pPr>
              <w:rPr>
                <w:sz w:val="24"/>
                <w:szCs w:val="24"/>
              </w:rPr>
            </w:pPr>
          </w:p>
        </w:tc>
      </w:tr>
      <w:tr w:rsidR="004960F3" w:rsidRPr="00417E80" w:rsidTr="00B3495B">
        <w:trPr>
          <w:trHeight w:val="375"/>
        </w:trPr>
        <w:tc>
          <w:tcPr>
            <w:tcW w:w="238" w:type="dxa"/>
            <w:shd w:val="clear" w:color="auto" w:fill="auto"/>
            <w:noWrap/>
            <w:vAlign w:val="bottom"/>
          </w:tcPr>
          <w:p w:rsidR="004960F3" w:rsidRPr="00417E80" w:rsidRDefault="004960F3" w:rsidP="00496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</w:tcPr>
          <w:p w:rsidR="004960F3" w:rsidRPr="006B5766" w:rsidRDefault="004960F3" w:rsidP="004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4960F3" w:rsidRPr="006B5766" w:rsidRDefault="004960F3" w:rsidP="004960F3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819" w:type="dxa"/>
          </w:tcPr>
          <w:p w:rsidR="004960F3" w:rsidRPr="004E1304" w:rsidRDefault="004960F3" w:rsidP="004960F3">
            <w:pPr>
              <w:rPr>
                <w:sz w:val="24"/>
                <w:szCs w:val="24"/>
              </w:rPr>
            </w:pPr>
          </w:p>
        </w:tc>
      </w:tr>
      <w:tr w:rsidR="004960F3" w:rsidRPr="00C04C6C" w:rsidTr="00B3495B">
        <w:trPr>
          <w:trHeight w:val="375"/>
        </w:trPr>
        <w:tc>
          <w:tcPr>
            <w:tcW w:w="238" w:type="dxa"/>
            <w:shd w:val="clear" w:color="auto" w:fill="auto"/>
            <w:noWrap/>
            <w:vAlign w:val="bottom"/>
            <w:hideMark/>
          </w:tcPr>
          <w:p w:rsidR="004960F3" w:rsidRPr="00417E80" w:rsidRDefault="004960F3" w:rsidP="00496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</w:tcPr>
          <w:p w:rsidR="004960F3" w:rsidRPr="006B5766" w:rsidRDefault="004960F3" w:rsidP="0049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4960F3" w:rsidRPr="006B5766" w:rsidRDefault="004960F3" w:rsidP="004960F3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819" w:type="dxa"/>
          </w:tcPr>
          <w:p w:rsidR="004960F3" w:rsidRPr="004E1304" w:rsidRDefault="004960F3" w:rsidP="004960F3">
            <w:pPr>
              <w:rPr>
                <w:sz w:val="24"/>
                <w:szCs w:val="24"/>
              </w:rPr>
            </w:pPr>
          </w:p>
        </w:tc>
      </w:tr>
      <w:tr w:rsidR="004960F3" w:rsidRPr="00417E80" w:rsidTr="00B3495B">
        <w:trPr>
          <w:trHeight w:val="375"/>
        </w:trPr>
        <w:tc>
          <w:tcPr>
            <w:tcW w:w="238" w:type="dxa"/>
            <w:shd w:val="clear" w:color="auto" w:fill="auto"/>
            <w:noWrap/>
            <w:vAlign w:val="bottom"/>
            <w:hideMark/>
          </w:tcPr>
          <w:p w:rsidR="004960F3" w:rsidRPr="00417E80" w:rsidRDefault="004960F3" w:rsidP="00496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</w:tcPr>
          <w:p w:rsidR="004960F3" w:rsidRPr="006B5766" w:rsidRDefault="004960F3" w:rsidP="0049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4960F3" w:rsidRPr="006B5766" w:rsidRDefault="004960F3" w:rsidP="004960F3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19" w:type="dxa"/>
            <w:vAlign w:val="bottom"/>
          </w:tcPr>
          <w:p w:rsidR="004960F3" w:rsidRDefault="004960F3" w:rsidP="004960F3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</w:tbl>
    <w:p w:rsidR="00417E80" w:rsidRDefault="00417E80" w:rsidP="009B5B3F">
      <w:pPr>
        <w:jc w:val="both"/>
        <w:rPr>
          <w:sz w:val="28"/>
          <w:szCs w:val="28"/>
        </w:rPr>
      </w:pPr>
    </w:p>
    <w:sectPr w:rsidR="00417E80" w:rsidSect="00C83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53A"/>
    <w:rsid w:val="00021AB3"/>
    <w:rsid w:val="00043058"/>
    <w:rsid w:val="00071BAF"/>
    <w:rsid w:val="00076D52"/>
    <w:rsid w:val="0009293A"/>
    <w:rsid w:val="000C53DC"/>
    <w:rsid w:val="000E43F8"/>
    <w:rsid w:val="000F5642"/>
    <w:rsid w:val="000F6BDD"/>
    <w:rsid w:val="00100FF9"/>
    <w:rsid w:val="001118AF"/>
    <w:rsid w:val="00141967"/>
    <w:rsid w:val="00155C3A"/>
    <w:rsid w:val="001B0713"/>
    <w:rsid w:val="001C0F5F"/>
    <w:rsid w:val="001E733F"/>
    <w:rsid w:val="002005EA"/>
    <w:rsid w:val="002205D8"/>
    <w:rsid w:val="002D3B18"/>
    <w:rsid w:val="002D7805"/>
    <w:rsid w:val="00315399"/>
    <w:rsid w:val="00322551"/>
    <w:rsid w:val="00325414"/>
    <w:rsid w:val="00335945"/>
    <w:rsid w:val="00371E1F"/>
    <w:rsid w:val="0038671D"/>
    <w:rsid w:val="003B478E"/>
    <w:rsid w:val="003E051B"/>
    <w:rsid w:val="003E35AC"/>
    <w:rsid w:val="003F02B2"/>
    <w:rsid w:val="00417E80"/>
    <w:rsid w:val="00423AC5"/>
    <w:rsid w:val="004343C6"/>
    <w:rsid w:val="00464FA2"/>
    <w:rsid w:val="00466279"/>
    <w:rsid w:val="00495BE9"/>
    <w:rsid w:val="004960F3"/>
    <w:rsid w:val="004C4485"/>
    <w:rsid w:val="004E1304"/>
    <w:rsid w:val="004E22AE"/>
    <w:rsid w:val="004F4EF1"/>
    <w:rsid w:val="004F6EC7"/>
    <w:rsid w:val="005435D3"/>
    <w:rsid w:val="0054577B"/>
    <w:rsid w:val="00570EBE"/>
    <w:rsid w:val="00586EFC"/>
    <w:rsid w:val="005B2A2A"/>
    <w:rsid w:val="005D6107"/>
    <w:rsid w:val="006154DB"/>
    <w:rsid w:val="00620D29"/>
    <w:rsid w:val="006813DB"/>
    <w:rsid w:val="00683049"/>
    <w:rsid w:val="006B5766"/>
    <w:rsid w:val="007560BE"/>
    <w:rsid w:val="007636E8"/>
    <w:rsid w:val="007C0D0F"/>
    <w:rsid w:val="00885E72"/>
    <w:rsid w:val="00894FB2"/>
    <w:rsid w:val="008B108F"/>
    <w:rsid w:val="008B5145"/>
    <w:rsid w:val="008B5BF5"/>
    <w:rsid w:val="008C564F"/>
    <w:rsid w:val="008D143A"/>
    <w:rsid w:val="008D36CA"/>
    <w:rsid w:val="008E04CB"/>
    <w:rsid w:val="0092302E"/>
    <w:rsid w:val="009B5B3F"/>
    <w:rsid w:val="009C6C95"/>
    <w:rsid w:val="009F442D"/>
    <w:rsid w:val="00A8267D"/>
    <w:rsid w:val="00AA7788"/>
    <w:rsid w:val="00AC6FD9"/>
    <w:rsid w:val="00B0310F"/>
    <w:rsid w:val="00B13B0E"/>
    <w:rsid w:val="00B15F56"/>
    <w:rsid w:val="00B3495B"/>
    <w:rsid w:val="00B42E4D"/>
    <w:rsid w:val="00B86F77"/>
    <w:rsid w:val="00BA6E79"/>
    <w:rsid w:val="00BF3359"/>
    <w:rsid w:val="00C01648"/>
    <w:rsid w:val="00C04C6C"/>
    <w:rsid w:val="00C4547E"/>
    <w:rsid w:val="00C83FA1"/>
    <w:rsid w:val="00C9512B"/>
    <w:rsid w:val="00CB053A"/>
    <w:rsid w:val="00CD5BFD"/>
    <w:rsid w:val="00CF5570"/>
    <w:rsid w:val="00CF7B26"/>
    <w:rsid w:val="00D07037"/>
    <w:rsid w:val="00D12044"/>
    <w:rsid w:val="00D12530"/>
    <w:rsid w:val="00D37EE1"/>
    <w:rsid w:val="00D662D2"/>
    <w:rsid w:val="00D72FBC"/>
    <w:rsid w:val="00D74A76"/>
    <w:rsid w:val="00D8208A"/>
    <w:rsid w:val="00D91F8E"/>
    <w:rsid w:val="00DC2277"/>
    <w:rsid w:val="00DC4266"/>
    <w:rsid w:val="00DF6358"/>
    <w:rsid w:val="00E25588"/>
    <w:rsid w:val="00E541F3"/>
    <w:rsid w:val="00E77F9D"/>
    <w:rsid w:val="00E851E2"/>
    <w:rsid w:val="00E85448"/>
    <w:rsid w:val="00EA7B61"/>
    <w:rsid w:val="00ED19DE"/>
    <w:rsid w:val="00EE4C5A"/>
    <w:rsid w:val="00F01FAC"/>
    <w:rsid w:val="00F2682D"/>
    <w:rsid w:val="00F5180E"/>
    <w:rsid w:val="00F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F192"/>
  <w15:docId w15:val="{F60D93C3-0BDB-4B75-B8E2-9200EA70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466279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7</Pages>
  <Words>1562</Words>
  <Characters>8904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Filipova</cp:lastModifiedBy>
  <cp:revision>66</cp:revision>
  <cp:lastPrinted>2021-03-02T08:01:00Z</cp:lastPrinted>
  <dcterms:created xsi:type="dcterms:W3CDTF">2019-03-06T10:26:00Z</dcterms:created>
  <dcterms:modified xsi:type="dcterms:W3CDTF">2023-03-17T09:47:00Z</dcterms:modified>
</cp:coreProperties>
</file>