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4018" w:rsidRDefault="00354018" w:rsidP="003540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4018">
        <w:rPr>
          <w:rFonts w:ascii="Times New Roman" w:hAnsi="Times New Roman" w:cs="Times New Roman"/>
          <w:sz w:val="28"/>
          <w:szCs w:val="28"/>
          <w:lang w:val="uk-UA"/>
        </w:rPr>
        <w:t>Інформація про виконання бюджету 2022 по управлінню транспортних мереж та зв’язку</w:t>
      </w:r>
    </w:p>
    <w:p w:rsidR="00354018" w:rsidRDefault="00354018" w:rsidP="003540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4018" w:rsidRDefault="00322854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4018">
        <w:rPr>
          <w:rFonts w:ascii="Times New Roman" w:hAnsi="Times New Roman" w:cs="Times New Roman"/>
          <w:sz w:val="28"/>
          <w:szCs w:val="28"/>
          <w:lang w:val="uk-UA"/>
        </w:rPr>
        <w:t>Для управління транспортних мереж та зв’язку, як головного розпорядника, згідно кошторисних призначень на 2022 рік були передбачені кошти:</w:t>
      </w:r>
    </w:p>
    <w:p w:rsidR="00354018" w:rsidRDefault="00354018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-по загальному фонду – 239 271 782,0 грн. (239,3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354018" w:rsidRDefault="00354018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-по спеціальному фонду – 91 896 873,0 грн. (91,9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354018" w:rsidRDefault="00322854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4018">
        <w:rPr>
          <w:rFonts w:ascii="Times New Roman" w:hAnsi="Times New Roman" w:cs="Times New Roman"/>
          <w:sz w:val="28"/>
          <w:szCs w:val="28"/>
          <w:lang w:val="uk-UA"/>
        </w:rPr>
        <w:t>Фінансування управління в основному  здійснюється відповідно до Програми розвитку пасажирського транспорту на 2021-2023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окрім цього у 2022 році кошти виділялися і по програмі забезпечення обороноздатності військових формувань Тернопільського гарнізону та військового призову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Терн.міськ.територіальної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громади. </w:t>
      </w:r>
    </w:p>
    <w:p w:rsidR="00322854" w:rsidRDefault="00322854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Кошти, які призначені для КП «Тернопіль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Інтеравіа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фінансуються з бюджету територіальної громади на основі Програми «Безпечна громада» проект «Безпечний двір».</w:t>
      </w:r>
    </w:p>
    <w:p w:rsidR="00684F49" w:rsidRDefault="00684F49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із передбачених бюджетом на 2022 рік коштів по загальному фонду (239,3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.), фактично було використано 235,8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4F49" w:rsidRDefault="00684F49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Найбільшу частку в цій сумі займає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покілометрова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оплата – 113,8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компенсаційні виплати на пільговий проїзд - автотранспортом – 78,8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- електротранспортом – 32,9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2973A9">
        <w:rPr>
          <w:rFonts w:ascii="Times New Roman" w:hAnsi="Times New Roman" w:cs="Times New Roman"/>
          <w:sz w:val="28"/>
          <w:szCs w:val="28"/>
          <w:lang w:val="uk-UA"/>
        </w:rPr>
        <w:t xml:space="preserve">-залізничним -2,4 </w:t>
      </w:r>
      <w:proofErr w:type="spellStart"/>
      <w:r w:rsidR="002973A9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="002973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4F49" w:rsidRDefault="00036C4C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84F49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апарату управління – 3,1 </w:t>
      </w:r>
      <w:proofErr w:type="spellStart"/>
      <w:r w:rsidR="00684F49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="00684F4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Кошти використані на виплату заробітної плати, оплату енергоносіїв, оплату послуг (окрім комунальних), придбання предметів та матеріалів для забезпечення ефективної роботи управління.</w:t>
      </w:r>
    </w:p>
    <w:p w:rsidR="00036C4C" w:rsidRDefault="00036C4C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Із передбачених коштів, як «Інші кошти у сфері зв’язку, телекомунікації та інформатики» в сумі 2,2 млн. грн., фактично використано </w:t>
      </w:r>
      <w:r w:rsidR="00E8296D">
        <w:rPr>
          <w:rFonts w:ascii="Times New Roman" w:hAnsi="Times New Roman" w:cs="Times New Roman"/>
          <w:sz w:val="28"/>
          <w:szCs w:val="28"/>
          <w:lang w:val="uk-UA"/>
        </w:rPr>
        <w:t xml:space="preserve">у 2022 році </w:t>
      </w:r>
      <w:r>
        <w:rPr>
          <w:rFonts w:ascii="Times New Roman" w:hAnsi="Times New Roman" w:cs="Times New Roman"/>
          <w:sz w:val="28"/>
          <w:szCs w:val="28"/>
          <w:lang w:val="uk-UA"/>
        </w:rPr>
        <w:t>1,9 млн. (1 931 807,67 грн.)</w:t>
      </w:r>
      <w:r w:rsidR="00E8296D">
        <w:rPr>
          <w:rFonts w:ascii="Times New Roman" w:hAnsi="Times New Roman" w:cs="Times New Roman"/>
          <w:sz w:val="28"/>
          <w:szCs w:val="28"/>
          <w:lang w:val="uk-UA"/>
        </w:rPr>
        <w:t>. Зокрема кошти використані на придбання та встановлення камер відеоспостереження</w:t>
      </w:r>
      <w:r w:rsidR="00853B28">
        <w:rPr>
          <w:rFonts w:ascii="Times New Roman" w:hAnsi="Times New Roman" w:cs="Times New Roman"/>
          <w:sz w:val="28"/>
          <w:szCs w:val="28"/>
          <w:lang w:val="uk-UA"/>
        </w:rPr>
        <w:t xml:space="preserve"> на перехрестях вулиць міста</w:t>
      </w:r>
      <w:r w:rsidR="00E8296D">
        <w:rPr>
          <w:rFonts w:ascii="Times New Roman" w:hAnsi="Times New Roman" w:cs="Times New Roman"/>
          <w:sz w:val="28"/>
          <w:szCs w:val="28"/>
          <w:lang w:val="uk-UA"/>
        </w:rPr>
        <w:t>, забезпечення доступу до мережі Інтернет</w:t>
      </w:r>
      <w:r w:rsidR="00853B28">
        <w:rPr>
          <w:rFonts w:ascii="Times New Roman" w:hAnsi="Times New Roman" w:cs="Times New Roman"/>
          <w:sz w:val="28"/>
          <w:szCs w:val="28"/>
          <w:lang w:val="uk-UA"/>
        </w:rPr>
        <w:t xml:space="preserve"> камер відеоспостереження, забезпечення функціонування </w:t>
      </w:r>
      <w:r w:rsidR="00853B2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853B28">
        <w:rPr>
          <w:rFonts w:ascii="Times New Roman" w:hAnsi="Times New Roman" w:cs="Times New Roman"/>
          <w:sz w:val="28"/>
          <w:szCs w:val="28"/>
          <w:lang w:val="uk-UA"/>
        </w:rPr>
        <w:t xml:space="preserve"> центру, придбання та встановлення камер відеоспостереження по </w:t>
      </w:r>
      <w:proofErr w:type="spellStart"/>
      <w:r w:rsidR="00853B2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53B28">
        <w:rPr>
          <w:rFonts w:ascii="Times New Roman" w:hAnsi="Times New Roman" w:cs="Times New Roman"/>
          <w:sz w:val="28"/>
          <w:szCs w:val="28"/>
          <w:lang w:val="uk-UA"/>
        </w:rPr>
        <w:t xml:space="preserve"> «Безпечний двір».</w:t>
      </w:r>
    </w:p>
    <w:p w:rsidR="00853B28" w:rsidRDefault="00853B28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Окрім цього, у 2022 році на управління, як головного розпорядника, виділялися кошти по коду 1918240 «Заходи та роботи з територіальної оборони». Із передбачених 3,3 млн. грн. (3 300 642,0 грн.) фактично було використано 2,8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(2 787 800,37 грн.). Кошти </w:t>
      </w:r>
      <w:r w:rsidR="00EB2808">
        <w:rPr>
          <w:rFonts w:ascii="Times New Roman" w:hAnsi="Times New Roman" w:cs="Times New Roman"/>
          <w:sz w:val="28"/>
          <w:szCs w:val="28"/>
          <w:lang w:val="uk-UA"/>
        </w:rPr>
        <w:t xml:space="preserve">перераховувалися на </w:t>
      </w:r>
      <w:r w:rsidR="00EB2808">
        <w:rPr>
          <w:rFonts w:ascii="Times New Roman" w:hAnsi="Times New Roman" w:cs="Times New Roman"/>
          <w:sz w:val="28"/>
          <w:szCs w:val="28"/>
          <w:lang w:val="uk-UA"/>
        </w:rPr>
        <w:lastRenderedPageBreak/>
        <w:t>рахунки комунальних підприємств «</w:t>
      </w:r>
      <w:proofErr w:type="spellStart"/>
      <w:r w:rsidR="00EB2808">
        <w:rPr>
          <w:rFonts w:ascii="Times New Roman" w:hAnsi="Times New Roman" w:cs="Times New Roman"/>
          <w:sz w:val="28"/>
          <w:szCs w:val="28"/>
          <w:lang w:val="uk-UA"/>
        </w:rPr>
        <w:t>Тернопільелектротранс</w:t>
      </w:r>
      <w:proofErr w:type="spellEnd"/>
      <w:r w:rsidR="00EB280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EB2808">
        <w:rPr>
          <w:rFonts w:ascii="Times New Roman" w:hAnsi="Times New Roman" w:cs="Times New Roman"/>
          <w:sz w:val="28"/>
          <w:szCs w:val="28"/>
          <w:lang w:val="uk-UA"/>
        </w:rPr>
        <w:t>Міськавтотранс</w:t>
      </w:r>
      <w:proofErr w:type="spellEnd"/>
      <w:r w:rsidR="00EB2808">
        <w:rPr>
          <w:rFonts w:ascii="Times New Roman" w:hAnsi="Times New Roman" w:cs="Times New Roman"/>
          <w:sz w:val="28"/>
          <w:szCs w:val="28"/>
          <w:lang w:val="uk-UA"/>
        </w:rPr>
        <w:t xml:space="preserve">» та були використані на придбання та пошиття комплектів форми польової, придбання паливно-мастильних матеріалів для заправки транспортних засобів, якими забезпечувалися перевезення з питань </w:t>
      </w:r>
      <w:proofErr w:type="spellStart"/>
      <w:r w:rsidR="00EB2808">
        <w:rPr>
          <w:rFonts w:ascii="Times New Roman" w:hAnsi="Times New Roman" w:cs="Times New Roman"/>
          <w:sz w:val="28"/>
          <w:szCs w:val="28"/>
          <w:lang w:val="uk-UA"/>
        </w:rPr>
        <w:t>тероборони</w:t>
      </w:r>
      <w:proofErr w:type="spellEnd"/>
      <w:r w:rsidR="00EB2808">
        <w:rPr>
          <w:rFonts w:ascii="Times New Roman" w:hAnsi="Times New Roman" w:cs="Times New Roman"/>
          <w:sz w:val="28"/>
          <w:szCs w:val="28"/>
          <w:lang w:val="uk-UA"/>
        </w:rPr>
        <w:t xml:space="preserve"> та допомоги Збройним силам України.</w:t>
      </w:r>
    </w:p>
    <w:p w:rsidR="002973A9" w:rsidRDefault="002973A9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3A9" w:rsidRDefault="002973A9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3A9" w:rsidRDefault="002973A9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3A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спеціальному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виділялися кошти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капвидатки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Тернопільелектротранс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Міськавтотранс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«Тернопіль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Інтеравіа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A6889" w:rsidRDefault="002973A9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передбачених бюджетом 91,9 млн. грн., фактично використано у 2022 році – 88,6 млн. грн.. Основна сума цих коштів була виділена як </w:t>
      </w:r>
      <w:r w:rsidRPr="002973A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Внески до статутного капіталу суб’єктів господарювання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Pr="002973A9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використано 88,5 </w:t>
      </w:r>
      <w:proofErr w:type="spellStart"/>
      <w:r w:rsidRPr="002973A9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Pr="002973A9">
        <w:rPr>
          <w:rFonts w:ascii="Times New Roman" w:hAnsi="Times New Roman" w:cs="Times New Roman"/>
          <w:sz w:val="28"/>
          <w:szCs w:val="28"/>
          <w:lang w:val="uk-UA"/>
        </w:rPr>
        <w:t>., 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погашення </w:t>
      </w:r>
      <w:r w:rsidR="007A6889">
        <w:rPr>
          <w:rFonts w:ascii="Times New Roman" w:hAnsi="Times New Roman" w:cs="Times New Roman"/>
          <w:sz w:val="28"/>
          <w:szCs w:val="28"/>
          <w:lang w:val="uk-UA"/>
        </w:rPr>
        <w:t xml:space="preserve">лізингових платежів КП ТЕТ (14,1 </w:t>
      </w:r>
      <w:proofErr w:type="spellStart"/>
      <w:r w:rsidR="007A6889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="007A6889">
        <w:rPr>
          <w:rFonts w:ascii="Times New Roman" w:hAnsi="Times New Roman" w:cs="Times New Roman"/>
          <w:sz w:val="28"/>
          <w:szCs w:val="28"/>
          <w:lang w:val="uk-UA"/>
        </w:rPr>
        <w:t>.),</w:t>
      </w:r>
    </w:p>
    <w:p w:rsidR="007A6889" w:rsidRDefault="007A6889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лізингових платежів КП МАТ (34,4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 за придбані транспортні засоби (оновлення рухомого складу), </w:t>
      </w:r>
    </w:p>
    <w:p w:rsidR="007A6889" w:rsidRDefault="007A6889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реконструкцію тролейбусних ліній – 800,0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</w:p>
    <w:p w:rsidR="002973A9" w:rsidRDefault="007A6889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внески до статутного капіталу (в обмін на корпоративні права) КП ТЕТ та КП МАТ – 35,4 млн. грн.</w:t>
      </w:r>
    </w:p>
    <w:p w:rsidR="007A6889" w:rsidRDefault="007A6889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тролейбусів б/в (2 тролейбуси) – 1,6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6889" w:rsidRDefault="00C352C3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відеообладнання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централізованої системи відеоспостереження – 497,1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тощо.</w:t>
      </w:r>
    </w:p>
    <w:p w:rsidR="00C352C3" w:rsidRDefault="00C352C3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у 2022 році по спеціальному фонду по </w:t>
      </w:r>
      <w:r>
        <w:rPr>
          <w:rFonts w:ascii="Times New Roman" w:hAnsi="Times New Roman" w:cs="Times New Roman"/>
          <w:sz w:val="28"/>
          <w:szCs w:val="28"/>
          <w:lang w:val="uk-UA"/>
        </w:rPr>
        <w:t>1918240 «Заходи та роботи з територіальної оборони»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виділено 120,0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 придбання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квадрокоптера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Кошти освоєнні,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квадрокоптер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придбаний.</w:t>
      </w:r>
    </w:p>
    <w:p w:rsidR="00C352C3" w:rsidRDefault="00C352C3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2C3" w:rsidRDefault="00C352C3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2C3" w:rsidRDefault="00C352C3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за 2022 рік по управлінню виконання бюджету</w:t>
      </w:r>
      <w:r w:rsidR="00047770">
        <w:rPr>
          <w:rFonts w:ascii="Times New Roman" w:hAnsi="Times New Roman" w:cs="Times New Roman"/>
          <w:sz w:val="28"/>
          <w:szCs w:val="28"/>
          <w:lang w:val="uk-UA"/>
        </w:rPr>
        <w:t>, тобто використаних коштів до запланованих, складає:</w:t>
      </w:r>
    </w:p>
    <w:p w:rsidR="00047770" w:rsidRDefault="00047770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загальному фонду – 98,5%,</w:t>
      </w:r>
    </w:p>
    <w:p w:rsidR="00047770" w:rsidRPr="002973A9" w:rsidRDefault="00047770" w:rsidP="0032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спеціальному – 96,5%</w:t>
      </w:r>
      <w:bookmarkStart w:id="0" w:name="_GoBack"/>
      <w:bookmarkEnd w:id="0"/>
    </w:p>
    <w:sectPr w:rsidR="00047770" w:rsidRPr="0029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18"/>
    <w:rsid w:val="00036C4C"/>
    <w:rsid w:val="00047770"/>
    <w:rsid w:val="002973A9"/>
    <w:rsid w:val="00322854"/>
    <w:rsid w:val="00354018"/>
    <w:rsid w:val="00684F49"/>
    <w:rsid w:val="007A6889"/>
    <w:rsid w:val="00853B28"/>
    <w:rsid w:val="00C352C3"/>
    <w:rsid w:val="00E8296D"/>
    <w:rsid w:val="00E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ED6A"/>
  <w15:chartTrackingRefBased/>
  <w15:docId w15:val="{0333ED8C-9552-419C-9BE3-65B8DEE2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Filipova</dc:creator>
  <cp:keywords/>
  <dc:description/>
  <cp:lastModifiedBy>Filipova</cp:lastModifiedBy>
  <cp:revision>1</cp:revision>
  <dcterms:created xsi:type="dcterms:W3CDTF">2023-03-09T17:31:00Z</dcterms:created>
  <dcterms:modified xsi:type="dcterms:W3CDTF">2023-03-09T19:14:00Z</dcterms:modified>
</cp:coreProperties>
</file>