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E5C4" w14:textId="77777777" w:rsidR="00A60CDF" w:rsidRDefault="00000000">
      <w:pPr>
        <w:ind w:left="7788" w:firstLine="708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2"/>
          <w:shd w:val="clear" w:color="auto" w:fill="FFFFFF"/>
        </w:rPr>
        <w:t>Додаток 1</w:t>
      </w:r>
    </w:p>
    <w:p w14:paraId="4AA03718" w14:textId="77777777" w:rsidR="00A60CDF" w:rsidRDefault="00A60CDF">
      <w:pPr>
        <w:jc w:val="center"/>
        <w:rPr>
          <w:b/>
          <w:bCs/>
          <w:sz w:val="28"/>
          <w:szCs w:val="28"/>
        </w:rPr>
      </w:pPr>
    </w:p>
    <w:p w14:paraId="7F6E6899" w14:textId="77777777" w:rsidR="00A60CDF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Концепція зі створення безбар’єрного середовища</w:t>
      </w:r>
    </w:p>
    <w:p w14:paraId="49AFC525" w14:textId="77777777" w:rsidR="00A60CDF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осіб з інвалідністю та інших категорій маломобільних груп населення на території  Тернопільської міської територіальної громади</w:t>
      </w:r>
    </w:p>
    <w:p w14:paraId="772AF72D" w14:textId="77777777" w:rsidR="00A60CDF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«Тернопіль – місто без бар’єрів»</w:t>
      </w:r>
    </w:p>
    <w:p w14:paraId="46597847" w14:textId="77777777" w:rsidR="00A60CDF" w:rsidRDefault="00A60CDF">
      <w:pPr>
        <w:jc w:val="center"/>
        <w:rPr>
          <w:b/>
          <w:bCs/>
          <w:sz w:val="24"/>
          <w:szCs w:val="24"/>
        </w:rPr>
      </w:pPr>
    </w:p>
    <w:p w14:paraId="71680A3D" w14:textId="77777777" w:rsidR="00A60CDF" w:rsidRDefault="00000000">
      <w:pPr>
        <w:spacing w:before="100" w:beforeAutospacing="1" w:after="100" w:afterAutospacing="1"/>
        <w:ind w:left="57" w:firstLine="651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Мета концепції - створення умов для забезпечення безперешкодного середовища для всіх груп населення, в </w:t>
      </w:r>
      <w:proofErr w:type="spellStart"/>
      <w:r>
        <w:rPr>
          <w:sz w:val="24"/>
          <w:szCs w:val="24"/>
          <w:shd w:val="clear" w:color="auto" w:fill="FFFFFF"/>
        </w:rPr>
        <w:t>т.ч</w:t>
      </w:r>
      <w:proofErr w:type="spellEnd"/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</w:rPr>
        <w:t>осіб з інвалідністю та інших категорій маломобільних груп населення на території Тернопільської міської територіальної громади</w:t>
      </w:r>
      <w:r>
        <w:rPr>
          <w:sz w:val="24"/>
          <w:szCs w:val="24"/>
          <w:shd w:val="clear" w:color="auto" w:fill="FFFFFF"/>
        </w:rPr>
        <w:t xml:space="preserve"> та забезпечення рівних можливостей кожній людині реалізовувати свої права, отримувати послуги на рівні з іншими.</w:t>
      </w:r>
    </w:p>
    <w:p w14:paraId="3F5DCD2E" w14:textId="77777777" w:rsidR="00A60CDF" w:rsidRDefault="00000000">
      <w:pPr>
        <w:spacing w:before="100" w:beforeAutospacing="1" w:after="100" w:afterAutospacing="1"/>
        <w:ind w:left="57" w:firstLine="709"/>
        <w:rPr>
          <w:sz w:val="24"/>
          <w:szCs w:val="24"/>
        </w:rPr>
      </w:pPr>
      <w:r>
        <w:rPr>
          <w:sz w:val="24"/>
          <w:szCs w:val="24"/>
        </w:rPr>
        <w:t>Документ передбачає створення плану заходів для реалізації концепції «Тернопіль – місто без бар’єрів» на виконання  завдань та заходів, спрямованих на усунення фізичних, інформаційних, суспільних, економічних, освітніх та цифрових бар’єрів.</w:t>
      </w:r>
    </w:p>
    <w:p w14:paraId="0C9543D7" w14:textId="77777777" w:rsidR="00A60CDF" w:rsidRDefault="00000000">
      <w:pPr>
        <w:rPr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b/>
          <w:bCs/>
          <w:i/>
          <w:iCs/>
          <w:sz w:val="24"/>
          <w:szCs w:val="24"/>
          <w:u w:val="single"/>
        </w:rPr>
        <w:t xml:space="preserve">Усунення фізичних бар’єрів. </w:t>
      </w:r>
    </w:p>
    <w:p w14:paraId="555858AF" w14:textId="77777777" w:rsidR="00A60CDF" w:rsidRDefault="0000000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Адаптація чи ліквідація </w:t>
      </w:r>
      <w:proofErr w:type="spellStart"/>
      <w:r>
        <w:rPr>
          <w:sz w:val="24"/>
          <w:szCs w:val="24"/>
          <w:shd w:val="clear" w:color="auto" w:fill="FFFFFF"/>
        </w:rPr>
        <w:t>барʼєрів</w:t>
      </w:r>
      <w:proofErr w:type="spellEnd"/>
      <w:r>
        <w:rPr>
          <w:sz w:val="24"/>
          <w:szCs w:val="24"/>
          <w:shd w:val="clear" w:color="auto" w:fill="FFFFFF"/>
        </w:rPr>
        <w:t xml:space="preserve"> перед входами в будівлі, споруди та транспорт для осіб літнього віку, батьків з дитячими візочками, осіб з інвалідністю та інших представників маломобільних груп. </w:t>
      </w:r>
    </w:p>
    <w:p w14:paraId="394F19A6" w14:textId="77777777" w:rsidR="00A60CDF" w:rsidRDefault="000000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2A97DA9C" w14:textId="77777777" w:rsidR="00A60CDF" w:rsidRDefault="00000000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пристосування головних входів до будівель органів Тернопільської міської територіальної громади для використання особами з інвалідністю;</w:t>
      </w:r>
    </w:p>
    <w:p w14:paraId="1EAA5C54" w14:textId="77777777" w:rsidR="00A60CDF" w:rsidRDefault="00000000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забезпечення доступності транспортних послуг для всіх громадян у Тернопільській міській територіальній громаді, зокрема для осіб з інвалідністю та інших маломобільних груп населення, шляхом створення для них доступного середовища для вільного пересування;</w:t>
      </w:r>
    </w:p>
    <w:p w14:paraId="08A4CB33" w14:textId="77777777" w:rsidR="00A60CDF" w:rsidRDefault="00000000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формування мережі сучасних спортивних споруд за місцем проживання, у місцях масового відпочинку із забезпеченням їх</w:t>
      </w:r>
      <w:r>
        <w:rPr>
          <w:sz w:val="24"/>
          <w:szCs w:val="24"/>
        </w:rPr>
        <w:t xml:space="preserve"> доступності для різних верств населення, зокрема для осіб з інвалідністю та інших маломобільних груп населення;</w:t>
      </w:r>
    </w:p>
    <w:p w14:paraId="35141E59" w14:textId="77777777" w:rsidR="00A60CDF" w:rsidRDefault="00000000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забезпечення захисту і безпеки осіб з інвалідністю та інших маломобільних груп населення у надзвичайних ситуаціях, зокрема в разі виникнення різноманітних військових загроз;</w:t>
      </w:r>
    </w:p>
    <w:p w14:paraId="5FDD065C" w14:textId="77777777" w:rsidR="00A60CDF" w:rsidRDefault="00000000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забезпечення збору і поширення достовірної інформації про доступність об’єктів, а також встановлення вимог до публічних закладів щодо інформування про наявні умови доступності їх будівель і приміщень.</w:t>
      </w:r>
    </w:p>
    <w:p w14:paraId="3D49E2F2" w14:textId="77777777" w:rsidR="00A60CDF" w:rsidRDefault="00A60CDF">
      <w:pPr>
        <w:pStyle w:val="a6"/>
        <w:ind w:left="1571" w:firstLine="0"/>
        <w:rPr>
          <w:sz w:val="24"/>
          <w:szCs w:val="24"/>
        </w:rPr>
      </w:pPr>
    </w:p>
    <w:p w14:paraId="56942A7D" w14:textId="77777777" w:rsidR="00A60CDF" w:rsidRDefault="0000000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Усунення інформаційних бар’єрів</w:t>
      </w:r>
    </w:p>
    <w:p w14:paraId="0D2EEFAE" w14:textId="77777777" w:rsidR="00A60CD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Жителі нашої громади, особливо особи з інвалідністю та інші категорії маломобільних груп населення незалежно від їх функціональних порушень чи комунікативних можливостей, повинні мати доступ до інформації в різних форматах та з використанням технологій, зокрема шрифт Брайля, </w:t>
      </w:r>
      <w:proofErr w:type="spellStart"/>
      <w:r>
        <w:rPr>
          <w:sz w:val="24"/>
          <w:szCs w:val="24"/>
        </w:rPr>
        <w:t>великошрифтовий</w:t>
      </w:r>
      <w:proofErr w:type="spellEnd"/>
      <w:r>
        <w:rPr>
          <w:sz w:val="24"/>
          <w:szCs w:val="24"/>
        </w:rPr>
        <w:t xml:space="preserve"> друк, </w:t>
      </w:r>
      <w:proofErr w:type="spellStart"/>
      <w:r>
        <w:rPr>
          <w:sz w:val="24"/>
          <w:szCs w:val="24"/>
        </w:rPr>
        <w:t>аудіодискрипція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тифлокоментування</w:t>
      </w:r>
      <w:proofErr w:type="spellEnd"/>
      <w:r>
        <w:rPr>
          <w:sz w:val="24"/>
          <w:szCs w:val="24"/>
        </w:rPr>
        <w:t xml:space="preserve"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 </w:t>
      </w:r>
    </w:p>
    <w:p w14:paraId="5CAD99C3" w14:textId="77777777" w:rsidR="00A60CDF" w:rsidRDefault="000000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0AF0A67C" w14:textId="77777777" w:rsidR="00A60CDF" w:rsidRDefault="00000000">
      <w:pPr>
        <w:pStyle w:val="a6"/>
        <w:numPr>
          <w:ilvl w:val="0"/>
          <w:numId w:val="6"/>
        </w:numPr>
        <w:rPr>
          <w:sz w:val="24"/>
          <w:szCs w:val="24"/>
        </w:rPr>
      </w:pPr>
      <w:bookmarkStart w:id="0" w:name="222"/>
      <w:r>
        <w:rPr>
          <w:sz w:val="24"/>
          <w:szCs w:val="24"/>
        </w:rPr>
        <w:t xml:space="preserve">здійснення заходів щодо забезпечення </w:t>
      </w:r>
      <w:bookmarkEnd w:id="0"/>
      <w:r>
        <w:rPr>
          <w:sz w:val="24"/>
          <w:szCs w:val="24"/>
        </w:rPr>
        <w:t>доступності у Тернопільській міській територіальній громаді виклику служби екстреної медичної допомоги з урахуванням комунікаційних потреб та можливостей осіб з порушенням слуху, зору, мовлення та інтелектуального розвитку;</w:t>
      </w:r>
    </w:p>
    <w:p w14:paraId="4D2F91F4" w14:textId="77777777" w:rsidR="00A60CDF" w:rsidRDefault="00000000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адаптація під потреби </w:t>
      </w:r>
      <w:r>
        <w:rPr>
          <w:sz w:val="24"/>
          <w:szCs w:val="24"/>
        </w:rPr>
        <w:t xml:space="preserve">осіб з інвалідністю та інші категорій маломобільних груп </w:t>
      </w:r>
      <w:r>
        <w:rPr>
          <w:sz w:val="24"/>
          <w:szCs w:val="24"/>
          <w:shd w:val="clear" w:color="auto" w:fill="FFFFFF"/>
        </w:rPr>
        <w:t xml:space="preserve">Центрів надання послуг </w:t>
      </w:r>
      <w:r>
        <w:rPr>
          <w:sz w:val="24"/>
          <w:szCs w:val="24"/>
        </w:rPr>
        <w:t>Тернопільської міської територіальної громади</w:t>
      </w:r>
      <w:r>
        <w:rPr>
          <w:sz w:val="24"/>
          <w:szCs w:val="24"/>
          <w:shd w:val="clear" w:color="auto" w:fill="FFFFFF"/>
        </w:rPr>
        <w:t>.</w:t>
      </w:r>
    </w:p>
    <w:p w14:paraId="34FF0C3E" w14:textId="77777777" w:rsidR="00A60CDF" w:rsidRDefault="00000000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eastAsia="uk-UA"/>
        </w:rPr>
        <w:t>забезпечення необхідним програмним забезпеченням та засобами доступу до інтернету осіб з інвалідністю, закладів освіти, культури та інших хабів у межах населених пунктів;</w:t>
      </w:r>
    </w:p>
    <w:p w14:paraId="37856EC1" w14:textId="77777777" w:rsidR="00A60CDF" w:rsidRDefault="00000000">
      <w:pPr>
        <w:pStyle w:val="a6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проведення інформаційної кампанії, </w:t>
      </w:r>
      <w:r>
        <w:rPr>
          <w:sz w:val="24"/>
          <w:szCs w:val="24"/>
        </w:rPr>
        <w:t>шляхом розміщення банерів, соціальної реклами, популяризуючи у суспільстві культуру безбар’єрності як філософію гідності та прийняття</w:t>
      </w:r>
    </w:p>
    <w:p w14:paraId="14F6BFDA" w14:textId="77777777" w:rsidR="00A60CDF" w:rsidRDefault="00A60CDF">
      <w:pPr>
        <w:rPr>
          <w:sz w:val="24"/>
          <w:szCs w:val="24"/>
        </w:rPr>
      </w:pPr>
    </w:p>
    <w:p w14:paraId="592ACA96" w14:textId="77777777" w:rsidR="00A60CDF" w:rsidRDefault="0000000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Усунення цифрових бар’єрів</w:t>
      </w:r>
    </w:p>
    <w:p w14:paraId="59AAC5C4" w14:textId="77777777" w:rsidR="00A60CDF" w:rsidRDefault="00000000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Більшість </w:t>
      </w:r>
      <w:r>
        <w:rPr>
          <w:sz w:val="24"/>
          <w:szCs w:val="24"/>
        </w:rPr>
        <w:t xml:space="preserve">осіб з інвалідністю та інші категорій маломобільних груп населення не мають повноцінного стабільного доступу до мережі інтернет. Спілкування в соціальних мережах дозволить їм максимально відчувати себе інтегрованими в громадянське суспільство та бути частинкою активних громадян Тернопільської міської територіальної громади. </w:t>
      </w:r>
    </w:p>
    <w:p w14:paraId="0771D1EA" w14:textId="77777777" w:rsidR="00A60CDF" w:rsidRDefault="000000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348EAC17" w14:textId="77777777" w:rsidR="00A60CDF" w:rsidRDefault="00000000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  <w:lang w:eastAsia="uk-UA"/>
        </w:rPr>
        <w:t xml:space="preserve">забезпечення технічної можливості підключення квартир та домогосподарств, у якій проживають особи з інвалідністю у </w:t>
      </w:r>
      <w:r>
        <w:rPr>
          <w:sz w:val="24"/>
          <w:szCs w:val="24"/>
        </w:rPr>
        <w:t xml:space="preserve">Тернопільській міській територіальній громаді </w:t>
      </w:r>
      <w:r>
        <w:rPr>
          <w:sz w:val="24"/>
          <w:szCs w:val="24"/>
          <w:lang w:eastAsia="uk-UA"/>
        </w:rPr>
        <w:t>до фіксованого доступу до мережі Інтернет;</w:t>
      </w:r>
    </w:p>
    <w:p w14:paraId="606CBD07" w14:textId="77777777" w:rsidR="00A60CDF" w:rsidRDefault="00A60CDF">
      <w:pPr>
        <w:ind w:firstLine="0"/>
        <w:rPr>
          <w:sz w:val="24"/>
          <w:szCs w:val="24"/>
        </w:rPr>
      </w:pPr>
    </w:p>
    <w:p w14:paraId="469CAB1B" w14:textId="77777777" w:rsidR="00A60CDF" w:rsidRDefault="0000000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Усунення суспільних бар’єрів</w:t>
      </w:r>
    </w:p>
    <w:p w14:paraId="035D046D" w14:textId="77777777" w:rsidR="00A60CDF" w:rsidRDefault="00000000">
      <w:pPr>
        <w:rPr>
          <w:sz w:val="24"/>
          <w:szCs w:val="24"/>
          <w:lang w:eastAsia="uk-UA"/>
        </w:rPr>
      </w:pPr>
      <w:r>
        <w:rPr>
          <w:sz w:val="24"/>
          <w:szCs w:val="24"/>
        </w:rPr>
        <w:t xml:space="preserve">Суспільна та громадянська безбар’єрність передбачає забезпечення рівних можливостей участі всіх людей, в тому числі осіб з інвалідністю та інші категорій маломобільних груп населення,  в житті Тернопільської міської територіальної громади, рівний доступ до суспільно-політичного та культурного життя, сприятливе середовище для фізичного розвитку та самореалізації. </w:t>
      </w:r>
    </w:p>
    <w:p w14:paraId="227F865E" w14:textId="77777777" w:rsidR="00A60CDF" w:rsidRDefault="00000000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1152838A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впровадження найкращих практик і механізмів залучення осіб з інвалідністю, молоді, осіб похилого віку, батьків з дітьми дошкільного віку до громадського та культурного життя;</w:t>
      </w:r>
    </w:p>
    <w:p w14:paraId="258D123C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 xml:space="preserve">розвиток у системі освіти наскрізного принципу врахування соціальної залученості, недискримінації та поваги до прав людини, </w:t>
      </w:r>
      <w:proofErr w:type="spellStart"/>
      <w:r>
        <w:rPr>
          <w:sz w:val="24"/>
          <w:szCs w:val="24"/>
          <w:shd w:val="clear" w:color="auto" w:fill="FFFFFF"/>
        </w:rPr>
        <w:t>партисипації</w:t>
      </w:r>
      <w:proofErr w:type="spellEnd"/>
      <w:r>
        <w:rPr>
          <w:sz w:val="24"/>
          <w:szCs w:val="24"/>
          <w:shd w:val="clear" w:color="auto" w:fill="FFFFFF"/>
        </w:rPr>
        <w:t xml:space="preserve"> та згуртованості, у тому числі у формальній та неформальній освіті, зокрема громадянській;</w:t>
      </w:r>
    </w:p>
    <w:p w14:paraId="30015E1E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>проведення широких інформаційно-просвітницьких кампаній для працівників державних та комунальних установ, організацій, професійних спільнот та громадськості на всіх рівнях щодо політики безбар’єрності та недискримінації;</w:t>
      </w:r>
    </w:p>
    <w:p w14:paraId="3F8461F7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>підвищення рівня обізнаності посадових осіб Тернопільської міської ради, її установ та організації щодо прав осіб з інвалідністю, універсального дизайну і доступності;</w:t>
      </w:r>
    </w:p>
    <w:p w14:paraId="54AF1BFE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запровадження комплексних реабілітаційних та </w:t>
      </w:r>
      <w:proofErr w:type="spellStart"/>
      <w:r>
        <w:rPr>
          <w:sz w:val="24"/>
          <w:szCs w:val="24"/>
        </w:rPr>
        <w:t>абілітаційних</w:t>
      </w:r>
      <w:proofErr w:type="spellEnd"/>
      <w:r>
        <w:rPr>
          <w:sz w:val="24"/>
          <w:szCs w:val="24"/>
        </w:rPr>
        <w:t xml:space="preserve"> послуг, спрямованих на підвищення якості життя, активності, працездатності та залучення в усі форми суспільного життя;</w:t>
      </w:r>
    </w:p>
    <w:p w14:paraId="5CD1C241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 xml:space="preserve">формування у </w:t>
      </w:r>
      <w:r>
        <w:rPr>
          <w:sz w:val="24"/>
          <w:szCs w:val="24"/>
        </w:rPr>
        <w:t>Тернопільській міській територіальній громаді</w:t>
      </w:r>
      <w:r>
        <w:rPr>
          <w:sz w:val="24"/>
          <w:szCs w:val="24"/>
          <w:shd w:val="clear" w:color="auto" w:fill="FFFFFF"/>
        </w:rPr>
        <w:t xml:space="preserve"> якісно нової системи забезпечення та захисту прав дітей з інвалідністю, що дасть змогу відійти від практики інституційного догляду та виховання дітей до забезпечення безпечного догляду і виховання кожної дитини в сімейному або наближеному до сімейного середовищі;</w:t>
      </w:r>
    </w:p>
    <w:p w14:paraId="76160F6D" w14:textId="77777777" w:rsidR="00A60CDF" w:rsidRDefault="00000000">
      <w:pPr>
        <w:pStyle w:val="a6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 xml:space="preserve">адаптація функціонування закладів фізичної культури та спорту для </w:t>
      </w:r>
      <w:r>
        <w:rPr>
          <w:sz w:val="24"/>
          <w:szCs w:val="24"/>
        </w:rPr>
        <w:t>осіб з інвалідністю та інших категорій маломобільних груп населення</w:t>
      </w:r>
      <w:r>
        <w:rPr>
          <w:sz w:val="24"/>
          <w:szCs w:val="24"/>
          <w:shd w:val="clear" w:color="auto" w:fill="FFFFFF"/>
        </w:rPr>
        <w:t>.</w:t>
      </w:r>
    </w:p>
    <w:p w14:paraId="475AC44E" w14:textId="77777777" w:rsidR="00A60CDF" w:rsidRDefault="00A60CDF">
      <w:pPr>
        <w:rPr>
          <w:sz w:val="24"/>
          <w:szCs w:val="24"/>
        </w:rPr>
      </w:pPr>
    </w:p>
    <w:p w14:paraId="0029B9FC" w14:textId="77777777" w:rsidR="00A60CDF" w:rsidRDefault="0000000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Усунення освітніх бар’єрів</w:t>
      </w:r>
    </w:p>
    <w:p w14:paraId="5BD09D43" w14:textId="77777777" w:rsidR="00A60CD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Можливість вільного доступ до освіти протягом усього життя – це і є освітня безбар’єрність. Здобуття іншої професії, підвищення кваліфікації та опанування додаткових </w:t>
      </w:r>
      <w:proofErr w:type="spellStart"/>
      <w:r>
        <w:rPr>
          <w:sz w:val="24"/>
          <w:szCs w:val="24"/>
        </w:rPr>
        <w:lastRenderedPageBreak/>
        <w:t>компетентностей</w:t>
      </w:r>
      <w:proofErr w:type="spellEnd"/>
      <w:r>
        <w:rPr>
          <w:sz w:val="24"/>
          <w:szCs w:val="24"/>
        </w:rPr>
        <w:t>, особливо для осіб з інвалідністю та інших категорій маломобільних груп населення, в житті Тернопільської міської територіальної громади</w:t>
      </w:r>
    </w:p>
    <w:p w14:paraId="6D2DED54" w14:textId="77777777" w:rsidR="00A60CDF" w:rsidRDefault="00000000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15F69D83" w14:textId="77777777" w:rsidR="00A60CDF" w:rsidRDefault="00000000">
      <w:pPr>
        <w:pStyle w:val="a6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створення нових та підтримка існуючих </w:t>
      </w:r>
      <w:proofErr w:type="spellStart"/>
      <w:r>
        <w:rPr>
          <w:sz w:val="24"/>
          <w:szCs w:val="24"/>
        </w:rPr>
        <w:t>інклюзивно</w:t>
      </w:r>
      <w:proofErr w:type="spellEnd"/>
      <w:r>
        <w:rPr>
          <w:sz w:val="24"/>
          <w:szCs w:val="24"/>
        </w:rPr>
        <w:t>-ресурсних центрів відповідно до існуючих нормативів;</w:t>
      </w:r>
    </w:p>
    <w:p w14:paraId="310576F1" w14:textId="77777777" w:rsidR="00A60CDF" w:rsidRDefault="00000000">
      <w:pPr>
        <w:pStyle w:val="a6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забезпечення закладів дошкільної освіти методичними, діагностичними та матеріально-технічним засобами для створення та функціонування інклюзивного середовища;</w:t>
      </w:r>
    </w:p>
    <w:p w14:paraId="39B0D8EA" w14:textId="77777777" w:rsidR="00A60CDF" w:rsidRDefault="00000000">
      <w:pPr>
        <w:pStyle w:val="a6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забезпечення підвищення рівня якості надання освітніх послуг у спеціальних закладах загальної середньої освіти або спеціальних класах (групах) закладів освіти із створенням умов для здобуття учнями (вихованцями) з особливими освітніми потребами освіти в освітньому середовищі, наближеному до місця їх проживання;</w:t>
      </w:r>
    </w:p>
    <w:p w14:paraId="507E48EC" w14:textId="77777777" w:rsidR="00A60CDF" w:rsidRDefault="00000000">
      <w:pPr>
        <w:pStyle w:val="a6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>проведення навчань та поширення існуючих матеріалів для викладачів, вчителів, вихователів та психологічних служб щодо задоволення особливих освітніх потреб;</w:t>
      </w:r>
    </w:p>
    <w:p w14:paraId="17C05D41" w14:textId="77777777" w:rsidR="00A60CDF" w:rsidRDefault="00A60CDF">
      <w:pPr>
        <w:rPr>
          <w:sz w:val="24"/>
          <w:szCs w:val="24"/>
        </w:rPr>
      </w:pPr>
    </w:p>
    <w:p w14:paraId="49C64015" w14:textId="77777777" w:rsidR="00A60CDF" w:rsidRDefault="0000000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Усунення економічних бар’єрів</w:t>
      </w:r>
    </w:p>
    <w:p w14:paraId="55954BAE" w14:textId="77777777" w:rsidR="00A60CD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Це рівні умови та можливості для працевлаштування, отримання фінансових та інших ресурсів для заняття підприємництвом чи </w:t>
      </w:r>
      <w:proofErr w:type="spellStart"/>
      <w:r>
        <w:rPr>
          <w:sz w:val="24"/>
          <w:szCs w:val="24"/>
        </w:rPr>
        <w:t>самозайнятістю</w:t>
      </w:r>
      <w:proofErr w:type="spellEnd"/>
      <w:r>
        <w:rPr>
          <w:sz w:val="24"/>
          <w:szCs w:val="24"/>
        </w:rPr>
        <w:t>. Незалежно від віку, статі, сімейного стану чи стану здоров’я, особи з інвалідністю мають мати рівні умови та можливості.</w:t>
      </w:r>
    </w:p>
    <w:p w14:paraId="5B853B2F" w14:textId="77777777" w:rsidR="00A60CDF" w:rsidRDefault="000000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 xml:space="preserve">Для досягнення цієї цілі концепція </w:t>
      </w:r>
      <w:r>
        <w:rPr>
          <w:i/>
          <w:iCs/>
          <w:sz w:val="24"/>
          <w:szCs w:val="24"/>
        </w:rPr>
        <w:t>«Тернопіль – місто без бар’єрів» передбачає:</w:t>
      </w:r>
    </w:p>
    <w:p w14:paraId="213C6646" w14:textId="77777777" w:rsidR="00A60CDF" w:rsidRDefault="00000000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Підвищення рівня інформаційного забезпечення суб’єктів підприємницької діяльності, розвиток інфраструктури підтримки малого та середнього підприємства, що сприятиме працевлаштуванню осіб з інвалідністю.</w:t>
      </w:r>
    </w:p>
    <w:p w14:paraId="252C49FF" w14:textId="77777777" w:rsidR="00A60CDF" w:rsidRDefault="00000000">
      <w:pPr>
        <w:pStyle w:val="a6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Створення консультаційного супроводу та реєстрації підприємницької діяльності, а також підвищення базових теоретичних та практичних знань щодо сучасних можливостей роботи та підприємницької діяльності серед вразливих категорій населення.</w:t>
      </w:r>
    </w:p>
    <w:p w14:paraId="2F1F88D0" w14:textId="77777777" w:rsidR="00A60CDF" w:rsidRDefault="00A60CDF">
      <w:pPr>
        <w:pStyle w:val="a6"/>
        <w:ind w:left="1571"/>
        <w:rPr>
          <w:sz w:val="24"/>
          <w:szCs w:val="24"/>
        </w:rPr>
      </w:pPr>
    </w:p>
    <w:p w14:paraId="67D070D9" w14:textId="77777777" w:rsidR="00A60CDF" w:rsidRDefault="00A60CDF">
      <w:pPr>
        <w:pStyle w:val="a6"/>
        <w:ind w:left="1571"/>
        <w:rPr>
          <w:sz w:val="24"/>
          <w:szCs w:val="24"/>
        </w:rPr>
      </w:pPr>
    </w:p>
    <w:p w14:paraId="42861424" w14:textId="77777777" w:rsidR="00A60CDF" w:rsidRDefault="00A60CDF">
      <w:pPr>
        <w:pStyle w:val="a6"/>
        <w:ind w:left="1571"/>
        <w:rPr>
          <w:sz w:val="24"/>
          <w:szCs w:val="24"/>
        </w:rPr>
      </w:pPr>
    </w:p>
    <w:p w14:paraId="2CBF84B8" w14:textId="77777777" w:rsidR="00A60CDF" w:rsidRDefault="00A60CDF">
      <w:pPr>
        <w:pStyle w:val="a6"/>
        <w:ind w:left="1571"/>
        <w:rPr>
          <w:sz w:val="24"/>
          <w:szCs w:val="24"/>
        </w:rPr>
      </w:pPr>
    </w:p>
    <w:p w14:paraId="4A533FF0" w14:textId="77777777" w:rsidR="00A60CDF" w:rsidRDefault="00A60CDF">
      <w:pPr>
        <w:pStyle w:val="a6"/>
        <w:ind w:left="1571"/>
        <w:rPr>
          <w:sz w:val="24"/>
          <w:szCs w:val="24"/>
        </w:rPr>
      </w:pPr>
    </w:p>
    <w:p w14:paraId="76C8C3C2" w14:textId="77777777" w:rsidR="00A60CDF" w:rsidRDefault="00000000">
      <w:pPr>
        <w:pStyle w:val="a6"/>
        <w:ind w:left="0" w:firstLine="0"/>
        <w:rPr>
          <w:sz w:val="24"/>
          <w:szCs w:val="24"/>
        </w:rPr>
      </w:pPr>
      <w:r>
        <w:rPr>
          <w:rFonts w:ascii="Times" w:hAnsi="Times"/>
          <w:sz w:val="24"/>
          <w:szCs w:val="22"/>
        </w:rPr>
        <w:t xml:space="preserve">Міський голова </w:t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</w:r>
      <w:r>
        <w:rPr>
          <w:rFonts w:ascii="Times" w:hAnsi="Times"/>
          <w:sz w:val="24"/>
          <w:szCs w:val="22"/>
        </w:rPr>
        <w:tab/>
        <w:t>Сергій НАДАЛ</w:t>
      </w:r>
    </w:p>
    <w:sectPr w:rsidR="00A60CDF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936"/>
    <w:multiLevelType w:val="hybridMultilevel"/>
    <w:tmpl w:val="9CA29A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12F74DA6"/>
    <w:multiLevelType w:val="hybridMultilevel"/>
    <w:tmpl w:val="B20C0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34851A9E"/>
    <w:multiLevelType w:val="hybridMultilevel"/>
    <w:tmpl w:val="E2B618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36866B61"/>
    <w:multiLevelType w:val="hybridMultilevel"/>
    <w:tmpl w:val="288E14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4628A"/>
    <w:multiLevelType w:val="hybridMultilevel"/>
    <w:tmpl w:val="BFA6FD9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E4F05"/>
    <w:multiLevelType w:val="hybridMultilevel"/>
    <w:tmpl w:val="39E692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 w15:restartNumberingAfterBreak="0">
    <w:nsid w:val="401B193E"/>
    <w:multiLevelType w:val="hybridMultilevel"/>
    <w:tmpl w:val="3AB247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BE4779"/>
    <w:multiLevelType w:val="hybridMultilevel"/>
    <w:tmpl w:val="50649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8" w15:restartNumberingAfterBreak="0">
    <w:nsid w:val="49952ED8"/>
    <w:multiLevelType w:val="hybridMultilevel"/>
    <w:tmpl w:val="A02A0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 w15:restartNumberingAfterBreak="0">
    <w:nsid w:val="4D772253"/>
    <w:multiLevelType w:val="hybridMultilevel"/>
    <w:tmpl w:val="9834AB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111948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206067657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3" w16cid:durableId="1074203809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4" w16cid:durableId="1069376764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5" w16cid:durableId="673653839">
    <w:abstractNumId w:val="2"/>
  </w:num>
  <w:num w:numId="6" w16cid:durableId="12346383">
    <w:abstractNumId w:val="8"/>
  </w:num>
  <w:num w:numId="7" w16cid:durableId="2014141688">
    <w:abstractNumId w:val="5"/>
  </w:num>
  <w:num w:numId="8" w16cid:durableId="420836310">
    <w:abstractNumId w:val="1"/>
  </w:num>
  <w:num w:numId="9" w16cid:durableId="651446294">
    <w:abstractNumId w:val="0"/>
  </w:num>
  <w:num w:numId="10" w16cid:durableId="1709261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F"/>
    <w:rsid w:val="00870218"/>
    <w:rsid w:val="00A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EEE69"/>
  <w15:docId w15:val="{F8689BCA-518D-4443-8EAD-6228C5A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firstLine="851"/>
      <w:jc w:val="both"/>
    </w:pPr>
    <w:rPr>
      <w:rFonts w:ascii="Times New Roman" w:hAnsi="Times New Roman"/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hd w:val="clear" w:color="auto" w:fill="F5F5F5"/>
      <w:suppressAutoHyphens w:val="0"/>
      <w:spacing w:before="120"/>
      <w:ind w:firstLine="0"/>
      <w:jc w:val="left"/>
    </w:pPr>
    <w:rPr>
      <w:rFonts w:ascii="Arial" w:hAnsi="Arial"/>
      <w:color w:val="343434"/>
      <w:sz w:val="14"/>
      <w:szCs w:val="14"/>
      <w:lang w:val="ru-RU" w:eastAsia="ru-RU"/>
    </w:rPr>
  </w:style>
  <w:style w:type="paragraph" w:customStyle="1" w:styleId="a4">
    <w:name w:val="Нормальний текст"/>
    <w:basedOn w:val="a"/>
    <w:pPr>
      <w:suppressAutoHyphens w:val="0"/>
      <w:spacing w:before="120"/>
      <w:ind w:firstLine="567"/>
    </w:pPr>
    <w:rPr>
      <w:rFonts w:ascii="Antiqua" w:hAnsi="Antiqua"/>
      <w:szCs w:val="20"/>
      <w:lang w:eastAsia="ru-RU"/>
    </w:rPr>
  </w:style>
  <w:style w:type="paragraph" w:styleId="a5">
    <w:name w:val="No Spacing"/>
    <w:qFormat/>
    <w:pPr>
      <w:suppressAutoHyphens/>
      <w:ind w:firstLine="851"/>
      <w:jc w:val="both"/>
    </w:pPr>
    <w:rPr>
      <w:rFonts w:ascii="Times New Roman" w:hAnsi="Times New Roman"/>
      <w:sz w:val="26"/>
      <w:szCs w:val="26"/>
      <w:lang w:eastAsia="zh-CN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pPr>
      <w:contextualSpacing/>
    </w:pPr>
    <w:rPr>
      <w:spacing w:val="-10"/>
      <w:kern w:val="28"/>
      <w:sz w:val="56"/>
      <w:szCs w:val="5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color w:val="2F5496" w:themeColor="accent1" w:themeShade="BF"/>
      <w:sz w:val="32"/>
      <w:szCs w:val="32"/>
      <w:lang w:val="uk-UA" w:eastAsia="zh-CN"/>
    </w:rPr>
  </w:style>
  <w:style w:type="character" w:styleId="ab">
    <w:name w:val="Emphasis"/>
    <w:basedOn w:val="a0"/>
    <w:qFormat/>
    <w:rPr>
      <w:i/>
      <w:iCs/>
    </w:rPr>
  </w:style>
  <w:style w:type="character" w:styleId="ac">
    <w:name w:val="Subtle Emphasis"/>
    <w:basedOn w:val="a0"/>
    <w:qFormat/>
    <w:rPr>
      <w:i/>
      <w:iCs/>
      <w:color w:val="404040" w:themeColor="text1" w:themeTint="BF"/>
    </w:rPr>
  </w:style>
  <w:style w:type="character" w:customStyle="1" w:styleId="a8">
    <w:name w:val="Назва Знак"/>
    <w:basedOn w:val="a0"/>
    <w:link w:val="a7"/>
    <w:rPr>
      <w:spacing w:val="-10"/>
      <w:kern w:val="28"/>
      <w:sz w:val="56"/>
      <w:szCs w:val="56"/>
      <w:lang w:val="uk-UA" w:eastAsia="zh-CN"/>
    </w:rPr>
  </w:style>
  <w:style w:type="character" w:customStyle="1" w:styleId="20">
    <w:name w:val="Заголовок 2 Знак"/>
    <w:basedOn w:val="a0"/>
    <w:link w:val="2"/>
    <w:rPr>
      <w:color w:val="2F5496" w:themeColor="accent1" w:themeShade="BF"/>
      <w:sz w:val="26"/>
      <w:szCs w:val="26"/>
      <w:lang w:val="uk-UA" w:eastAsia="zh-CN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5130</Words>
  <Characters>2925</Characters>
  <Application>Microsoft Office Word</Application>
  <DocSecurity>0</DocSecurity>
  <Lines>24</Lines>
  <Paragraphs>16</Paragraphs>
  <ScaleCrop>false</ScaleCrop>
  <Company>Reanimator Extreme Edition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zodiacuat@gmail.com</dc:creator>
  <cp:lastModifiedBy>Тернопільська міська рада</cp:lastModifiedBy>
  <cp:revision>2</cp:revision>
  <dcterms:created xsi:type="dcterms:W3CDTF">2023-12-04T13:07:00Z</dcterms:created>
  <dcterms:modified xsi:type="dcterms:W3CDTF">2023-12-04T13:07:00Z</dcterms:modified>
</cp:coreProperties>
</file>