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C3" w:rsidRPr="0089517E" w:rsidRDefault="009518C3" w:rsidP="009518C3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kern w:val="32"/>
          <w:sz w:val="28"/>
          <w:szCs w:val="28"/>
          <w:lang w:val="uk-UA"/>
        </w:rPr>
      </w:pPr>
      <w:r w:rsidRPr="0089517E">
        <w:rPr>
          <w:rFonts w:ascii="Times New Roman" w:hAnsi="Times New Roman" w:cs="Arial"/>
          <w:b/>
          <w:kern w:val="32"/>
          <w:sz w:val="28"/>
          <w:szCs w:val="28"/>
          <w:lang w:val="uk-UA"/>
        </w:rPr>
        <w:t>ІНФОРМАЦІЯ</w:t>
      </w:r>
    </w:p>
    <w:p w:rsidR="0099350D" w:rsidRDefault="009518C3" w:rsidP="0099350D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89517E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 xml:space="preserve">про виконання   </w:t>
      </w:r>
      <w:r w:rsidR="0099350D" w:rsidRPr="0099350D">
        <w:rPr>
          <w:rFonts w:ascii="Times New Roman" w:hAnsi="Times New Roman"/>
          <w:b/>
          <w:snapToGrid w:val="0"/>
          <w:sz w:val="28"/>
          <w:szCs w:val="28"/>
          <w:lang w:val="uk-UA"/>
        </w:rPr>
        <w:t>Програми підтримки та розвитку діяльності Тернопільської міської організації Товариства Червоного Хреста на 2020-2022 роки</w:t>
      </w:r>
    </w:p>
    <w:p w:rsidR="0099350D" w:rsidRPr="0099350D" w:rsidRDefault="0099350D" w:rsidP="0099350D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70735A" w:rsidRPr="006F2AC2" w:rsidRDefault="0070735A" w:rsidP="0099350D">
      <w:pPr>
        <w:keepNext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6F2AC2">
        <w:rPr>
          <w:rFonts w:ascii="Times New Roman" w:hAnsi="Times New Roman"/>
          <w:snapToGrid w:val="0"/>
          <w:sz w:val="28"/>
          <w:szCs w:val="28"/>
          <w:lang w:val="uk-UA"/>
        </w:rPr>
        <w:t xml:space="preserve">1. Управління соціальної політики </w:t>
      </w:r>
    </w:p>
    <w:p w:rsidR="0070735A" w:rsidRPr="006F2AC2" w:rsidRDefault="0070735A" w:rsidP="00810CE5">
      <w:pPr>
        <w:spacing w:after="0" w:line="240" w:lineRule="auto"/>
        <w:ind w:hanging="4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6F2AC2">
        <w:rPr>
          <w:rFonts w:ascii="Times New Roman" w:hAnsi="Times New Roman"/>
          <w:snapToGrid w:val="0"/>
          <w:sz w:val="28"/>
          <w:szCs w:val="28"/>
          <w:lang w:val="uk-UA"/>
        </w:rPr>
        <w:t xml:space="preserve">2.КПКВК 0813242 «Інші заходи у сфері соціального захисту і соціального забезпечення», </w:t>
      </w:r>
      <w:r w:rsidR="00701CE3" w:rsidRPr="006F2AC2">
        <w:rPr>
          <w:rFonts w:ascii="Times New Roman" w:hAnsi="Times New Roman"/>
          <w:snapToGrid w:val="0"/>
          <w:sz w:val="28"/>
          <w:szCs w:val="28"/>
          <w:lang w:val="uk-UA"/>
        </w:rPr>
        <w:t>Програма  підтримки та розвитку діяльності Тернопільської міської організації Товариства Червоного Хреста на 2020-2022 роки,</w:t>
      </w:r>
      <w:r w:rsidRPr="006F2AC2">
        <w:rPr>
          <w:rFonts w:ascii="Times New Roman" w:hAnsi="Times New Roman"/>
          <w:sz w:val="28"/>
          <w:szCs w:val="28"/>
          <w:lang w:val="uk-UA"/>
        </w:rPr>
        <w:t>затверджена р</w:t>
      </w:r>
      <w:r w:rsidRPr="006F2AC2">
        <w:rPr>
          <w:rFonts w:ascii="Times New Roman" w:hAnsi="Times New Roman"/>
          <w:snapToGrid w:val="0"/>
          <w:sz w:val="28"/>
          <w:szCs w:val="28"/>
          <w:lang w:val="uk-UA"/>
        </w:rPr>
        <w:t xml:space="preserve">ішенням міської ради  від </w:t>
      </w:r>
      <w:r w:rsidR="00701CE3" w:rsidRPr="006F2AC2">
        <w:rPr>
          <w:rFonts w:ascii="Times New Roman" w:hAnsi="Times New Roman"/>
          <w:snapToGrid w:val="0"/>
          <w:sz w:val="28"/>
          <w:szCs w:val="28"/>
          <w:lang w:val="uk-UA"/>
        </w:rPr>
        <w:t>06.12.2019 №7/41/27</w:t>
      </w:r>
      <w:r w:rsidR="00810CE5" w:rsidRPr="006F2AC2">
        <w:rPr>
          <w:rFonts w:ascii="Times New Roman" w:hAnsi="Times New Roman"/>
          <w:snapToGrid w:val="0"/>
          <w:sz w:val="28"/>
          <w:szCs w:val="28"/>
          <w:lang w:val="uk-UA"/>
        </w:rPr>
        <w:t>.</w:t>
      </w:r>
    </w:p>
    <w:p w:rsidR="009518C3" w:rsidRPr="006F2AC2" w:rsidRDefault="0070735A" w:rsidP="00385CFA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6F2AC2">
        <w:rPr>
          <w:rFonts w:ascii="Times New Roman" w:hAnsi="Times New Roman"/>
          <w:snapToGrid w:val="0"/>
          <w:sz w:val="28"/>
          <w:szCs w:val="28"/>
          <w:lang w:val="uk-UA"/>
        </w:rPr>
        <w:t xml:space="preserve">3.Напрямки діяльності та заходи </w:t>
      </w:r>
      <w:r w:rsidR="00701CE3" w:rsidRPr="006F2AC2">
        <w:rPr>
          <w:rFonts w:ascii="Times New Roman" w:hAnsi="Times New Roman"/>
          <w:snapToGrid w:val="0"/>
          <w:sz w:val="28"/>
          <w:szCs w:val="28"/>
          <w:lang w:val="uk-UA"/>
        </w:rPr>
        <w:t xml:space="preserve"> Програми підтримки та розвитку діяльності Тернопільської міської організації Товариства Червоного Хреста на 2020-2022 роки</w:t>
      </w:r>
    </w:p>
    <w:tbl>
      <w:tblPr>
        <w:tblW w:w="1442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3369"/>
        <w:gridCol w:w="1589"/>
        <w:gridCol w:w="962"/>
        <w:gridCol w:w="992"/>
        <w:gridCol w:w="886"/>
        <w:gridCol w:w="851"/>
        <w:gridCol w:w="957"/>
        <w:gridCol w:w="850"/>
        <w:gridCol w:w="815"/>
        <w:gridCol w:w="851"/>
        <w:gridCol w:w="8"/>
        <w:gridCol w:w="1870"/>
      </w:tblGrid>
      <w:tr w:rsidR="009518C3" w:rsidRPr="009518C3" w:rsidTr="00D14370">
        <w:trPr>
          <w:cantSplit/>
          <w:trHeight w:val="1605"/>
        </w:trPr>
        <w:tc>
          <w:tcPr>
            <w:tcW w:w="424" w:type="dxa"/>
            <w:vMerge w:val="restart"/>
            <w:vAlign w:val="center"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18C3" w:rsidRPr="009518C3" w:rsidRDefault="009518C3" w:rsidP="009518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518C3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п</w:t>
            </w:r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/п</w:t>
            </w:r>
          </w:p>
          <w:p w:rsidR="009518C3" w:rsidRPr="009518C3" w:rsidRDefault="009518C3" w:rsidP="009518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vAlign w:val="center"/>
          </w:tcPr>
          <w:p w:rsidR="009518C3" w:rsidRPr="009518C3" w:rsidRDefault="009518C3" w:rsidP="00EE7B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Захід</w:t>
            </w:r>
            <w:proofErr w:type="spellEnd"/>
          </w:p>
          <w:p w:rsidR="009518C3" w:rsidRPr="009518C3" w:rsidRDefault="009518C3" w:rsidP="00EE7B7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9518C3" w:rsidRPr="009518C3" w:rsidRDefault="009518C3" w:rsidP="00EE7B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z w:val="24"/>
                <w:szCs w:val="24"/>
              </w:rPr>
              <w:t>Відповідальнийвиконавець</w:t>
            </w:r>
            <w:proofErr w:type="spellEnd"/>
          </w:p>
          <w:p w:rsidR="009518C3" w:rsidRPr="009518C3" w:rsidRDefault="009518C3" w:rsidP="00EE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518C3" w:rsidRPr="009518C3" w:rsidRDefault="009518C3" w:rsidP="00EE7B7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vAlign w:val="center"/>
          </w:tcPr>
          <w:p w:rsidR="009518C3" w:rsidRPr="009518C3" w:rsidRDefault="009518C3" w:rsidP="00EE7B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Планові обсяги фінансування, тис. гривень</w:t>
            </w:r>
          </w:p>
        </w:tc>
        <w:tc>
          <w:tcPr>
            <w:tcW w:w="3481" w:type="dxa"/>
            <w:gridSpan w:val="5"/>
            <w:vAlign w:val="center"/>
          </w:tcPr>
          <w:p w:rsidR="009518C3" w:rsidRPr="009518C3" w:rsidRDefault="009518C3" w:rsidP="00EE7B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Фактичні обсяги фінансування, тис. гривень</w:t>
            </w:r>
          </w:p>
        </w:tc>
        <w:tc>
          <w:tcPr>
            <w:tcW w:w="1870" w:type="dxa"/>
            <w:vAlign w:val="center"/>
          </w:tcPr>
          <w:p w:rsidR="009518C3" w:rsidRPr="009518C3" w:rsidRDefault="009518C3" w:rsidP="00EE7B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518C3">
              <w:rPr>
                <w:rFonts w:ascii="Times New Roman" w:hAnsi="Times New Roman"/>
                <w:sz w:val="24"/>
                <w:szCs w:val="24"/>
              </w:rPr>
              <w:t xml:space="preserve">Стан </w:t>
            </w:r>
            <w:proofErr w:type="spellStart"/>
            <w:r w:rsidRPr="009518C3">
              <w:rPr>
                <w:rFonts w:ascii="Times New Roman" w:hAnsi="Times New Roman"/>
                <w:sz w:val="24"/>
                <w:szCs w:val="24"/>
              </w:rPr>
              <w:t>виконаннязаходів</w:t>
            </w:r>
            <w:proofErr w:type="spellEnd"/>
            <w:r w:rsidRPr="00951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518C3">
              <w:rPr>
                <w:rFonts w:ascii="Times New Roman" w:hAnsi="Times New Roman"/>
                <w:sz w:val="24"/>
                <w:szCs w:val="24"/>
              </w:rPr>
              <w:t>результативніпоказникивиконанняпрограми</w:t>
            </w:r>
            <w:proofErr w:type="spellEnd"/>
            <w:r w:rsidRPr="00951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8C3" w:rsidRPr="009518C3" w:rsidTr="00D14370">
        <w:trPr>
          <w:cantSplit/>
          <w:trHeight w:val="246"/>
        </w:trPr>
        <w:tc>
          <w:tcPr>
            <w:tcW w:w="424" w:type="dxa"/>
            <w:vMerge/>
            <w:vAlign w:val="center"/>
          </w:tcPr>
          <w:p w:rsidR="009518C3" w:rsidRPr="009518C3" w:rsidRDefault="009518C3" w:rsidP="009518C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369" w:type="dxa"/>
            <w:vMerge/>
            <w:vAlign w:val="center"/>
          </w:tcPr>
          <w:p w:rsidR="009518C3" w:rsidRPr="009518C3" w:rsidRDefault="009518C3" w:rsidP="00EE7B7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9518C3" w:rsidRPr="009518C3" w:rsidRDefault="009518C3" w:rsidP="00EE7B7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9518C3" w:rsidRPr="009518C3" w:rsidRDefault="009518C3" w:rsidP="00EE7B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Усього</w:t>
            </w:r>
          </w:p>
        </w:tc>
        <w:tc>
          <w:tcPr>
            <w:tcW w:w="2729" w:type="dxa"/>
            <w:gridSpan w:val="3"/>
            <w:vAlign w:val="center"/>
          </w:tcPr>
          <w:p w:rsidR="009518C3" w:rsidRPr="009518C3" w:rsidRDefault="009518C3" w:rsidP="00EE7B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у тому числі</w:t>
            </w:r>
          </w:p>
        </w:tc>
        <w:tc>
          <w:tcPr>
            <w:tcW w:w="957" w:type="dxa"/>
            <w:vMerge w:val="restart"/>
            <w:vAlign w:val="center"/>
          </w:tcPr>
          <w:p w:rsidR="009518C3" w:rsidRPr="009518C3" w:rsidRDefault="009518C3" w:rsidP="00EE7B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Усього</w:t>
            </w:r>
          </w:p>
        </w:tc>
        <w:tc>
          <w:tcPr>
            <w:tcW w:w="2524" w:type="dxa"/>
            <w:gridSpan w:val="4"/>
          </w:tcPr>
          <w:p w:rsidR="009518C3" w:rsidRPr="009518C3" w:rsidRDefault="009518C3" w:rsidP="00EE7B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у тому числі</w:t>
            </w:r>
          </w:p>
        </w:tc>
        <w:tc>
          <w:tcPr>
            <w:tcW w:w="1870" w:type="dxa"/>
            <w:vAlign w:val="center"/>
          </w:tcPr>
          <w:p w:rsidR="009518C3" w:rsidRPr="009518C3" w:rsidRDefault="009518C3" w:rsidP="00EE7B7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18C3" w:rsidRPr="009518C3" w:rsidTr="00D14370">
        <w:trPr>
          <w:cantSplit/>
          <w:trHeight w:val="1952"/>
        </w:trPr>
        <w:tc>
          <w:tcPr>
            <w:tcW w:w="424" w:type="dxa"/>
            <w:vMerge/>
            <w:vAlign w:val="center"/>
          </w:tcPr>
          <w:p w:rsidR="009518C3" w:rsidRPr="009518C3" w:rsidRDefault="009518C3" w:rsidP="009518C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369" w:type="dxa"/>
            <w:vMerge/>
            <w:vAlign w:val="center"/>
          </w:tcPr>
          <w:p w:rsidR="009518C3" w:rsidRPr="009518C3" w:rsidRDefault="009518C3" w:rsidP="009518C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9518C3" w:rsidRPr="009518C3" w:rsidRDefault="009518C3" w:rsidP="009518C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9518C3" w:rsidRPr="009518C3" w:rsidRDefault="009518C3" w:rsidP="009518C3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8C3" w:rsidRPr="009518C3" w:rsidRDefault="009518C3" w:rsidP="009518C3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Місцевий бюджет</w:t>
            </w:r>
          </w:p>
        </w:tc>
        <w:tc>
          <w:tcPr>
            <w:tcW w:w="886" w:type="dxa"/>
          </w:tcPr>
          <w:p w:rsidR="009518C3" w:rsidRPr="009518C3" w:rsidRDefault="009518C3" w:rsidP="009518C3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</w:p>
          <w:p w:rsidR="009518C3" w:rsidRPr="009518C3" w:rsidRDefault="009518C3" w:rsidP="009518C3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Державний бюджет</w:t>
            </w:r>
          </w:p>
        </w:tc>
        <w:tc>
          <w:tcPr>
            <w:tcW w:w="851" w:type="dxa"/>
            <w:vAlign w:val="center"/>
          </w:tcPr>
          <w:p w:rsidR="009518C3" w:rsidRPr="009518C3" w:rsidRDefault="009518C3" w:rsidP="009518C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Кошти</w:t>
            </w:r>
          </w:p>
          <w:p w:rsidR="009518C3" w:rsidRPr="009518C3" w:rsidRDefault="009518C3" w:rsidP="009518C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 з інших  джерел</w:t>
            </w:r>
          </w:p>
        </w:tc>
        <w:tc>
          <w:tcPr>
            <w:tcW w:w="957" w:type="dxa"/>
            <w:vMerge/>
            <w:vAlign w:val="center"/>
          </w:tcPr>
          <w:p w:rsidR="009518C3" w:rsidRPr="009518C3" w:rsidRDefault="009518C3" w:rsidP="009518C3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8C3" w:rsidRPr="009518C3" w:rsidRDefault="009518C3" w:rsidP="009518C3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Місцевий бюджет</w:t>
            </w:r>
          </w:p>
        </w:tc>
        <w:tc>
          <w:tcPr>
            <w:tcW w:w="815" w:type="dxa"/>
            <w:vAlign w:val="center"/>
          </w:tcPr>
          <w:p w:rsidR="009518C3" w:rsidRPr="009518C3" w:rsidRDefault="009518C3" w:rsidP="009518C3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Державний бюджет</w:t>
            </w:r>
          </w:p>
        </w:tc>
        <w:tc>
          <w:tcPr>
            <w:tcW w:w="851" w:type="dxa"/>
            <w:vAlign w:val="center"/>
          </w:tcPr>
          <w:p w:rsidR="009518C3" w:rsidRPr="009518C3" w:rsidRDefault="009518C3" w:rsidP="009518C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Кошти</w:t>
            </w:r>
          </w:p>
          <w:p w:rsidR="009518C3" w:rsidRPr="009518C3" w:rsidRDefault="009518C3" w:rsidP="009518C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Cs w:val="24"/>
                <w:lang w:val="uk-UA"/>
              </w:rPr>
              <w:t>з інших джерел</w:t>
            </w:r>
          </w:p>
        </w:tc>
        <w:tc>
          <w:tcPr>
            <w:tcW w:w="1878" w:type="dxa"/>
            <w:gridSpan w:val="2"/>
            <w:vAlign w:val="center"/>
          </w:tcPr>
          <w:p w:rsidR="009518C3" w:rsidRPr="009518C3" w:rsidRDefault="009518C3" w:rsidP="009518C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E684C" w:rsidRPr="009518C3" w:rsidTr="00D14370">
        <w:trPr>
          <w:cantSplit/>
          <w:trHeight w:val="3147"/>
        </w:trPr>
        <w:tc>
          <w:tcPr>
            <w:tcW w:w="424" w:type="dxa"/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369" w:type="dxa"/>
          </w:tcPr>
          <w:p w:rsidR="006F2AC2" w:rsidRPr="001E684C" w:rsidRDefault="001E684C" w:rsidP="001E68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оплати комунальних послуг, придбання матеріалів, обладнання,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  <w:lang w:val="uk-UA"/>
              </w:rPr>
              <w:t>інвентаря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канцтоварів, медикаментів,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  <w:lang w:val="uk-UA"/>
              </w:rPr>
              <w:t>дезинфікуючих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миючих засобів</w:t>
            </w:r>
            <w:r w:rsidR="005241EC">
              <w:rPr>
                <w:rFonts w:ascii="Times New Roman" w:hAnsi="Times New Roman"/>
                <w:sz w:val="24"/>
                <w:szCs w:val="24"/>
                <w:lang w:val="uk-UA"/>
              </w:rPr>
              <w:t>,продуктів харчування.</w:t>
            </w:r>
            <w:r w:rsidRPr="001E68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Закупівля запчастин та пально-мастильних мат</w:t>
            </w:r>
            <w:r w:rsidR="006F2AC2">
              <w:rPr>
                <w:rFonts w:ascii="Times New Roman" w:hAnsi="Times New Roman"/>
                <w:sz w:val="24"/>
                <w:szCs w:val="24"/>
                <w:lang w:val="uk-UA"/>
              </w:rPr>
              <w:t>еріалів для ремонту автомобіля.</w:t>
            </w:r>
          </w:p>
        </w:tc>
        <w:tc>
          <w:tcPr>
            <w:tcW w:w="1589" w:type="dxa"/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ТМОТЧХ</w:t>
            </w:r>
          </w:p>
        </w:tc>
        <w:tc>
          <w:tcPr>
            <w:tcW w:w="962" w:type="dxa"/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C70DA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C70DA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86" w:type="dxa"/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57" w:type="dxa"/>
          </w:tcPr>
          <w:p w:rsidR="001E684C" w:rsidRPr="001E684C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8E7B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8E7B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15" w:type="dxa"/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878" w:type="dxa"/>
            <w:gridSpan w:val="2"/>
          </w:tcPr>
          <w:p w:rsidR="001E684C" w:rsidRPr="009518C3" w:rsidRDefault="00D14370" w:rsidP="00D1437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Оплачено</w:t>
            </w:r>
            <w:r w:rsidR="00D12037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комунальні</w:t>
            </w:r>
            <w:proofErr w:type="spellEnd"/>
            <w:r w:rsidR="00D12037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 послуги -177,6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 тис. грн., </w:t>
            </w:r>
            <w:r w:rsidR="00D12037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ремонт автомобіля-11,4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тис.грн.,</w:t>
            </w:r>
            <w:r w:rsidR="00D12037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придбано предметів та матеріалів </w:t>
            </w:r>
            <w:r w:rsidR="0043743D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–</w:t>
            </w:r>
            <w:r w:rsidR="008E7BDE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9</w:t>
            </w:r>
            <w:r w:rsidR="0043743D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3,0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 тис. грн., </w:t>
            </w:r>
            <w:r w:rsidR="0043743D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закуплено продуктів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харчування </w:t>
            </w:r>
            <w:r w:rsidR="0043743D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-18,0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тис.грн.</w:t>
            </w:r>
          </w:p>
        </w:tc>
      </w:tr>
      <w:tr w:rsidR="001E684C" w:rsidRPr="009518C3" w:rsidTr="00D14370">
        <w:tblPrEx>
          <w:tblLook w:val="04A0"/>
        </w:tblPrEx>
        <w:trPr>
          <w:cantSplit/>
          <w:trHeight w:val="29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1E684C" w:rsidRDefault="001E684C" w:rsidP="001E6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Навчанняінструкторів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волонтерів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 правилам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наданняпершоїдопомогипотерпілим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екстремальнихумовах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  догляду за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хворими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домашніхумовах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ТМОТЧХ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99350D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CC0FFA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E85B6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0" w:rsidRDefault="0043743D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Проведено тренінг</w:t>
            </w:r>
            <w:r w:rsidR="00D14370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и по</w:t>
            </w:r>
          </w:p>
          <w:p w:rsidR="00D14370" w:rsidRDefault="00D14370" w:rsidP="00D1437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наданню </w:t>
            </w:r>
            <w:r w:rsidR="0043743D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перш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ої</w:t>
            </w:r>
            <w:r w:rsidR="0043743D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 допомо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ги, </w:t>
            </w:r>
            <w:r w:rsidR="0043743D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волонтерському менеджмент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у,</w:t>
            </w:r>
          </w:p>
          <w:p w:rsidR="001E684C" w:rsidRPr="009518C3" w:rsidRDefault="0043743D" w:rsidP="00D1437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психо-соціальній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 підтримці</w:t>
            </w:r>
            <w:r w:rsidR="00D14370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, якими охоплено 56 осіб.</w:t>
            </w:r>
          </w:p>
        </w:tc>
      </w:tr>
      <w:tr w:rsidR="001E684C" w:rsidRPr="009518C3" w:rsidTr="00D14370">
        <w:tblPrEx>
          <w:tblLook w:val="04A0"/>
        </w:tblPrEx>
        <w:trPr>
          <w:cantSplit/>
          <w:trHeight w:val="4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1E684C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684C">
              <w:rPr>
                <w:rFonts w:ascii="Times New Roman" w:hAnsi="Times New Roman"/>
                <w:sz w:val="24"/>
                <w:szCs w:val="24"/>
              </w:rPr>
              <w:t>Актуалізаціяконсультативноїбазиданихмалозахищенихверствнаселення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ТМОТЧХ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F16EC7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Створено електронну базу даних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малозахищених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 верств населення </w:t>
            </w:r>
          </w:p>
        </w:tc>
      </w:tr>
      <w:tr w:rsidR="001E684C" w:rsidRPr="009518C3" w:rsidTr="00D14370">
        <w:tblPrEx>
          <w:tblLook w:val="04A0"/>
        </w:tblPrEx>
        <w:trPr>
          <w:cantSplit/>
          <w:trHeight w:val="154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1E684C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84C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лекцій, круглих столів, оглядів-конкурсів, видача буклетів і пам’яток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1E684C" w:rsidRDefault="001E684C" w:rsidP="00E1231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ТМОТЧХ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CC0FFA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2B0E8E" w:rsidP="001E684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2B0E8E" w:rsidP="002B0E8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Default="00CC0FFA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Проведено 12 лекцій, 6 конкурсів, 9 круглих столів</w:t>
            </w:r>
            <w:r w:rsidR="006979A7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, 1949 різних зустрічей та бесід</w:t>
            </w:r>
          </w:p>
          <w:p w:rsidR="00CC0FFA" w:rsidRPr="009518C3" w:rsidRDefault="00CC0FFA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</w:p>
        </w:tc>
      </w:tr>
      <w:tr w:rsidR="001E684C" w:rsidRPr="009518C3" w:rsidTr="00D14370">
        <w:tblPrEx>
          <w:tblLook w:val="04A0"/>
        </w:tblPrEx>
        <w:trPr>
          <w:cantSplit/>
          <w:trHeight w:val="125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4C" w:rsidRPr="00F16EC7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Організаціявечоріввідпочинку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походів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 у театр,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екскурсій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E684C">
              <w:rPr>
                <w:rFonts w:ascii="Times New Roman" w:hAnsi="Times New Roman"/>
                <w:sz w:val="24"/>
                <w:szCs w:val="24"/>
              </w:rPr>
              <w:t>підопічних</w:t>
            </w:r>
            <w:proofErr w:type="spellEnd"/>
            <w:r w:rsidRPr="001E684C">
              <w:rPr>
                <w:rFonts w:ascii="Times New Roman" w:hAnsi="Times New Roman"/>
                <w:sz w:val="24"/>
                <w:szCs w:val="24"/>
              </w:rPr>
              <w:t xml:space="preserve"> ТМОТЧ</w:t>
            </w:r>
            <w:r w:rsidR="00F16EC7">
              <w:rPr>
                <w:rFonts w:ascii="Times New Roman" w:hAnsi="Times New Roman"/>
                <w:sz w:val="24"/>
                <w:szCs w:val="24"/>
                <w:lang w:val="uk-UA"/>
              </w:rPr>
              <w:t>ХУ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12310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ТМОТЧХ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99350D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99350D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CC0FFA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E8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D14370" w:rsidRDefault="00136BD1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D14370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Проведено 7 вечорів відпочинку, здійснено 4 походи в театр</w:t>
            </w:r>
          </w:p>
        </w:tc>
      </w:tr>
      <w:tr w:rsidR="001E684C" w:rsidRPr="009518C3" w:rsidTr="00D14370">
        <w:tblPrEx>
          <w:tblLook w:val="04A0"/>
        </w:tblPrEx>
        <w:trPr>
          <w:cantSplit/>
          <w:trHeight w:val="1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4C" w:rsidRPr="00E85B6F" w:rsidRDefault="00E85B6F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85B6F">
              <w:rPr>
                <w:rFonts w:ascii="Times New Roman" w:hAnsi="Times New Roman"/>
                <w:sz w:val="24"/>
                <w:szCs w:val="24"/>
              </w:rPr>
              <w:t>Наданнягрошовоїдопомоги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ТМОТЧХ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2B0E8E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2B0E8E" w:rsidP="00E8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521E54" w:rsidRDefault="00136BD1" w:rsidP="00D1437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521E5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Надано матеріальну допомогу </w:t>
            </w:r>
            <w:r w:rsidR="000E6695" w:rsidRPr="00521E5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33</w:t>
            </w:r>
            <w:r w:rsidR="00D14370" w:rsidRPr="00521E5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 особам</w:t>
            </w:r>
          </w:p>
        </w:tc>
      </w:tr>
      <w:tr w:rsidR="001E684C" w:rsidRPr="009518C3" w:rsidTr="00D14370">
        <w:tblPrEx>
          <w:tblLook w:val="04A0"/>
        </w:tblPrEx>
        <w:trPr>
          <w:cantSplit/>
          <w:trHeight w:val="4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4C" w:rsidRPr="00E85B6F" w:rsidRDefault="00E85B6F" w:rsidP="00E85B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B6F">
              <w:rPr>
                <w:rFonts w:ascii="Times New Roman" w:hAnsi="Times New Roman"/>
                <w:sz w:val="24"/>
                <w:szCs w:val="24"/>
              </w:rPr>
              <w:t>Наданнядопомоги</w:t>
            </w:r>
            <w:proofErr w:type="spellEnd"/>
            <w:r w:rsidRPr="00E85B6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85B6F">
              <w:rPr>
                <w:rFonts w:ascii="Times New Roman" w:hAnsi="Times New Roman"/>
                <w:sz w:val="24"/>
                <w:szCs w:val="24"/>
              </w:rPr>
              <w:t>натуральнійформі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ТМОТЧХ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521E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2B0E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521E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2B0E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521E54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2B0E8E" w:rsidP="00E85B6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1335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521E54" w:rsidRDefault="008E7BDE" w:rsidP="00521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521E5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Допомогу отримало – 3497 осіб</w:t>
            </w:r>
          </w:p>
        </w:tc>
      </w:tr>
      <w:tr w:rsidR="001E684C" w:rsidRPr="009518C3" w:rsidTr="00D14370">
        <w:tblPrEx>
          <w:tblLook w:val="04A0"/>
        </w:tblPrEx>
        <w:trPr>
          <w:cantSplit/>
          <w:trHeight w:val="4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4C" w:rsidRPr="009518C3" w:rsidRDefault="001E684C" w:rsidP="001E68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  <w:r w:rsidR="00C70D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="00C70D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-</w:t>
            </w:r>
          </w:p>
          <w:p w:rsidR="001E684C" w:rsidRPr="009518C3" w:rsidRDefault="001E684C" w:rsidP="001E684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8E7BDE" w:rsidP="001E684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1440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8E7BDE" w:rsidP="00521E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521E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E85B6F" w:rsidP="001E684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3</w:t>
            </w:r>
            <w:r w:rsidR="00521E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0</w:t>
            </w:r>
          </w:p>
          <w:p w:rsidR="001E684C" w:rsidRPr="009518C3" w:rsidRDefault="001E684C" w:rsidP="001E68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-</w:t>
            </w:r>
          </w:p>
          <w:p w:rsidR="001E684C" w:rsidRPr="009518C3" w:rsidRDefault="001E684C" w:rsidP="001E68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2B0E8E" w:rsidP="00E85B6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1440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C" w:rsidRPr="009518C3" w:rsidRDefault="001E684C" w:rsidP="001E68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1E684C" w:rsidRPr="009518C3" w:rsidRDefault="001E684C" w:rsidP="001E68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</w:p>
        </w:tc>
      </w:tr>
    </w:tbl>
    <w:p w:rsidR="004F4291" w:rsidRDefault="004F4291" w:rsidP="009A6AF9">
      <w:pPr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7816A9" w:rsidRDefault="007816A9" w:rsidP="009518C3">
      <w:pPr>
        <w:spacing w:after="12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B954F1" w:rsidRDefault="00B954F1" w:rsidP="0099350D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B954F1" w:rsidRDefault="00B954F1" w:rsidP="0099350D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B954F1" w:rsidRDefault="00B954F1" w:rsidP="0099350D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B954F1" w:rsidRDefault="00B954F1" w:rsidP="0099350D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99350D" w:rsidRPr="0099350D" w:rsidRDefault="009518C3" w:rsidP="0099350D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810CE5">
        <w:rPr>
          <w:rFonts w:ascii="Times New Roman" w:hAnsi="Times New Roman"/>
          <w:snapToGrid w:val="0"/>
          <w:sz w:val="28"/>
          <w:szCs w:val="28"/>
          <w:lang w:val="uk-UA"/>
        </w:rPr>
        <w:lastRenderedPageBreak/>
        <w:t xml:space="preserve">4. Аналіз виконання за видатками в цілому за </w:t>
      </w:r>
      <w:r w:rsidR="0099350D" w:rsidRPr="0099350D">
        <w:rPr>
          <w:rFonts w:ascii="Times New Roman" w:hAnsi="Times New Roman"/>
          <w:snapToGrid w:val="0"/>
          <w:sz w:val="28"/>
          <w:szCs w:val="28"/>
          <w:lang w:val="uk-UA"/>
        </w:rPr>
        <w:t>Програм</w:t>
      </w:r>
      <w:r w:rsidR="0099350D">
        <w:rPr>
          <w:rFonts w:ascii="Times New Roman" w:hAnsi="Times New Roman"/>
          <w:snapToGrid w:val="0"/>
          <w:sz w:val="28"/>
          <w:szCs w:val="28"/>
          <w:lang w:val="uk-UA"/>
        </w:rPr>
        <w:t>ою</w:t>
      </w:r>
      <w:r w:rsidR="0099350D" w:rsidRPr="0099350D">
        <w:rPr>
          <w:rFonts w:ascii="Times New Roman" w:hAnsi="Times New Roman"/>
          <w:snapToGrid w:val="0"/>
          <w:sz w:val="28"/>
          <w:szCs w:val="28"/>
          <w:lang w:val="uk-UA"/>
        </w:rPr>
        <w:t xml:space="preserve"> підтримки та розвитку діяльності Тернопільської міської організації Товариства Червоного Хреста на 2020-2022 роки</w:t>
      </w:r>
    </w:p>
    <w:p w:rsidR="009518C3" w:rsidRPr="009518C3" w:rsidRDefault="009518C3" w:rsidP="0099350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518C3">
        <w:rPr>
          <w:rFonts w:ascii="Times New Roman" w:hAnsi="Times New Roman"/>
          <w:snapToGrid w:val="0"/>
          <w:sz w:val="24"/>
          <w:szCs w:val="24"/>
        </w:rPr>
        <w:t xml:space="preserve"> тис. </w:t>
      </w:r>
      <w:proofErr w:type="spellStart"/>
      <w:r w:rsidRPr="009518C3">
        <w:rPr>
          <w:rFonts w:ascii="Times New Roman" w:hAnsi="Times New Roman"/>
          <w:snapToGrid w:val="0"/>
          <w:sz w:val="24"/>
          <w:szCs w:val="24"/>
        </w:rPr>
        <w:t>гривень</w:t>
      </w:r>
      <w:proofErr w:type="spellEnd"/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18"/>
        <w:gridCol w:w="2298"/>
        <w:gridCol w:w="1701"/>
        <w:gridCol w:w="1550"/>
        <w:gridCol w:w="1710"/>
        <w:gridCol w:w="1731"/>
        <w:gridCol w:w="1417"/>
        <w:gridCol w:w="1530"/>
        <w:gridCol w:w="1417"/>
      </w:tblGrid>
      <w:tr w:rsidR="009518C3" w:rsidRPr="009518C3" w:rsidTr="00B33CD1">
        <w:trPr>
          <w:cantSplit/>
          <w:trHeight w:val="68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Бюджетніасигнування</w:t>
            </w:r>
            <w:proofErr w:type="spellEnd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proofErr w:type="spellEnd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урахуваннямзмін</w:t>
            </w:r>
            <w:proofErr w:type="spellEnd"/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Проведенівидатки</w:t>
            </w:r>
            <w:proofErr w:type="spellEnd"/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Відхилення</w:t>
            </w:r>
            <w:proofErr w:type="spellEnd"/>
          </w:p>
        </w:tc>
      </w:tr>
      <w:tr w:rsidR="009518C3" w:rsidRPr="009518C3" w:rsidTr="00B33CD1">
        <w:trPr>
          <w:cantSplit/>
          <w:trHeight w:val="4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uk-UA"/>
              </w:rPr>
            </w:pPr>
            <w:r w:rsidRPr="009518C3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спеціальний</w:t>
            </w:r>
            <w:proofErr w:type="spellEnd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загальний</w:t>
            </w:r>
            <w:proofErr w:type="spellEnd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спеціальний</w:t>
            </w:r>
            <w:proofErr w:type="spellEnd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загальний</w:t>
            </w:r>
            <w:proofErr w:type="spellEnd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8C3" w:rsidRPr="009518C3" w:rsidRDefault="009518C3" w:rsidP="003F61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518C3">
              <w:rPr>
                <w:rFonts w:ascii="Times New Roman" w:hAnsi="Times New Roman"/>
                <w:snapToGrid w:val="0"/>
                <w:sz w:val="24"/>
                <w:szCs w:val="24"/>
              </w:rPr>
              <w:t>спеціальнийфонд</w:t>
            </w:r>
            <w:proofErr w:type="spellEnd"/>
          </w:p>
        </w:tc>
      </w:tr>
      <w:tr w:rsidR="009518C3" w:rsidRPr="009518C3" w:rsidTr="002B0E8E">
        <w:trPr>
          <w:cantSplit/>
          <w:trHeight w:val="39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C3" w:rsidRPr="009518C3" w:rsidRDefault="0099350D" w:rsidP="007265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1</w:t>
            </w:r>
            <w:r w:rsidR="0072653D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760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C3" w:rsidRPr="009518C3" w:rsidRDefault="0099350D" w:rsidP="0072653D">
            <w:pPr>
              <w:keepNext/>
              <w:spacing w:before="240" w:after="60" w:line="240" w:lineRule="auto"/>
              <w:outlineLvl w:val="1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uk-UA"/>
              </w:rPr>
              <w:t>3</w:t>
            </w:r>
            <w:r w:rsidR="0072653D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C3" w:rsidRPr="009518C3" w:rsidRDefault="0099350D" w:rsidP="009518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1440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C3" w:rsidRPr="009518C3" w:rsidRDefault="002B0E8E" w:rsidP="000E37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1</w:t>
            </w:r>
            <w:r w:rsidR="00521E54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7</w:t>
            </w:r>
            <w:r w:rsidR="000E377A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6</w:t>
            </w:r>
            <w:r w:rsidR="00521E54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C3" w:rsidRPr="009518C3" w:rsidRDefault="000E377A" w:rsidP="00521E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320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C3" w:rsidRPr="009518C3" w:rsidRDefault="0099350D" w:rsidP="002B0E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1</w:t>
            </w:r>
            <w:r w:rsidR="002B0E8E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C3" w:rsidRPr="009518C3" w:rsidRDefault="000E377A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C3" w:rsidRPr="009518C3" w:rsidRDefault="000E377A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C3" w:rsidRPr="009518C3" w:rsidRDefault="002B0E8E" w:rsidP="009518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-</w:t>
            </w:r>
          </w:p>
        </w:tc>
      </w:tr>
    </w:tbl>
    <w:p w:rsidR="009518C3" w:rsidRPr="009518C3" w:rsidRDefault="009518C3" w:rsidP="009518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8C3" w:rsidRPr="009518C3" w:rsidRDefault="009518C3" w:rsidP="009518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0110" w:rsidRDefault="00510110" w:rsidP="009518C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2E40" w:rsidRDefault="00B52E40" w:rsidP="0089517E">
      <w:pPr>
        <w:spacing w:after="0" w:line="240" w:lineRule="auto"/>
        <w:rPr>
          <w:rFonts w:ascii="Times New Roman" w:hAnsi="Times New Roman"/>
          <w:sz w:val="24"/>
          <w:szCs w:val="24"/>
        </w:rPr>
        <w:sectPr w:rsidR="00B52E40" w:rsidSect="00571379">
          <w:pgSz w:w="16838" w:h="11906" w:orient="landscape"/>
          <w:pgMar w:top="1134" w:right="567" w:bottom="2268" w:left="1701" w:header="709" w:footer="709" w:gutter="0"/>
          <w:cols w:space="708"/>
          <w:docGrid w:linePitch="360"/>
        </w:sectPr>
      </w:pPr>
    </w:p>
    <w:p w:rsidR="004A162C" w:rsidRDefault="004A162C" w:rsidP="004A162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A162C" w:rsidRDefault="004A162C" w:rsidP="004A162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</w:t>
      </w:r>
    </w:p>
    <w:p w:rsidR="004A162C" w:rsidRDefault="004A162C" w:rsidP="004A162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162C" w:rsidRDefault="004A162C" w:rsidP="004A162C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інформації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bookmarkStart w:id="0" w:name="bookmark0"/>
      <w:bookmarkEnd w:id="0"/>
      <w:proofErr w:type="spellEnd"/>
      <w:r>
        <w:rPr>
          <w:rFonts w:ascii="Times New Roman" w:hAnsi="Times New Roman"/>
          <w:snapToGrid w:val="0"/>
          <w:sz w:val="28"/>
          <w:szCs w:val="28"/>
          <w:lang w:val="uk-UA"/>
        </w:rPr>
        <w:t>Програми підтримки та розвитку діяльності Тернопільської міської організації Товариства Червоного Хреста на 2020-2022 роки</w:t>
      </w:r>
    </w:p>
    <w:p w:rsidR="004A162C" w:rsidRDefault="004A162C" w:rsidP="004A162C">
      <w:pPr>
        <w:spacing w:after="0" w:line="240" w:lineRule="auto"/>
        <w:ind w:firstLine="851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4A162C" w:rsidRDefault="004A162C" w:rsidP="004A162C">
      <w:pPr>
        <w:widowControl w:val="0"/>
        <w:tabs>
          <w:tab w:val="left" w:pos="284"/>
        </w:tabs>
        <w:spacing w:after="0" w:line="240" w:lineRule="auto"/>
        <w:ind w:right="307"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4A162C" w:rsidRDefault="004A162C" w:rsidP="004A162C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Метою Програми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підтримки та розвитку діяльності Тернопільської міської організації Товариства Червоного Хреста на 2020-2022 роки </w:t>
      </w:r>
      <w:r>
        <w:rPr>
          <w:rFonts w:ascii="Times New Roman" w:hAnsi="Times New Roman"/>
          <w:sz w:val="28"/>
          <w:szCs w:val="28"/>
          <w:lang w:val="uk-UA"/>
        </w:rPr>
        <w:t xml:space="preserve">є підтримка ТМОТЧХ, зміцнення її потенціалу та створення відповідних організаційних, матеріальних умов для виконання статутних обов’язків з надання допомоги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малозахищеним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верствам населення та її подальшого сталого розвитку. </w:t>
      </w:r>
    </w:p>
    <w:p w:rsidR="004A162C" w:rsidRDefault="004A162C" w:rsidP="004A162C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 xml:space="preserve">Загальний обсяг фінансових ресурсів для реалізації Програми «Турбота» на 2020-2022 роки склав 1800 тис. грн. ( в т. ч. кошти місцевого бюджету- 360 тис. грн., інші джерела  надходження – 1440 тис. грн.). Виділено протягом 2020-2022 років  на виконання заходів Програми з коштів бюджету громади 320,0 тис. грн. </w:t>
      </w:r>
    </w:p>
    <w:p w:rsidR="004A162C" w:rsidRDefault="004A162C" w:rsidP="004A1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коштів бюджету громади було здійснено оплату комунальних послуг на суму - 177,6 тис. грн., придбано матеріалів, обладнання, інвентаря, канцтоварів на суму -  93 тис. грн, закуплено  запчастин для ремонту автомобіля та пально-мастильні матеріали на суму - 11,4 тис. грн., закуплено продукти на суму - 18 тис. грн. Надано допомоги в натуральній формі малозабезпеченим, одиноким громадянам та особам з інвалідністю (засоби гігієни, засоби реабілітації) – 14,0 тис. грн., проведено  круглі столи, огляди-конкурси, організовано лекції – 6,0 тис. грн. </w:t>
      </w:r>
    </w:p>
    <w:p w:rsidR="004A162C" w:rsidRDefault="004A162C" w:rsidP="004A162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зв’язку із військовою агресією Російської Федерації проти України, враховуючи необхідність соціальної підтримки  внутрішньо переміщених осіб, осіб з інвалідністю, одиноких мешканців громади, за час дії Програми працівниками </w:t>
      </w:r>
      <w:r>
        <w:rPr>
          <w:rFonts w:ascii="Times New Roman" w:hAnsi="Times New Roman"/>
          <w:sz w:val="28"/>
          <w:szCs w:val="28"/>
          <w:lang w:val="uk-UA"/>
        </w:rPr>
        <w:t xml:space="preserve"> ТМОТЧХ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надавались різноманітні послуги, а саме:</w:t>
      </w:r>
    </w:p>
    <w:p w:rsidR="004A162C" w:rsidRDefault="004A162C" w:rsidP="004A16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догляд на дому;</w:t>
      </w:r>
    </w:p>
    <w:p w:rsidR="004A162C" w:rsidRDefault="004A162C" w:rsidP="004A162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матеріальн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психо-соціальна</w:t>
      </w:r>
      <w:r>
        <w:rPr>
          <w:rFonts w:ascii="Times New Roman" w:hAnsi="Times New Roman"/>
          <w:sz w:val="28"/>
          <w:szCs w:val="28"/>
        </w:rPr>
        <w:t>підтрим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</w:rPr>
        <w:t>соціально-незахищен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х</w:t>
      </w:r>
      <w:proofErr w:type="spellStart"/>
      <w:r>
        <w:rPr>
          <w:rFonts w:ascii="Times New Roman" w:hAnsi="Times New Roman"/>
          <w:sz w:val="28"/>
          <w:szCs w:val="28"/>
        </w:rPr>
        <w:t>верствнаселення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/>
          <w:sz w:val="28"/>
          <w:szCs w:val="28"/>
        </w:rPr>
        <w:t>числіпотерпіл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надзвичайнихситуаціях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збройних конфліктах;</w:t>
      </w:r>
    </w:p>
    <w:p w:rsidR="004A162C" w:rsidRDefault="004A162C" w:rsidP="004A1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організаці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шефства над </w:t>
      </w:r>
      <w:proofErr w:type="spellStart"/>
      <w:r>
        <w:rPr>
          <w:rFonts w:ascii="Times New Roman" w:hAnsi="Times New Roman"/>
          <w:sz w:val="28"/>
          <w:szCs w:val="28"/>
        </w:rPr>
        <w:t>багатодітними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родинами;</w:t>
      </w:r>
    </w:p>
    <w:p w:rsidR="004A162C" w:rsidRDefault="004A162C" w:rsidP="004A1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медикаментозного </w:t>
      </w:r>
      <w:proofErr w:type="spellStart"/>
      <w:r>
        <w:rPr>
          <w:rFonts w:ascii="Times New Roman" w:hAnsi="Times New Roman"/>
          <w:sz w:val="28"/>
          <w:szCs w:val="28"/>
        </w:rPr>
        <w:t>забезпеченнямедико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для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обслуговуванняпільговихкатегорійгромадян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малозабезпеченихосіб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162C" w:rsidRDefault="004A162C" w:rsidP="004A1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>
        <w:rPr>
          <w:rFonts w:ascii="Times New Roman" w:hAnsi="Times New Roman"/>
          <w:sz w:val="28"/>
          <w:szCs w:val="28"/>
        </w:rPr>
        <w:t>життясереджителівтериторіальноїгромади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162C" w:rsidRDefault="004A162C" w:rsidP="004A16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проводилось навчання населення навичкам надання першої допомоги;</w:t>
      </w:r>
    </w:p>
    <w:p w:rsidR="004A162C" w:rsidRDefault="004A162C" w:rsidP="004A16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організовано роботу банку речей та пункту прокату засобів реабілітації;</w:t>
      </w:r>
    </w:p>
    <w:p w:rsidR="004A162C" w:rsidRDefault="004A162C" w:rsidP="004A1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  <w:lang w:val="uk-UA"/>
        </w:rPr>
        <w:t>одились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вечор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в клубах за </w:t>
      </w:r>
      <w:proofErr w:type="spellStart"/>
      <w:r>
        <w:rPr>
          <w:rFonts w:ascii="Times New Roman" w:hAnsi="Times New Roman"/>
          <w:sz w:val="28"/>
          <w:szCs w:val="28"/>
        </w:rPr>
        <w:t>інтересами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організ</w:t>
      </w:r>
      <w:r>
        <w:rPr>
          <w:rFonts w:ascii="Times New Roman" w:hAnsi="Times New Roman"/>
          <w:sz w:val="28"/>
          <w:szCs w:val="28"/>
          <w:lang w:val="uk-UA"/>
        </w:rPr>
        <w:t>овувались</w:t>
      </w:r>
      <w:r>
        <w:rPr>
          <w:rFonts w:ascii="Times New Roman" w:hAnsi="Times New Roman"/>
          <w:sz w:val="28"/>
          <w:szCs w:val="28"/>
        </w:rPr>
        <w:t>зустріч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молоддю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огляди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–конкурси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походи в театр та </w:t>
      </w:r>
      <w:proofErr w:type="spellStart"/>
      <w:r>
        <w:rPr>
          <w:rFonts w:ascii="Times New Roman" w:hAnsi="Times New Roman"/>
          <w:sz w:val="28"/>
          <w:szCs w:val="28"/>
        </w:rPr>
        <w:t>екскурсії,тощо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162C" w:rsidRDefault="004A162C" w:rsidP="004A16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військовий стан в Україні, з коштів інших джерел, зокрема благодійних надходжень поза Програмою, було надано матеріальні грошові допомоги, гуманітарну та натуральну допомогу понад 30000 осіб, в т. ч і ВПО  на суму 10348,0 тис. грн. (продукти харчування, засоби гігієни, засоби реабілітації, постільні набори, посуд, матраци, подушки, ковдри, рушники, дитяче харчування, підгузки дитячі та дорослі, корм для тварин, спальні мішки,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карімати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павербанки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медичні засоби,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дезинфікуючі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засоби, одяг та взуття, та інше). Надавалась допомога і пораненим військовим, членам сімей загиблих (померлих) Захисників і Захисниць України.</w:t>
      </w:r>
    </w:p>
    <w:p w:rsidR="004A162C" w:rsidRDefault="004A162C" w:rsidP="004A162C">
      <w:pPr>
        <w:widowControl w:val="0"/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Мета даної  Програми в цілому досягнута у повному обсязі, що дало змогу забезпечити  додатковий рівень соціальної підтримки та соціальних гарантій найбільш вразливим групам населення Тернопільської міської територіальної громади, в т. ч. і внутрішньо переміщеним особам.</w:t>
      </w:r>
    </w:p>
    <w:p w:rsidR="004A162C" w:rsidRDefault="004A162C" w:rsidP="004A162C">
      <w:pPr>
        <w:widowControl w:val="0"/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4A162C" w:rsidRDefault="004A162C" w:rsidP="004A162C">
      <w:pPr>
        <w:widowControl w:val="0"/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4A162C" w:rsidRDefault="004A162C" w:rsidP="004A162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                                                               Володимир СУЛИМА</w:t>
      </w:r>
    </w:p>
    <w:p w:rsidR="004A162C" w:rsidRDefault="004A162C" w:rsidP="004A162C"/>
    <w:p w:rsidR="00934D54" w:rsidRDefault="00934D54" w:rsidP="0057137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934D54" w:rsidSect="00D457DD">
      <w:pgSz w:w="12240" w:h="15840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8C1"/>
    <w:multiLevelType w:val="hybridMultilevel"/>
    <w:tmpl w:val="92FC625A"/>
    <w:lvl w:ilvl="0" w:tplc="2D7E84D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A74"/>
    <w:rsid w:val="00046784"/>
    <w:rsid w:val="000C262B"/>
    <w:rsid w:val="000E377A"/>
    <w:rsid w:val="000E6695"/>
    <w:rsid w:val="00116B13"/>
    <w:rsid w:val="00122F04"/>
    <w:rsid w:val="00136BD1"/>
    <w:rsid w:val="00172F6A"/>
    <w:rsid w:val="001A5B20"/>
    <w:rsid w:val="001A63B7"/>
    <w:rsid w:val="001B4029"/>
    <w:rsid w:val="001D0460"/>
    <w:rsid w:val="001D4AF4"/>
    <w:rsid w:val="001E684C"/>
    <w:rsid w:val="0021393D"/>
    <w:rsid w:val="00237CE5"/>
    <w:rsid w:val="00241B27"/>
    <w:rsid w:val="002624D7"/>
    <w:rsid w:val="002B0E8E"/>
    <w:rsid w:val="00331368"/>
    <w:rsid w:val="00333CF0"/>
    <w:rsid w:val="003562EE"/>
    <w:rsid w:val="003603D1"/>
    <w:rsid w:val="00364D14"/>
    <w:rsid w:val="00385CFA"/>
    <w:rsid w:val="003C763F"/>
    <w:rsid w:val="003D77E1"/>
    <w:rsid w:val="003F6196"/>
    <w:rsid w:val="00416C7D"/>
    <w:rsid w:val="00420B12"/>
    <w:rsid w:val="0043743D"/>
    <w:rsid w:val="004646C0"/>
    <w:rsid w:val="004A162C"/>
    <w:rsid w:val="004A5AFE"/>
    <w:rsid w:val="004A6F3E"/>
    <w:rsid w:val="004F4291"/>
    <w:rsid w:val="00510110"/>
    <w:rsid w:val="00513DBE"/>
    <w:rsid w:val="00521E54"/>
    <w:rsid w:val="005241EC"/>
    <w:rsid w:val="00571379"/>
    <w:rsid w:val="00630F09"/>
    <w:rsid w:val="0064200D"/>
    <w:rsid w:val="00652707"/>
    <w:rsid w:val="006979A7"/>
    <w:rsid w:val="006A58BA"/>
    <w:rsid w:val="006B2CA0"/>
    <w:rsid w:val="006C5AFD"/>
    <w:rsid w:val="006E13AD"/>
    <w:rsid w:val="006E2004"/>
    <w:rsid w:val="006F2AC2"/>
    <w:rsid w:val="00701AA3"/>
    <w:rsid w:val="00701CE3"/>
    <w:rsid w:val="0070735A"/>
    <w:rsid w:val="007075B9"/>
    <w:rsid w:val="00723535"/>
    <w:rsid w:val="007263DC"/>
    <w:rsid w:val="0072653D"/>
    <w:rsid w:val="00730B7D"/>
    <w:rsid w:val="00743FC6"/>
    <w:rsid w:val="007816A9"/>
    <w:rsid w:val="007A3B12"/>
    <w:rsid w:val="007E6762"/>
    <w:rsid w:val="00810CE5"/>
    <w:rsid w:val="00851509"/>
    <w:rsid w:val="00854D1F"/>
    <w:rsid w:val="0089517E"/>
    <w:rsid w:val="008E7BDE"/>
    <w:rsid w:val="009229F2"/>
    <w:rsid w:val="00934D54"/>
    <w:rsid w:val="009518C3"/>
    <w:rsid w:val="00955022"/>
    <w:rsid w:val="009639CA"/>
    <w:rsid w:val="0098784F"/>
    <w:rsid w:val="0099350D"/>
    <w:rsid w:val="009A6AF9"/>
    <w:rsid w:val="009B4A9D"/>
    <w:rsid w:val="009E3052"/>
    <w:rsid w:val="009E3620"/>
    <w:rsid w:val="009F2FBC"/>
    <w:rsid w:val="00A84BDB"/>
    <w:rsid w:val="00A9130D"/>
    <w:rsid w:val="00AC20D8"/>
    <w:rsid w:val="00AC4329"/>
    <w:rsid w:val="00AD1641"/>
    <w:rsid w:val="00B2268D"/>
    <w:rsid w:val="00B315CE"/>
    <w:rsid w:val="00B362C7"/>
    <w:rsid w:val="00B52E40"/>
    <w:rsid w:val="00B67F2A"/>
    <w:rsid w:val="00B85B11"/>
    <w:rsid w:val="00B954F1"/>
    <w:rsid w:val="00BA3C6B"/>
    <w:rsid w:val="00BB0A5B"/>
    <w:rsid w:val="00BC3A74"/>
    <w:rsid w:val="00BD3FC9"/>
    <w:rsid w:val="00C221A3"/>
    <w:rsid w:val="00C31DDF"/>
    <w:rsid w:val="00C540F9"/>
    <w:rsid w:val="00C70DAB"/>
    <w:rsid w:val="00C80716"/>
    <w:rsid w:val="00CC0014"/>
    <w:rsid w:val="00CC0FFA"/>
    <w:rsid w:val="00CD089F"/>
    <w:rsid w:val="00CE334C"/>
    <w:rsid w:val="00D12037"/>
    <w:rsid w:val="00D14370"/>
    <w:rsid w:val="00D26D59"/>
    <w:rsid w:val="00D7797B"/>
    <w:rsid w:val="00E03EAC"/>
    <w:rsid w:val="00E12310"/>
    <w:rsid w:val="00E46139"/>
    <w:rsid w:val="00E661E9"/>
    <w:rsid w:val="00E85B6F"/>
    <w:rsid w:val="00EE7B74"/>
    <w:rsid w:val="00F035B7"/>
    <w:rsid w:val="00F1523D"/>
    <w:rsid w:val="00F16EC7"/>
    <w:rsid w:val="00F81546"/>
    <w:rsid w:val="00FC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74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3D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F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A92F-790C-4BAC-A966-F6E7C59C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3996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d03-Vykhrushch</cp:lastModifiedBy>
  <cp:revision>2</cp:revision>
  <cp:lastPrinted>2023-02-06T10:44:00Z</cp:lastPrinted>
  <dcterms:created xsi:type="dcterms:W3CDTF">2023-02-08T08:19:00Z</dcterms:created>
  <dcterms:modified xsi:type="dcterms:W3CDTF">2023-02-08T08:19:00Z</dcterms:modified>
</cp:coreProperties>
</file>