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D8" w:rsidRDefault="00E45392">
      <w:pPr>
        <w:tabs>
          <w:tab w:val="left" w:pos="3375"/>
        </w:tabs>
        <w:jc w:val="right"/>
        <w:rPr>
          <w:b/>
          <w:sz w:val="24"/>
          <w:szCs w:val="22"/>
        </w:rPr>
      </w:pPr>
      <w:bookmarkStart w:id="0" w:name="_GoBack"/>
      <w:bookmarkEnd w:id="0"/>
      <w:r>
        <w:rPr>
          <w:b/>
          <w:sz w:val="24"/>
          <w:szCs w:val="22"/>
        </w:rPr>
        <w:t xml:space="preserve">Додаток </w:t>
      </w:r>
    </w:p>
    <w:p w:rsidR="004967D8" w:rsidRDefault="00E45392">
      <w:pPr>
        <w:tabs>
          <w:tab w:val="left" w:pos="3375"/>
        </w:tabs>
        <w:jc w:val="right"/>
        <w:rPr>
          <w:b/>
          <w:sz w:val="24"/>
          <w:szCs w:val="22"/>
        </w:rPr>
      </w:pPr>
      <w:r>
        <w:rPr>
          <w:b/>
          <w:sz w:val="24"/>
          <w:szCs w:val="22"/>
        </w:rPr>
        <w:t>до рішення виконавчого комітету</w:t>
      </w:r>
    </w:p>
    <w:p w:rsidR="004967D8" w:rsidRDefault="004967D8">
      <w:pPr>
        <w:tabs>
          <w:tab w:val="left" w:pos="3375"/>
        </w:tabs>
        <w:jc w:val="right"/>
        <w:rPr>
          <w:b/>
          <w:sz w:val="24"/>
          <w:szCs w:val="24"/>
        </w:rPr>
      </w:pPr>
    </w:p>
    <w:p w:rsidR="004967D8" w:rsidRDefault="00E45392">
      <w:pPr>
        <w:tabs>
          <w:tab w:val="left" w:pos="3375"/>
        </w:tabs>
        <w:jc w:val="center"/>
        <w:rPr>
          <w:b/>
          <w:sz w:val="24"/>
        </w:rPr>
      </w:pPr>
      <w:r>
        <w:rPr>
          <w:b/>
          <w:sz w:val="24"/>
        </w:rPr>
        <w:t>Звіт</w:t>
      </w:r>
    </w:p>
    <w:p w:rsidR="004967D8" w:rsidRDefault="00E45392">
      <w:pPr>
        <w:tabs>
          <w:tab w:val="left" w:pos="3375"/>
        </w:tabs>
        <w:jc w:val="center"/>
        <w:rPr>
          <w:b/>
          <w:sz w:val="24"/>
        </w:rPr>
      </w:pPr>
      <w:r>
        <w:rPr>
          <w:b/>
          <w:sz w:val="24"/>
        </w:rPr>
        <w:t xml:space="preserve">про роботу відділу державного архітектурно-будівельного контролю Тернопільської міської ради за 2022 рік </w:t>
      </w:r>
    </w:p>
    <w:p w:rsidR="004967D8" w:rsidRDefault="004967D8">
      <w:pPr>
        <w:jc w:val="center"/>
      </w:pPr>
    </w:p>
    <w:p w:rsidR="004967D8" w:rsidRDefault="00E45392">
      <w:pPr>
        <w:ind w:firstLine="863"/>
        <w:jc w:val="both"/>
        <w:rPr>
          <w:sz w:val="24"/>
        </w:rPr>
      </w:pPr>
      <w:r>
        <w:rPr>
          <w:sz w:val="24"/>
        </w:rPr>
        <w:t xml:space="preserve">Відділ державного архітектурно-будівельного контролю Тернопільської міської ради (далі - Відділ) є виконавчим органом Тернопільської міської ради, нею утворюється, їй підзвітний та підконтрольний, підпорядкований виконавчому комітету та міському голові. </w:t>
      </w:r>
    </w:p>
    <w:p w:rsidR="004967D8" w:rsidRDefault="00E45392">
      <w:pPr>
        <w:ind w:firstLine="708"/>
        <w:jc w:val="both"/>
        <w:rPr>
          <w:sz w:val="24"/>
        </w:rPr>
      </w:pPr>
      <w:r>
        <w:rPr>
          <w:sz w:val="24"/>
        </w:rPr>
        <w:t xml:space="preserve">За період роботи з 01.01.2022 по 20.11.2022 року </w:t>
      </w:r>
      <w:r>
        <w:rPr>
          <w:b/>
          <w:sz w:val="24"/>
          <w:u w:val="single"/>
        </w:rPr>
        <w:t>опрацьовано 297 звернень</w:t>
      </w:r>
      <w:r>
        <w:rPr>
          <w:sz w:val="24"/>
        </w:rPr>
        <w:t xml:space="preserve"> фізичних осіб, фізичних осіб підприємців та юридичних осіб.</w:t>
      </w:r>
    </w:p>
    <w:p w:rsidR="004967D8" w:rsidRDefault="004967D8">
      <w:pPr>
        <w:ind w:firstLine="708"/>
        <w:jc w:val="both"/>
        <w:rPr>
          <w:sz w:val="24"/>
        </w:rPr>
      </w:pPr>
    </w:p>
    <w:p w:rsidR="004967D8" w:rsidRDefault="004967D8">
      <w:pPr>
        <w:ind w:left="135" w:right="135"/>
      </w:pPr>
    </w:p>
    <w:tbl>
      <w:tblPr>
        <w:tblW w:w="0" w:type="dxa"/>
        <w:tblInd w:w="135" w:type="dxa"/>
        <w:shd w:val="clear" w:color="auto" w:fill="FFFFFF"/>
        <w:tblLook w:val="0000"/>
      </w:tblPr>
      <w:tblGrid>
        <w:gridCol w:w="2932"/>
        <w:gridCol w:w="2308"/>
        <w:gridCol w:w="2268"/>
        <w:gridCol w:w="2126"/>
      </w:tblGrid>
      <w:tr w:rsidR="004967D8">
        <w:tc>
          <w:tcPr>
            <w:tcW w:w="2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ind w:right="135"/>
              <w:jc w:val="center"/>
              <w:rPr>
                <w:b/>
                <w:color w:val="000000"/>
                <w:sz w:val="24"/>
              </w:rPr>
            </w:pPr>
            <w:r>
              <w:rPr>
                <w:b/>
                <w:color w:val="000000"/>
                <w:sz w:val="24"/>
              </w:rPr>
              <w:t>Процесуальна дія</w:t>
            </w:r>
          </w:p>
        </w:tc>
        <w:tc>
          <w:tcPr>
            <w:tcW w:w="2308"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ind w:right="135"/>
              <w:jc w:val="center"/>
              <w:rPr>
                <w:b/>
                <w:color w:val="000000"/>
                <w:sz w:val="24"/>
              </w:rPr>
            </w:pPr>
            <w:r>
              <w:rPr>
                <w:b/>
                <w:color w:val="000000"/>
                <w:sz w:val="24"/>
              </w:rPr>
              <w:t xml:space="preserve">За 10 місяців </w:t>
            </w:r>
          </w:p>
          <w:p w:rsidR="004967D8" w:rsidRDefault="00E45392">
            <w:pPr>
              <w:ind w:right="135"/>
              <w:jc w:val="center"/>
              <w:rPr>
                <w:b/>
                <w:color w:val="000000"/>
                <w:sz w:val="24"/>
              </w:rPr>
            </w:pPr>
            <w:r>
              <w:rPr>
                <w:b/>
                <w:color w:val="000000"/>
                <w:sz w:val="24"/>
              </w:rPr>
              <w:t>2022 року</w:t>
            </w:r>
          </w:p>
        </w:tc>
        <w:tc>
          <w:tcPr>
            <w:tcW w:w="2268"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ind w:right="135"/>
              <w:jc w:val="center"/>
              <w:rPr>
                <w:b/>
                <w:color w:val="000000"/>
                <w:sz w:val="24"/>
              </w:rPr>
            </w:pPr>
            <w:r>
              <w:rPr>
                <w:b/>
                <w:color w:val="000000"/>
                <w:sz w:val="24"/>
              </w:rPr>
              <w:t>За 10 місяців</w:t>
            </w:r>
          </w:p>
          <w:p w:rsidR="004967D8" w:rsidRDefault="00E45392">
            <w:pPr>
              <w:ind w:right="135"/>
              <w:jc w:val="center"/>
              <w:rPr>
                <w:b/>
                <w:color w:val="000000"/>
                <w:sz w:val="24"/>
              </w:rPr>
            </w:pPr>
            <w:r>
              <w:rPr>
                <w:b/>
                <w:color w:val="000000"/>
                <w:sz w:val="24"/>
              </w:rPr>
              <w:t xml:space="preserve"> 2021 року</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ind w:right="135"/>
              <w:jc w:val="center"/>
              <w:rPr>
                <w:b/>
                <w:color w:val="000000"/>
                <w:sz w:val="24"/>
              </w:rPr>
            </w:pPr>
            <w:r>
              <w:rPr>
                <w:b/>
                <w:color w:val="000000"/>
                <w:sz w:val="24"/>
              </w:rPr>
              <w:t>За 2021 рік</w:t>
            </w:r>
          </w:p>
        </w:tc>
      </w:tr>
      <w:tr w:rsidR="004967D8">
        <w:tc>
          <w:tcPr>
            <w:tcW w:w="2932" w:type="dxa"/>
            <w:tcBorders>
              <w:left w:val="single" w:sz="8" w:space="0" w:color="auto"/>
              <w:bottom w:val="single" w:sz="8" w:space="0" w:color="auto"/>
              <w:right w:val="single" w:sz="8" w:space="0" w:color="auto"/>
            </w:tcBorders>
            <w:tcMar>
              <w:top w:w="0" w:type="dxa"/>
              <w:left w:w="108" w:type="dxa"/>
              <w:bottom w:w="0" w:type="dxa"/>
              <w:right w:w="108" w:type="dxa"/>
            </w:tcMar>
          </w:tcPr>
          <w:p w:rsidR="004967D8" w:rsidRDefault="004967D8">
            <w:pPr>
              <w:ind w:right="135"/>
              <w:rPr>
                <w:color w:val="000000"/>
                <w:sz w:val="24"/>
              </w:rPr>
            </w:pPr>
          </w:p>
          <w:p w:rsidR="004967D8" w:rsidRDefault="00E45392">
            <w:pPr>
              <w:ind w:right="135"/>
              <w:rPr>
                <w:color w:val="000000"/>
                <w:sz w:val="24"/>
              </w:rPr>
            </w:pPr>
            <w:r>
              <w:rPr>
                <w:color w:val="000000"/>
                <w:sz w:val="24"/>
              </w:rPr>
              <w:t>Кількість звернень фізичних осіб, фізичних   осіб-підприємців</w:t>
            </w:r>
          </w:p>
        </w:tc>
        <w:tc>
          <w:tcPr>
            <w:tcW w:w="2308" w:type="dxa"/>
            <w:tcBorders>
              <w:bottom w:val="single" w:sz="8" w:space="0" w:color="auto"/>
              <w:right w:val="single" w:sz="8" w:space="0" w:color="auto"/>
            </w:tcBorders>
            <w:tcMar>
              <w:top w:w="0" w:type="dxa"/>
              <w:left w:w="108" w:type="dxa"/>
              <w:bottom w:w="0" w:type="dxa"/>
              <w:right w:w="108" w:type="dxa"/>
            </w:tcMar>
          </w:tcPr>
          <w:p w:rsidR="004967D8" w:rsidRDefault="004967D8">
            <w:pPr>
              <w:ind w:right="135"/>
              <w:rPr>
                <w:sz w:val="24"/>
              </w:rPr>
            </w:pPr>
          </w:p>
          <w:p w:rsidR="004967D8" w:rsidRDefault="004967D8">
            <w:pPr>
              <w:ind w:right="135"/>
              <w:rPr>
                <w:sz w:val="24"/>
              </w:rPr>
            </w:pPr>
          </w:p>
          <w:p w:rsidR="004967D8" w:rsidRDefault="00E45392">
            <w:pPr>
              <w:ind w:right="135"/>
              <w:jc w:val="center"/>
              <w:rPr>
                <w:sz w:val="24"/>
              </w:rPr>
            </w:pPr>
            <w:r>
              <w:rPr>
                <w:sz w:val="24"/>
              </w:rPr>
              <w:t>168</w:t>
            </w:r>
          </w:p>
        </w:tc>
        <w:tc>
          <w:tcPr>
            <w:tcW w:w="2268"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ind w:right="135"/>
              <w:jc w:val="center"/>
              <w:rPr>
                <w:color w:val="000000"/>
                <w:sz w:val="24"/>
              </w:rPr>
            </w:pPr>
            <w:r>
              <w:rPr>
                <w:color w:val="000000"/>
                <w:sz w:val="24"/>
              </w:rPr>
              <w:t>356</w:t>
            </w:r>
          </w:p>
        </w:tc>
        <w:tc>
          <w:tcPr>
            <w:tcW w:w="2126"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ind w:right="135"/>
              <w:jc w:val="center"/>
              <w:rPr>
                <w:color w:val="000000"/>
                <w:sz w:val="24"/>
              </w:rPr>
            </w:pPr>
            <w:r>
              <w:rPr>
                <w:color w:val="000000"/>
                <w:sz w:val="24"/>
              </w:rPr>
              <w:t>403</w:t>
            </w:r>
          </w:p>
        </w:tc>
      </w:tr>
      <w:tr w:rsidR="004967D8">
        <w:tc>
          <w:tcPr>
            <w:tcW w:w="293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967D8" w:rsidRDefault="00E45392">
            <w:pPr>
              <w:ind w:right="135"/>
              <w:rPr>
                <w:color w:val="000000"/>
                <w:sz w:val="24"/>
              </w:rPr>
            </w:pPr>
            <w:r>
              <w:rPr>
                <w:color w:val="000000"/>
                <w:sz w:val="24"/>
              </w:rPr>
              <w:t>Кількість звернень від юридичних осіб</w:t>
            </w:r>
          </w:p>
        </w:tc>
        <w:tc>
          <w:tcPr>
            <w:tcW w:w="2308" w:type="dxa"/>
            <w:tcBorders>
              <w:bottom w:val="single" w:sz="8" w:space="0" w:color="auto"/>
              <w:right w:val="single" w:sz="8" w:space="0" w:color="auto"/>
            </w:tcBorders>
            <w:tcMar>
              <w:top w:w="0" w:type="dxa"/>
              <w:left w:w="108" w:type="dxa"/>
              <w:bottom w:w="0" w:type="dxa"/>
              <w:right w:w="108" w:type="dxa"/>
            </w:tcMar>
          </w:tcPr>
          <w:p w:rsidR="004967D8" w:rsidRDefault="004967D8">
            <w:pPr>
              <w:ind w:right="135"/>
              <w:jc w:val="center"/>
              <w:rPr>
                <w:color w:val="000000"/>
                <w:sz w:val="24"/>
              </w:rPr>
            </w:pPr>
          </w:p>
          <w:p w:rsidR="004967D8" w:rsidRDefault="004967D8">
            <w:pPr>
              <w:ind w:right="135"/>
              <w:jc w:val="center"/>
              <w:rPr>
                <w:color w:val="000000"/>
                <w:sz w:val="24"/>
              </w:rPr>
            </w:pPr>
          </w:p>
          <w:p w:rsidR="004967D8" w:rsidRDefault="00E45392">
            <w:pPr>
              <w:ind w:right="135"/>
              <w:jc w:val="center"/>
              <w:rPr>
                <w:color w:val="000000"/>
                <w:sz w:val="24"/>
              </w:rPr>
            </w:pPr>
            <w:r>
              <w:rPr>
                <w:color w:val="000000"/>
                <w:sz w:val="24"/>
              </w:rPr>
              <w:t>129</w:t>
            </w:r>
          </w:p>
        </w:tc>
        <w:tc>
          <w:tcPr>
            <w:tcW w:w="2268"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ind w:right="135"/>
              <w:jc w:val="center"/>
              <w:rPr>
                <w:color w:val="000000"/>
                <w:sz w:val="24"/>
              </w:rPr>
            </w:pPr>
            <w:r>
              <w:rPr>
                <w:color w:val="000000"/>
                <w:sz w:val="24"/>
              </w:rPr>
              <w:t>210</w:t>
            </w:r>
          </w:p>
        </w:tc>
        <w:tc>
          <w:tcPr>
            <w:tcW w:w="2126"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ind w:right="135"/>
              <w:jc w:val="center"/>
              <w:rPr>
                <w:color w:val="000000"/>
                <w:sz w:val="24"/>
              </w:rPr>
            </w:pPr>
            <w:r>
              <w:rPr>
                <w:color w:val="000000"/>
                <w:sz w:val="24"/>
              </w:rPr>
              <w:t>250</w:t>
            </w:r>
          </w:p>
        </w:tc>
      </w:tr>
    </w:tbl>
    <w:p w:rsidR="004967D8" w:rsidRDefault="004967D8">
      <w:pPr>
        <w:ind w:firstLine="680"/>
        <w:jc w:val="both"/>
        <w:rPr>
          <w:b/>
          <w:sz w:val="24"/>
        </w:rPr>
      </w:pPr>
    </w:p>
    <w:p w:rsidR="004967D8" w:rsidRDefault="004967D8">
      <w:pPr>
        <w:ind w:firstLine="680"/>
        <w:jc w:val="both"/>
        <w:rPr>
          <w:b/>
          <w:sz w:val="24"/>
        </w:rPr>
      </w:pPr>
    </w:p>
    <w:p w:rsidR="004967D8" w:rsidRDefault="004967D8">
      <w:pPr>
        <w:ind w:firstLine="680"/>
        <w:jc w:val="both"/>
        <w:rPr>
          <w:b/>
          <w:sz w:val="24"/>
        </w:rPr>
      </w:pPr>
    </w:p>
    <w:p w:rsidR="004967D8" w:rsidRDefault="00E45392">
      <w:pPr>
        <w:ind w:firstLine="680"/>
        <w:jc w:val="both"/>
        <w:rPr>
          <w:sz w:val="24"/>
        </w:rPr>
      </w:pPr>
      <w:r>
        <w:rPr>
          <w:b/>
          <w:sz w:val="24"/>
          <w:u w:val="single"/>
        </w:rPr>
        <w:t xml:space="preserve">Відділом здійснено 4 планові заходи державного архітектурно-будівельного </w:t>
      </w:r>
      <w:proofErr w:type="spellStart"/>
      <w:r>
        <w:rPr>
          <w:b/>
          <w:sz w:val="24"/>
          <w:u w:val="single"/>
        </w:rPr>
        <w:t>контролю</w:t>
      </w:r>
      <w:r>
        <w:rPr>
          <w:sz w:val="24"/>
        </w:rPr>
        <w:t>щодо</w:t>
      </w:r>
      <w:proofErr w:type="spellEnd"/>
      <w:r>
        <w:rPr>
          <w:sz w:val="24"/>
        </w:rPr>
        <w:t xml:space="preserve"> дотримання суб’єктами містобудування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4967D8" w:rsidRDefault="004967D8">
      <w:pPr>
        <w:ind w:firstLine="680"/>
        <w:jc w:val="both"/>
        <w:rPr>
          <w:sz w:val="24"/>
        </w:rPr>
      </w:pPr>
    </w:p>
    <w:p w:rsidR="004967D8" w:rsidRDefault="004967D8"/>
    <w:tbl>
      <w:tblPr>
        <w:tblW w:w="9629" w:type="dxa"/>
        <w:shd w:val="clear" w:color="auto" w:fill="FFFFFF"/>
        <w:tblLook w:val="0000"/>
      </w:tblPr>
      <w:tblGrid>
        <w:gridCol w:w="3376"/>
        <w:gridCol w:w="2093"/>
        <w:gridCol w:w="2092"/>
        <w:gridCol w:w="2068"/>
      </w:tblGrid>
      <w:tr w:rsidR="004967D8">
        <w:tc>
          <w:tcPr>
            <w:tcW w:w="3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 xml:space="preserve">Процесуальна дія </w:t>
            </w:r>
          </w:p>
        </w:tc>
        <w:tc>
          <w:tcPr>
            <w:tcW w:w="2093"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За 10 місяців 2022 року</w:t>
            </w:r>
          </w:p>
        </w:tc>
        <w:tc>
          <w:tcPr>
            <w:tcW w:w="2092"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За 10 місяців 2021 року</w:t>
            </w:r>
          </w:p>
        </w:tc>
        <w:tc>
          <w:tcPr>
            <w:tcW w:w="2068"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b/>
                <w:color w:val="000000"/>
                <w:sz w:val="24"/>
              </w:rPr>
            </w:pPr>
            <w:r>
              <w:rPr>
                <w:b/>
                <w:color w:val="000000"/>
                <w:sz w:val="24"/>
              </w:rPr>
              <w:t>За 2021 рік</w:t>
            </w:r>
          </w:p>
        </w:tc>
      </w:tr>
      <w:tr w:rsidR="004967D8">
        <w:tc>
          <w:tcPr>
            <w:tcW w:w="3376" w:type="dxa"/>
            <w:tcBorders>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rPr>
                <w:color w:val="000000"/>
                <w:sz w:val="24"/>
              </w:rPr>
            </w:pPr>
            <w:r>
              <w:rPr>
                <w:color w:val="000000"/>
                <w:sz w:val="24"/>
              </w:rPr>
              <w:t>Кількість   проведених планових/позапланових заходів (перевірок)</w:t>
            </w:r>
          </w:p>
        </w:tc>
        <w:tc>
          <w:tcPr>
            <w:tcW w:w="2093" w:type="dxa"/>
            <w:tcBorders>
              <w:bottom w:val="single" w:sz="8" w:space="0" w:color="auto"/>
              <w:right w:val="single" w:sz="8" w:space="0" w:color="auto"/>
            </w:tcBorders>
            <w:tcMar>
              <w:top w:w="0" w:type="dxa"/>
              <w:left w:w="108" w:type="dxa"/>
              <w:bottom w:w="0" w:type="dxa"/>
              <w:right w:w="108" w:type="dxa"/>
            </w:tcMar>
          </w:tcPr>
          <w:p w:rsidR="004967D8" w:rsidRDefault="004967D8">
            <w:pPr>
              <w:rPr>
                <w:color w:val="000000"/>
                <w:sz w:val="24"/>
              </w:rPr>
            </w:pPr>
          </w:p>
          <w:p w:rsidR="004967D8" w:rsidRDefault="00E45392">
            <w:pPr>
              <w:jc w:val="center"/>
              <w:rPr>
                <w:sz w:val="24"/>
              </w:rPr>
            </w:pPr>
            <w:r>
              <w:rPr>
                <w:sz w:val="24"/>
              </w:rPr>
              <w:t>4</w:t>
            </w:r>
          </w:p>
          <w:p w:rsidR="004967D8" w:rsidRDefault="004967D8">
            <w:pPr>
              <w:jc w:val="center"/>
              <w:rPr>
                <w:color w:val="000000"/>
                <w:sz w:val="24"/>
              </w:rPr>
            </w:pPr>
          </w:p>
        </w:tc>
        <w:tc>
          <w:tcPr>
            <w:tcW w:w="2092"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color w:val="000000"/>
                <w:sz w:val="24"/>
              </w:rPr>
            </w:pPr>
            <w:r>
              <w:rPr>
                <w:color w:val="000000"/>
                <w:sz w:val="24"/>
              </w:rPr>
              <w:t>82</w:t>
            </w:r>
          </w:p>
        </w:tc>
        <w:tc>
          <w:tcPr>
            <w:tcW w:w="2068"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color w:val="000000"/>
                <w:sz w:val="24"/>
              </w:rPr>
            </w:pPr>
            <w:r>
              <w:rPr>
                <w:color w:val="000000"/>
                <w:sz w:val="24"/>
              </w:rPr>
              <w:t>102</w:t>
            </w:r>
          </w:p>
        </w:tc>
      </w:tr>
    </w:tbl>
    <w:p w:rsidR="004967D8" w:rsidRDefault="004967D8">
      <w:pPr>
        <w:ind w:firstLine="680"/>
        <w:jc w:val="both"/>
        <w:rPr>
          <w:sz w:val="24"/>
        </w:rPr>
      </w:pPr>
    </w:p>
    <w:p w:rsidR="004967D8" w:rsidRDefault="00E45392">
      <w:pPr>
        <w:ind w:firstLine="680"/>
        <w:jc w:val="both"/>
        <w:rPr>
          <w:sz w:val="24"/>
        </w:rPr>
      </w:pPr>
      <w:r>
        <w:rPr>
          <w:sz w:val="24"/>
        </w:rPr>
        <w:t xml:space="preserve">За результатами проведених перевірок : </w:t>
      </w:r>
    </w:p>
    <w:p w:rsidR="004967D8" w:rsidRDefault="00E45392">
      <w:pPr>
        <w:ind w:firstLine="708"/>
        <w:jc w:val="both"/>
        <w:rPr>
          <w:sz w:val="24"/>
        </w:rPr>
      </w:pPr>
      <w:r>
        <w:rPr>
          <w:b/>
          <w:sz w:val="24"/>
          <w:u w:val="single"/>
        </w:rPr>
        <w:t xml:space="preserve">складено 1 </w:t>
      </w:r>
      <w:proofErr w:type="spellStart"/>
      <w:r>
        <w:rPr>
          <w:b/>
          <w:sz w:val="24"/>
          <w:u w:val="single"/>
        </w:rPr>
        <w:t>Акт</w:t>
      </w:r>
      <w:r>
        <w:rPr>
          <w:sz w:val="24"/>
        </w:rPr>
        <w:t>перевірки</w:t>
      </w:r>
      <w:proofErr w:type="spellEnd"/>
      <w:r>
        <w:rPr>
          <w:sz w:val="24"/>
        </w:rPr>
        <w:t xml:space="preserve"> дотримання вимог законодавства у сфері містобудівної діяльності, будівельних норм, стандартів і правил з виявленими порушеннями; </w:t>
      </w:r>
    </w:p>
    <w:p w:rsidR="004967D8" w:rsidRDefault="00E45392">
      <w:pPr>
        <w:ind w:firstLine="708"/>
        <w:jc w:val="both"/>
        <w:rPr>
          <w:sz w:val="24"/>
        </w:rPr>
      </w:pPr>
      <w:r>
        <w:rPr>
          <w:sz w:val="24"/>
        </w:rPr>
        <w:tab/>
      </w:r>
      <w:r>
        <w:rPr>
          <w:sz w:val="24"/>
        </w:rPr>
        <w:tab/>
      </w:r>
      <w:r>
        <w:rPr>
          <w:sz w:val="24"/>
        </w:rPr>
        <w:tab/>
      </w:r>
    </w:p>
    <w:p w:rsidR="004967D8" w:rsidRDefault="00E45392">
      <w:pPr>
        <w:ind w:firstLine="709"/>
        <w:jc w:val="both"/>
      </w:pPr>
      <w:r>
        <w:rPr>
          <w:b/>
          <w:sz w:val="24"/>
          <w:u w:val="single"/>
        </w:rPr>
        <w:t>складено 3 доповідних</w:t>
      </w:r>
      <w:r>
        <w:rPr>
          <w:sz w:val="24"/>
        </w:rPr>
        <w:t xml:space="preserve"> записки</w:t>
      </w:r>
      <w:r>
        <w:t>, у результаті з неможливістю проведення перевірки та надіслано листи в правоохоронні органи щодо сприяння в проведенні перевірок.</w:t>
      </w:r>
    </w:p>
    <w:p w:rsidR="004967D8" w:rsidRDefault="004967D8">
      <w:pPr>
        <w:ind w:firstLine="709"/>
        <w:jc w:val="both"/>
        <w:rPr>
          <w:sz w:val="24"/>
        </w:rPr>
      </w:pPr>
    </w:p>
    <w:p w:rsidR="004967D8" w:rsidRDefault="00E45392">
      <w:pPr>
        <w:ind w:firstLine="708"/>
        <w:jc w:val="both"/>
        <w:rPr>
          <w:sz w:val="24"/>
        </w:rPr>
      </w:pPr>
      <w:r>
        <w:rPr>
          <w:b/>
          <w:sz w:val="24"/>
          <w:u w:val="single"/>
        </w:rPr>
        <w:t>винесено 2  постанови</w:t>
      </w:r>
      <w:r>
        <w:rPr>
          <w:sz w:val="24"/>
        </w:rPr>
        <w:t xml:space="preserve"> по справі про адміністративне правопорушення згідно Закону України «Про відповідальність у сфері містобудівної діяльності» та Кодексу України про адміністративні правопорушення</w:t>
      </w:r>
    </w:p>
    <w:p w:rsidR="004967D8" w:rsidRDefault="004967D8">
      <w:pPr>
        <w:ind w:firstLine="709"/>
        <w:jc w:val="both"/>
        <w:rPr>
          <w:sz w:val="24"/>
        </w:rPr>
      </w:pPr>
    </w:p>
    <w:p w:rsidR="004967D8" w:rsidRDefault="00E45392">
      <w:pPr>
        <w:ind w:firstLine="709"/>
        <w:jc w:val="both"/>
        <w:rPr>
          <w:sz w:val="24"/>
        </w:rPr>
      </w:pPr>
      <w:r>
        <w:rPr>
          <w:sz w:val="24"/>
        </w:rPr>
        <w:t>Штрафних санкцій накладено на загальну суму 48 058 грн. із якої сплачено 48 058 грн.</w:t>
      </w:r>
    </w:p>
    <w:p w:rsidR="004967D8" w:rsidRDefault="004967D8"/>
    <w:tbl>
      <w:tblPr>
        <w:tblW w:w="0" w:type="dxa"/>
        <w:shd w:val="clear" w:color="auto" w:fill="FFFFFF"/>
        <w:tblLook w:val="0000"/>
      </w:tblPr>
      <w:tblGrid>
        <w:gridCol w:w="2972"/>
        <w:gridCol w:w="2126"/>
        <w:gridCol w:w="2127"/>
        <w:gridCol w:w="2126"/>
      </w:tblGrid>
      <w:tr w:rsidR="004967D8">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Процесуальна дія</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b/>
                <w:color w:val="000000"/>
                <w:sz w:val="24"/>
              </w:rPr>
            </w:pPr>
            <w:r>
              <w:rPr>
                <w:b/>
                <w:color w:val="000000"/>
                <w:sz w:val="24"/>
              </w:rPr>
              <w:t>За 10 місяців 2022 року</w:t>
            </w:r>
          </w:p>
          <w:p w:rsidR="004967D8" w:rsidRDefault="004967D8">
            <w:pPr>
              <w:jc w:val="center"/>
              <w:rPr>
                <w:b/>
                <w:color w:val="000000"/>
                <w:sz w:val="24"/>
              </w:rPr>
            </w:pPr>
          </w:p>
        </w:tc>
        <w:tc>
          <w:tcPr>
            <w:tcW w:w="212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b/>
                <w:color w:val="000000"/>
                <w:sz w:val="24"/>
              </w:rPr>
            </w:pPr>
            <w:r>
              <w:rPr>
                <w:b/>
                <w:color w:val="000000"/>
                <w:sz w:val="24"/>
              </w:rPr>
              <w:t>За 10 місяців 2021 року</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b/>
                <w:color w:val="000000"/>
                <w:sz w:val="24"/>
              </w:rPr>
            </w:pPr>
            <w:r>
              <w:rPr>
                <w:b/>
                <w:color w:val="000000"/>
                <w:sz w:val="24"/>
              </w:rPr>
              <w:t>За 2022 рік</w:t>
            </w:r>
          </w:p>
        </w:tc>
      </w:tr>
      <w:tr w:rsidR="004967D8">
        <w:tc>
          <w:tcPr>
            <w:tcW w:w="2972" w:type="dxa"/>
            <w:tcBorders>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rPr>
                <w:color w:val="000000"/>
                <w:sz w:val="24"/>
              </w:rPr>
            </w:pPr>
            <w:r>
              <w:rPr>
                <w:color w:val="000000"/>
                <w:sz w:val="24"/>
              </w:rPr>
              <w:lastRenderedPageBreak/>
              <w:t>Сума   накладених штрафних санкцій</w:t>
            </w:r>
          </w:p>
        </w:tc>
        <w:tc>
          <w:tcPr>
            <w:tcW w:w="2126" w:type="dxa"/>
            <w:tcBorders>
              <w:bottom w:val="single" w:sz="8" w:space="0" w:color="auto"/>
              <w:right w:val="single" w:sz="8" w:space="0" w:color="auto"/>
            </w:tcBorders>
            <w:tcMar>
              <w:top w:w="0" w:type="dxa"/>
              <w:left w:w="108" w:type="dxa"/>
              <w:bottom w:w="0" w:type="dxa"/>
              <w:right w:w="108" w:type="dxa"/>
            </w:tcMar>
            <w:vAlign w:val="center"/>
          </w:tcPr>
          <w:p w:rsidR="004967D8" w:rsidRDefault="004967D8">
            <w:pPr>
              <w:jc w:val="center"/>
              <w:rPr>
                <w:sz w:val="24"/>
              </w:rPr>
            </w:pPr>
          </w:p>
          <w:p w:rsidR="004967D8" w:rsidRDefault="00E45392">
            <w:pPr>
              <w:jc w:val="center"/>
              <w:rPr>
                <w:sz w:val="24"/>
              </w:rPr>
            </w:pPr>
            <w:r>
              <w:rPr>
                <w:sz w:val="24"/>
              </w:rPr>
              <w:t>48 058</w:t>
            </w:r>
          </w:p>
        </w:tc>
        <w:tc>
          <w:tcPr>
            <w:tcW w:w="2127" w:type="dxa"/>
            <w:tcBorders>
              <w:bottom w:val="single" w:sz="8" w:space="0" w:color="auto"/>
              <w:right w:val="single" w:sz="8" w:space="0" w:color="auto"/>
            </w:tcBorders>
            <w:tcMar>
              <w:top w:w="0" w:type="dxa"/>
              <w:left w:w="108" w:type="dxa"/>
              <w:bottom w:w="0" w:type="dxa"/>
              <w:right w:w="108" w:type="dxa"/>
            </w:tcMar>
          </w:tcPr>
          <w:p w:rsidR="004967D8" w:rsidRDefault="004967D8">
            <w:pPr>
              <w:jc w:val="center"/>
              <w:rPr>
                <w:sz w:val="24"/>
              </w:rPr>
            </w:pPr>
          </w:p>
          <w:p w:rsidR="004967D8" w:rsidRDefault="00E45392">
            <w:pPr>
              <w:jc w:val="center"/>
              <w:rPr>
                <w:sz w:val="24"/>
              </w:rPr>
            </w:pPr>
            <w:r>
              <w:rPr>
                <w:sz w:val="24"/>
              </w:rPr>
              <w:t>337 615</w:t>
            </w:r>
          </w:p>
        </w:tc>
        <w:tc>
          <w:tcPr>
            <w:tcW w:w="2126" w:type="dxa"/>
            <w:tcBorders>
              <w:bottom w:val="single" w:sz="8" w:space="0" w:color="auto"/>
              <w:right w:val="single" w:sz="8" w:space="0" w:color="auto"/>
            </w:tcBorders>
            <w:tcMar>
              <w:top w:w="0" w:type="dxa"/>
              <w:left w:w="108" w:type="dxa"/>
              <w:bottom w:w="0" w:type="dxa"/>
              <w:right w:w="108" w:type="dxa"/>
            </w:tcMar>
          </w:tcPr>
          <w:p w:rsidR="004967D8" w:rsidRDefault="004967D8">
            <w:pPr>
              <w:jc w:val="center"/>
              <w:rPr>
                <w:sz w:val="24"/>
              </w:rPr>
            </w:pPr>
          </w:p>
          <w:p w:rsidR="004967D8" w:rsidRDefault="00E45392">
            <w:pPr>
              <w:jc w:val="center"/>
              <w:rPr>
                <w:sz w:val="24"/>
              </w:rPr>
            </w:pPr>
            <w:r>
              <w:rPr>
                <w:sz w:val="24"/>
              </w:rPr>
              <w:t>344 415</w:t>
            </w:r>
          </w:p>
        </w:tc>
      </w:tr>
      <w:tr w:rsidR="004967D8">
        <w:tc>
          <w:tcPr>
            <w:tcW w:w="2972" w:type="dxa"/>
            <w:tcBorders>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both"/>
              <w:rPr>
                <w:color w:val="000000"/>
                <w:sz w:val="24"/>
              </w:rPr>
            </w:pPr>
            <w:r>
              <w:rPr>
                <w:color w:val="000000"/>
                <w:sz w:val="24"/>
              </w:rPr>
              <w:t>Сума сплачених штрафних санкцій</w:t>
            </w:r>
          </w:p>
        </w:tc>
        <w:tc>
          <w:tcPr>
            <w:tcW w:w="2126" w:type="dxa"/>
            <w:tcBorders>
              <w:bottom w:val="single" w:sz="8" w:space="0" w:color="auto"/>
              <w:right w:val="single" w:sz="8" w:space="0" w:color="auto"/>
            </w:tcBorders>
            <w:tcMar>
              <w:top w:w="0" w:type="dxa"/>
              <w:left w:w="108" w:type="dxa"/>
              <w:bottom w:w="0" w:type="dxa"/>
              <w:right w:w="108" w:type="dxa"/>
            </w:tcMar>
            <w:vAlign w:val="center"/>
          </w:tcPr>
          <w:p w:rsidR="004967D8" w:rsidRDefault="004967D8">
            <w:pPr>
              <w:jc w:val="center"/>
              <w:rPr>
                <w:sz w:val="24"/>
              </w:rPr>
            </w:pPr>
          </w:p>
          <w:p w:rsidR="004967D8" w:rsidRDefault="00E45392">
            <w:pPr>
              <w:jc w:val="center"/>
              <w:rPr>
                <w:sz w:val="24"/>
              </w:rPr>
            </w:pPr>
            <w:r>
              <w:rPr>
                <w:sz w:val="24"/>
              </w:rPr>
              <w:t>48 058</w:t>
            </w:r>
          </w:p>
        </w:tc>
        <w:tc>
          <w:tcPr>
            <w:tcW w:w="2127" w:type="dxa"/>
            <w:tcBorders>
              <w:bottom w:val="single" w:sz="8" w:space="0" w:color="auto"/>
              <w:right w:val="single" w:sz="8" w:space="0" w:color="auto"/>
            </w:tcBorders>
            <w:tcMar>
              <w:top w:w="0" w:type="dxa"/>
              <w:left w:w="108" w:type="dxa"/>
              <w:bottom w:w="0" w:type="dxa"/>
              <w:right w:w="108" w:type="dxa"/>
            </w:tcMar>
          </w:tcPr>
          <w:p w:rsidR="004967D8" w:rsidRDefault="004967D8">
            <w:pPr>
              <w:jc w:val="center"/>
              <w:rPr>
                <w:sz w:val="24"/>
              </w:rPr>
            </w:pPr>
          </w:p>
          <w:p w:rsidR="004967D8" w:rsidRDefault="00E45392">
            <w:pPr>
              <w:jc w:val="center"/>
              <w:rPr>
                <w:sz w:val="24"/>
              </w:rPr>
            </w:pPr>
            <w:r>
              <w:rPr>
                <w:sz w:val="24"/>
              </w:rPr>
              <w:t>210 815</w:t>
            </w:r>
          </w:p>
        </w:tc>
        <w:tc>
          <w:tcPr>
            <w:tcW w:w="2126"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sz w:val="24"/>
              </w:rPr>
            </w:pPr>
            <w:r>
              <w:rPr>
                <w:sz w:val="24"/>
              </w:rPr>
              <w:t>210 815</w:t>
            </w:r>
          </w:p>
        </w:tc>
      </w:tr>
    </w:tbl>
    <w:p w:rsidR="004967D8" w:rsidRDefault="004967D8">
      <w:pPr>
        <w:ind w:firstLine="680"/>
        <w:jc w:val="both"/>
        <w:rPr>
          <w:b/>
          <w:sz w:val="24"/>
        </w:rPr>
      </w:pPr>
    </w:p>
    <w:p w:rsidR="004967D8" w:rsidRDefault="00E45392">
      <w:pPr>
        <w:ind w:firstLine="709"/>
        <w:jc w:val="both"/>
        <w:rPr>
          <w:sz w:val="24"/>
          <w:shd w:val="clear" w:color="auto" w:fill="FFFFFF"/>
        </w:rPr>
      </w:pPr>
      <w:r>
        <w:rPr>
          <w:sz w:val="24"/>
        </w:rPr>
        <w:t xml:space="preserve">Постановою Кабінету Міністрів України №303 від 13 березня 2022 року </w:t>
      </w:r>
      <w:r>
        <w:rPr>
          <w:sz w:val="24"/>
          <w:shd w:val="clear" w:color="auto" w:fill="FFFFFF"/>
        </w:rPr>
        <w:t xml:space="preserve">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w:t>
      </w:r>
      <w:hyperlink r:id="rId5">
        <w:r>
          <w:rPr>
            <w:rStyle w:val="a6"/>
          </w:rPr>
          <w:t>№ 64</w:t>
        </w:r>
      </w:hyperlink>
      <w:r>
        <w:rPr>
          <w:sz w:val="24"/>
          <w:shd w:val="clear" w:color="auto" w:fill="FFFFFF"/>
        </w:rPr>
        <w:t xml:space="preserve"> </w:t>
      </w:r>
      <w:proofErr w:type="spellStart"/>
      <w:r>
        <w:rPr>
          <w:sz w:val="24"/>
          <w:shd w:val="clear" w:color="auto" w:fill="FFFFFF"/>
        </w:rPr>
        <w:t>“Про</w:t>
      </w:r>
      <w:proofErr w:type="spellEnd"/>
      <w:r>
        <w:rPr>
          <w:sz w:val="24"/>
          <w:shd w:val="clear" w:color="auto" w:fill="FFFFFF"/>
        </w:rPr>
        <w:t xml:space="preserve"> введення воєнного стану в </w:t>
      </w:r>
      <w:proofErr w:type="spellStart"/>
      <w:r>
        <w:rPr>
          <w:sz w:val="24"/>
          <w:shd w:val="clear" w:color="auto" w:fill="FFFFFF"/>
        </w:rPr>
        <w:t>Україні”</w:t>
      </w:r>
      <w:proofErr w:type="spellEnd"/>
      <w:r>
        <w:rPr>
          <w:sz w:val="24"/>
          <w:shd w:val="clear" w:color="auto" w:fill="FFFFFF"/>
        </w:rPr>
        <w:t>.</w:t>
      </w:r>
    </w:p>
    <w:p w:rsidR="004967D8" w:rsidRDefault="00E45392">
      <w:pPr>
        <w:ind w:firstLine="709"/>
        <w:jc w:val="both"/>
        <w:rPr>
          <w:sz w:val="24"/>
        </w:rPr>
      </w:pPr>
      <w:r>
        <w:rPr>
          <w:sz w:val="24"/>
        </w:rPr>
        <w:t xml:space="preserve">З метою запобігання та виявлення незаконної забудови на території Тернопільської територіальної громади розпорядженням міського голови створено комісію у складі представників відділу державного архітектурно-будівельного контролю Тернопільської міської ради, управління містобудування, архітектури та кадастру Тернопільської міської ради, відділу земельних ресурсів Тернопільської міської ради, управління муніципальної поліції Тернопільської міської ради, також залучаються представники Тернопільського відділу поліції </w:t>
      </w:r>
      <w:proofErr w:type="spellStart"/>
      <w:r>
        <w:rPr>
          <w:sz w:val="24"/>
        </w:rPr>
        <w:t>ГУНП</w:t>
      </w:r>
      <w:proofErr w:type="spellEnd"/>
      <w:r>
        <w:rPr>
          <w:sz w:val="24"/>
        </w:rPr>
        <w:t xml:space="preserve"> у Тернопільській області та представники Управління Служби Безпеки України в Тернопільській області (виключно за згоди).</w:t>
      </w:r>
    </w:p>
    <w:p w:rsidR="004967D8" w:rsidRDefault="004967D8">
      <w:pPr>
        <w:ind w:firstLine="709"/>
        <w:jc w:val="both"/>
        <w:rPr>
          <w:sz w:val="24"/>
        </w:rPr>
      </w:pPr>
    </w:p>
    <w:p w:rsidR="004967D8" w:rsidRDefault="00E45392">
      <w:pPr>
        <w:ind w:firstLine="709"/>
        <w:jc w:val="both"/>
        <w:rPr>
          <w:sz w:val="24"/>
        </w:rPr>
      </w:pPr>
      <w:r>
        <w:rPr>
          <w:sz w:val="24"/>
        </w:rPr>
        <w:t>Комісія виконує свої обов’язки до закінчення дії воєнного стану в Україні та відновлення дії Порядку здійснення державного архітектурно-будівельного контролю, затвердженого постановою Кабінету Міністрів України від 23.05.2011 року №553.</w:t>
      </w:r>
    </w:p>
    <w:p w:rsidR="004967D8" w:rsidRDefault="004967D8">
      <w:pPr>
        <w:ind w:firstLine="709"/>
        <w:jc w:val="both"/>
        <w:rPr>
          <w:sz w:val="24"/>
        </w:rPr>
      </w:pPr>
    </w:p>
    <w:p w:rsidR="004967D8" w:rsidRDefault="004967D8">
      <w:pPr>
        <w:ind w:firstLine="709"/>
        <w:jc w:val="both"/>
        <w:rPr>
          <w:sz w:val="24"/>
        </w:rPr>
      </w:pPr>
    </w:p>
    <w:p w:rsidR="004967D8" w:rsidRDefault="004967D8">
      <w:pPr>
        <w:ind w:firstLine="709"/>
        <w:jc w:val="both"/>
        <w:rPr>
          <w:sz w:val="24"/>
        </w:rPr>
      </w:pPr>
    </w:p>
    <w:p w:rsidR="004967D8" w:rsidRDefault="004967D8">
      <w:pPr>
        <w:ind w:firstLine="709"/>
        <w:jc w:val="both"/>
        <w:rPr>
          <w:sz w:val="24"/>
        </w:rPr>
      </w:pPr>
    </w:p>
    <w:p w:rsidR="004967D8" w:rsidRDefault="004967D8">
      <w:pPr>
        <w:ind w:firstLine="709"/>
        <w:jc w:val="both"/>
        <w:rPr>
          <w:sz w:val="24"/>
        </w:rPr>
      </w:pPr>
    </w:p>
    <w:p w:rsidR="004967D8" w:rsidRDefault="004967D8"/>
    <w:tbl>
      <w:tblPr>
        <w:tblW w:w="0" w:type="auto"/>
        <w:shd w:val="clear" w:color="auto" w:fill="FFFFFF"/>
        <w:tblLook w:val="0000"/>
      </w:tblPr>
      <w:tblGrid>
        <w:gridCol w:w="4673"/>
        <w:gridCol w:w="4535"/>
      </w:tblGrid>
      <w:tr w:rsidR="004967D8">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Процесуальна дія</w:t>
            </w:r>
          </w:p>
        </w:tc>
        <w:tc>
          <w:tcPr>
            <w:tcW w:w="4535"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b/>
                <w:sz w:val="24"/>
              </w:rPr>
            </w:pPr>
            <w:r>
              <w:rPr>
                <w:b/>
                <w:sz w:val="24"/>
              </w:rPr>
              <w:t>2022 рік</w:t>
            </w:r>
          </w:p>
        </w:tc>
      </w:tr>
      <w:tr w:rsidR="004967D8">
        <w:tc>
          <w:tcPr>
            <w:tcW w:w="4673" w:type="dxa"/>
            <w:tcBorders>
              <w:left w:val="single" w:sz="8" w:space="0" w:color="auto"/>
              <w:bottom w:val="single" w:sz="8" w:space="0" w:color="auto"/>
              <w:right w:val="single" w:sz="8" w:space="0" w:color="auto"/>
            </w:tcBorders>
            <w:tcMar>
              <w:top w:w="0" w:type="dxa"/>
              <w:left w:w="108" w:type="dxa"/>
              <w:bottom w:w="0" w:type="dxa"/>
              <w:right w:w="108" w:type="dxa"/>
            </w:tcMar>
          </w:tcPr>
          <w:p w:rsidR="004967D8" w:rsidRDefault="004967D8">
            <w:pPr>
              <w:rPr>
                <w:color w:val="000000"/>
                <w:sz w:val="24"/>
              </w:rPr>
            </w:pPr>
          </w:p>
          <w:p w:rsidR="004967D8" w:rsidRDefault="00E45392">
            <w:pPr>
              <w:rPr>
                <w:color w:val="000000"/>
                <w:sz w:val="24"/>
              </w:rPr>
            </w:pPr>
            <w:r>
              <w:rPr>
                <w:color w:val="000000"/>
                <w:sz w:val="24"/>
              </w:rPr>
              <w:t>Кількість   скликаних комісій</w:t>
            </w:r>
          </w:p>
          <w:p w:rsidR="004967D8" w:rsidRDefault="004967D8">
            <w:pPr>
              <w:rPr>
                <w:sz w:val="24"/>
              </w:rPr>
            </w:pPr>
          </w:p>
        </w:tc>
        <w:tc>
          <w:tcPr>
            <w:tcW w:w="4535" w:type="dxa"/>
            <w:tcBorders>
              <w:bottom w:val="single" w:sz="8" w:space="0" w:color="auto"/>
              <w:right w:val="single" w:sz="8" w:space="0" w:color="auto"/>
            </w:tcBorders>
            <w:tcMar>
              <w:top w:w="0" w:type="dxa"/>
              <w:left w:w="108" w:type="dxa"/>
              <w:bottom w:w="0" w:type="dxa"/>
              <w:right w:w="108" w:type="dxa"/>
            </w:tcMar>
          </w:tcPr>
          <w:p w:rsidR="004967D8" w:rsidRDefault="004967D8">
            <w:pPr>
              <w:jc w:val="center"/>
              <w:rPr>
                <w:sz w:val="24"/>
              </w:rPr>
            </w:pPr>
          </w:p>
          <w:p w:rsidR="004967D8" w:rsidRDefault="00E45392">
            <w:pPr>
              <w:jc w:val="center"/>
              <w:rPr>
                <w:sz w:val="24"/>
              </w:rPr>
            </w:pPr>
            <w:r>
              <w:rPr>
                <w:sz w:val="24"/>
              </w:rPr>
              <w:t>17</w:t>
            </w:r>
          </w:p>
        </w:tc>
      </w:tr>
    </w:tbl>
    <w:p w:rsidR="004967D8" w:rsidRDefault="004967D8"/>
    <w:p w:rsidR="004967D8" w:rsidRDefault="00E45392">
      <w:pPr>
        <w:ind w:firstLine="709"/>
        <w:jc w:val="both"/>
        <w:rPr>
          <w:sz w:val="24"/>
        </w:rPr>
      </w:pPr>
      <w:r>
        <w:rPr>
          <w:sz w:val="24"/>
        </w:rPr>
        <w:t xml:space="preserve">Головними спеціалістами з надання адміністративних послуг-інспекторами відділу з 01.01.2022 року по 31.10.2022 року, </w:t>
      </w:r>
      <w:r>
        <w:rPr>
          <w:b/>
          <w:sz w:val="24"/>
          <w:u w:val="single"/>
        </w:rPr>
        <w:t>прийнято та опрацьовано 250 документи</w:t>
      </w:r>
      <w:r>
        <w:rPr>
          <w:sz w:val="24"/>
        </w:rPr>
        <w:t>:</w:t>
      </w:r>
    </w:p>
    <w:p w:rsidR="004967D8" w:rsidRDefault="00E45392">
      <w:pPr>
        <w:ind w:firstLine="709"/>
        <w:jc w:val="both"/>
        <w:rPr>
          <w:sz w:val="24"/>
        </w:rPr>
      </w:pPr>
      <w:r>
        <w:rPr>
          <w:b/>
          <w:sz w:val="24"/>
        </w:rPr>
        <w:t>83</w:t>
      </w:r>
      <w:r>
        <w:rPr>
          <w:sz w:val="24"/>
        </w:rPr>
        <w:t xml:space="preserve"> повідомлення про початок виконання підготовчих/будівельних робіт, зміну даних у повідомленні про початок підготовчих/будівельних робіт;</w:t>
      </w:r>
    </w:p>
    <w:p w:rsidR="004967D8" w:rsidRDefault="004967D8">
      <w:pPr>
        <w:ind w:firstLine="709"/>
        <w:jc w:val="both"/>
        <w:rPr>
          <w:sz w:val="24"/>
        </w:rPr>
      </w:pPr>
    </w:p>
    <w:p w:rsidR="004967D8" w:rsidRDefault="00E45392">
      <w:pPr>
        <w:ind w:firstLine="709"/>
        <w:jc w:val="both"/>
        <w:rPr>
          <w:sz w:val="24"/>
        </w:rPr>
      </w:pPr>
      <w:r>
        <w:rPr>
          <w:b/>
          <w:sz w:val="24"/>
        </w:rPr>
        <w:t>116</w:t>
      </w:r>
      <w:r>
        <w:rPr>
          <w:sz w:val="24"/>
        </w:rPr>
        <w:t xml:space="preserve"> декларацій про готовність об’єкта до експлуатації об’єкта, будівництво якого здійснено на підставі будівельного паспорта/декларації про готовність до експлуатації об'єкта, що за класом наслідків (відповідальності) належить до об’єктів з незначними наслідками (СС1)/декларації про готовність до експлуатації самочинно збудованого об'єкта, на який визнано право власності за рішенням суду/ декларація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4967D8" w:rsidRDefault="004967D8">
      <w:pPr>
        <w:ind w:firstLine="709"/>
        <w:jc w:val="both"/>
        <w:rPr>
          <w:sz w:val="24"/>
        </w:rPr>
      </w:pPr>
    </w:p>
    <w:p w:rsidR="004967D8" w:rsidRDefault="00E45392">
      <w:pPr>
        <w:ind w:firstLine="708"/>
        <w:jc w:val="both"/>
        <w:rPr>
          <w:sz w:val="24"/>
        </w:rPr>
      </w:pPr>
      <w:r>
        <w:rPr>
          <w:b/>
          <w:sz w:val="24"/>
        </w:rPr>
        <w:t>29</w:t>
      </w:r>
      <w:r>
        <w:rPr>
          <w:sz w:val="24"/>
        </w:rPr>
        <w:t xml:space="preserve"> дозволів на виконання будівельних робіт /зміна даних у дозволі на виконання будівельних робіт;</w:t>
      </w:r>
    </w:p>
    <w:p w:rsidR="004967D8" w:rsidRDefault="004967D8">
      <w:pPr>
        <w:ind w:firstLine="708"/>
        <w:jc w:val="both"/>
        <w:rPr>
          <w:sz w:val="24"/>
        </w:rPr>
      </w:pPr>
    </w:p>
    <w:p w:rsidR="004967D8" w:rsidRDefault="00E45392">
      <w:pPr>
        <w:ind w:firstLine="709"/>
        <w:jc w:val="both"/>
      </w:pPr>
      <w:r>
        <w:rPr>
          <w:b/>
          <w:sz w:val="24"/>
        </w:rPr>
        <w:t>22</w:t>
      </w:r>
      <w:r>
        <w:rPr>
          <w:sz w:val="24"/>
        </w:rPr>
        <w:t xml:space="preserve">  сертифікати</w:t>
      </w:r>
      <w:r>
        <w:t xml:space="preserve"> про прийняття в експлуатацію закінченого будівництвом об’єкта;</w:t>
      </w:r>
    </w:p>
    <w:p w:rsidR="004967D8" w:rsidRDefault="004967D8">
      <w:pPr>
        <w:ind w:firstLine="709"/>
        <w:jc w:val="both"/>
        <w:rPr>
          <w:sz w:val="24"/>
        </w:rPr>
      </w:pPr>
    </w:p>
    <w:p w:rsidR="004967D8" w:rsidRDefault="004967D8">
      <w:pPr>
        <w:ind w:left="5"/>
      </w:pPr>
    </w:p>
    <w:tbl>
      <w:tblPr>
        <w:tblW w:w="9624" w:type="dxa"/>
        <w:tblInd w:w="5" w:type="dxa"/>
        <w:shd w:val="clear" w:color="auto" w:fill="FFFFFF"/>
        <w:tblLook w:val="0000"/>
      </w:tblPr>
      <w:tblGrid>
        <w:gridCol w:w="3013"/>
        <w:gridCol w:w="2098"/>
        <w:gridCol w:w="2336"/>
        <w:gridCol w:w="2177"/>
      </w:tblGrid>
      <w:tr w:rsidR="004967D8">
        <w:tc>
          <w:tcPr>
            <w:tcW w:w="3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lastRenderedPageBreak/>
              <w:t>Процесуальна дія</w:t>
            </w:r>
          </w:p>
        </w:tc>
        <w:tc>
          <w:tcPr>
            <w:tcW w:w="2098"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За 10 місяців 2022року</w:t>
            </w:r>
          </w:p>
        </w:tc>
        <w:tc>
          <w:tcPr>
            <w:tcW w:w="2336"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За 10 місяців 2021року</w:t>
            </w:r>
          </w:p>
        </w:tc>
        <w:tc>
          <w:tcPr>
            <w:tcW w:w="2177" w:type="dxa"/>
            <w:tcBorders>
              <w:top w:val="single" w:sz="8" w:space="0" w:color="auto"/>
              <w:bottom w:val="single" w:sz="8" w:space="0" w:color="auto"/>
              <w:right w:val="single" w:sz="8" w:space="0" w:color="auto"/>
            </w:tcBorders>
            <w:tcMar>
              <w:top w:w="0" w:type="dxa"/>
              <w:left w:w="108" w:type="dxa"/>
              <w:bottom w:w="0" w:type="dxa"/>
              <w:right w:w="108" w:type="dxa"/>
            </w:tcMar>
          </w:tcPr>
          <w:p w:rsidR="004967D8" w:rsidRDefault="00E45392">
            <w:pPr>
              <w:jc w:val="center"/>
              <w:rPr>
                <w:b/>
                <w:color w:val="000000"/>
                <w:sz w:val="24"/>
              </w:rPr>
            </w:pPr>
            <w:r>
              <w:rPr>
                <w:b/>
                <w:color w:val="000000"/>
                <w:sz w:val="24"/>
              </w:rPr>
              <w:t>За 2021 рік</w:t>
            </w:r>
          </w:p>
        </w:tc>
      </w:tr>
      <w:tr w:rsidR="004967D8">
        <w:tc>
          <w:tcPr>
            <w:tcW w:w="3013" w:type="dxa"/>
            <w:tcBorders>
              <w:left w:val="single" w:sz="8" w:space="0" w:color="auto"/>
              <w:bottom w:val="single" w:sz="8" w:space="0" w:color="auto"/>
              <w:right w:val="single" w:sz="8" w:space="0" w:color="auto"/>
            </w:tcBorders>
            <w:tcMar>
              <w:top w:w="0" w:type="dxa"/>
              <w:left w:w="108" w:type="dxa"/>
              <w:bottom w:w="0" w:type="dxa"/>
              <w:right w:w="108" w:type="dxa"/>
            </w:tcMar>
          </w:tcPr>
          <w:p w:rsidR="004967D8" w:rsidRDefault="004967D8">
            <w:pPr>
              <w:rPr>
                <w:color w:val="000000"/>
                <w:sz w:val="24"/>
              </w:rPr>
            </w:pPr>
          </w:p>
          <w:p w:rsidR="004967D8" w:rsidRDefault="00E45392">
            <w:pPr>
              <w:rPr>
                <w:color w:val="000000"/>
                <w:sz w:val="24"/>
              </w:rPr>
            </w:pPr>
            <w:r>
              <w:rPr>
                <w:color w:val="000000"/>
                <w:sz w:val="24"/>
              </w:rPr>
              <w:t>Кількість   прийнятих та опрацьованих документів</w:t>
            </w:r>
          </w:p>
          <w:p w:rsidR="004967D8" w:rsidRDefault="004967D8">
            <w:pPr>
              <w:rPr>
                <w:color w:val="000000"/>
                <w:sz w:val="24"/>
              </w:rPr>
            </w:pPr>
          </w:p>
        </w:tc>
        <w:tc>
          <w:tcPr>
            <w:tcW w:w="2098" w:type="dxa"/>
            <w:tcBorders>
              <w:bottom w:val="single" w:sz="8" w:space="0" w:color="auto"/>
              <w:right w:val="single" w:sz="8" w:space="0" w:color="auto"/>
            </w:tcBorders>
            <w:tcMar>
              <w:top w:w="0" w:type="dxa"/>
              <w:left w:w="108" w:type="dxa"/>
              <w:bottom w:w="0" w:type="dxa"/>
              <w:right w:w="108" w:type="dxa"/>
            </w:tcMar>
          </w:tcPr>
          <w:p w:rsidR="004967D8" w:rsidRDefault="004967D8">
            <w:pPr>
              <w:jc w:val="center"/>
              <w:rPr>
                <w:sz w:val="24"/>
              </w:rPr>
            </w:pPr>
          </w:p>
          <w:p w:rsidR="004967D8" w:rsidRDefault="004967D8">
            <w:pPr>
              <w:jc w:val="center"/>
              <w:rPr>
                <w:sz w:val="24"/>
              </w:rPr>
            </w:pPr>
          </w:p>
          <w:p w:rsidR="004967D8" w:rsidRDefault="00E45392">
            <w:pPr>
              <w:jc w:val="center"/>
              <w:rPr>
                <w:sz w:val="24"/>
              </w:rPr>
            </w:pPr>
            <w:r>
              <w:rPr>
                <w:sz w:val="24"/>
              </w:rPr>
              <w:t>250</w:t>
            </w:r>
          </w:p>
        </w:tc>
        <w:tc>
          <w:tcPr>
            <w:tcW w:w="2336"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sz w:val="24"/>
              </w:rPr>
            </w:pPr>
            <w:r>
              <w:rPr>
                <w:sz w:val="24"/>
              </w:rPr>
              <w:t>313</w:t>
            </w:r>
          </w:p>
        </w:tc>
        <w:tc>
          <w:tcPr>
            <w:tcW w:w="2177" w:type="dxa"/>
            <w:tcBorders>
              <w:bottom w:val="single" w:sz="8" w:space="0" w:color="auto"/>
              <w:right w:val="single" w:sz="8" w:space="0" w:color="auto"/>
            </w:tcBorders>
            <w:tcMar>
              <w:top w:w="0" w:type="dxa"/>
              <w:left w:w="108" w:type="dxa"/>
              <w:bottom w:w="0" w:type="dxa"/>
              <w:right w:w="108" w:type="dxa"/>
            </w:tcMar>
            <w:vAlign w:val="center"/>
          </w:tcPr>
          <w:p w:rsidR="004967D8" w:rsidRDefault="00E45392">
            <w:pPr>
              <w:jc w:val="center"/>
              <w:rPr>
                <w:sz w:val="24"/>
              </w:rPr>
            </w:pPr>
            <w:r>
              <w:rPr>
                <w:sz w:val="24"/>
              </w:rPr>
              <w:t>437</w:t>
            </w:r>
          </w:p>
        </w:tc>
      </w:tr>
    </w:tbl>
    <w:p w:rsidR="004967D8" w:rsidRDefault="004967D8">
      <w:pPr>
        <w:ind w:firstLine="708"/>
        <w:jc w:val="both"/>
        <w:rPr>
          <w:sz w:val="24"/>
        </w:rPr>
      </w:pPr>
    </w:p>
    <w:p w:rsidR="004967D8" w:rsidRDefault="00E45392">
      <w:pPr>
        <w:ind w:firstLine="708"/>
        <w:jc w:val="both"/>
        <w:rPr>
          <w:b/>
          <w:sz w:val="24"/>
        </w:rPr>
      </w:pPr>
      <w:r>
        <w:rPr>
          <w:sz w:val="24"/>
        </w:rPr>
        <w:t xml:space="preserve">Прийнято рішень про відмову за 10 місяців 2022 року - </w:t>
      </w:r>
      <w:r>
        <w:rPr>
          <w:b/>
          <w:sz w:val="24"/>
        </w:rPr>
        <w:t>3</w:t>
      </w:r>
    </w:p>
    <w:p w:rsidR="004967D8" w:rsidRDefault="004967D8">
      <w:pPr>
        <w:ind w:firstLine="708"/>
        <w:jc w:val="both"/>
        <w:rPr>
          <w:b/>
          <w:sz w:val="24"/>
        </w:rPr>
      </w:pPr>
    </w:p>
    <w:tbl>
      <w:tblPr>
        <w:tblStyle w:val="a8"/>
        <w:tblW w:w="0" w:type="auto"/>
        <w:shd w:val="clear" w:color="auto" w:fill="FFFFFF"/>
        <w:tblLook w:val="04A0"/>
      </w:tblPr>
      <w:tblGrid>
        <w:gridCol w:w="2407"/>
        <w:gridCol w:w="2407"/>
        <w:gridCol w:w="2407"/>
        <w:gridCol w:w="2408"/>
      </w:tblGrid>
      <w:tr w:rsidR="004967D8">
        <w:tc>
          <w:tcPr>
            <w:tcW w:w="2407" w:type="dxa"/>
            <w:tcBorders>
              <w:top w:val="single" w:sz="4" w:space="0" w:color="auto"/>
              <w:left w:val="single" w:sz="4" w:space="0" w:color="auto"/>
              <w:bottom w:val="single" w:sz="4" w:space="0" w:color="auto"/>
              <w:right w:val="single" w:sz="4" w:space="0" w:color="auto"/>
            </w:tcBorders>
          </w:tcPr>
          <w:p w:rsidR="004967D8" w:rsidRDefault="00E45392">
            <w:pPr>
              <w:jc w:val="center"/>
              <w:rPr>
                <w:b/>
                <w:color w:val="000000"/>
                <w:sz w:val="24"/>
              </w:rPr>
            </w:pPr>
            <w:r>
              <w:rPr>
                <w:b/>
                <w:color w:val="000000"/>
                <w:sz w:val="24"/>
              </w:rPr>
              <w:t>Процесуальна дія</w:t>
            </w:r>
          </w:p>
        </w:tc>
        <w:tc>
          <w:tcPr>
            <w:tcW w:w="2407" w:type="dxa"/>
            <w:tcBorders>
              <w:top w:val="single" w:sz="4" w:space="0" w:color="auto"/>
              <w:left w:val="single" w:sz="4" w:space="0" w:color="auto"/>
              <w:bottom w:val="single" w:sz="4" w:space="0" w:color="auto"/>
              <w:right w:val="single" w:sz="4" w:space="0" w:color="auto"/>
            </w:tcBorders>
          </w:tcPr>
          <w:p w:rsidR="004967D8" w:rsidRDefault="00E45392">
            <w:pPr>
              <w:jc w:val="center"/>
              <w:rPr>
                <w:b/>
                <w:color w:val="000000"/>
                <w:sz w:val="24"/>
              </w:rPr>
            </w:pPr>
            <w:r>
              <w:rPr>
                <w:b/>
                <w:color w:val="000000"/>
                <w:sz w:val="24"/>
              </w:rPr>
              <w:t>За 10 місяців 2022року (грн.)</w:t>
            </w:r>
          </w:p>
        </w:tc>
        <w:tc>
          <w:tcPr>
            <w:tcW w:w="2407" w:type="dxa"/>
            <w:tcBorders>
              <w:top w:val="single" w:sz="4" w:space="0" w:color="auto"/>
              <w:left w:val="single" w:sz="4" w:space="0" w:color="auto"/>
              <w:bottom w:val="single" w:sz="4" w:space="0" w:color="auto"/>
              <w:right w:val="single" w:sz="4" w:space="0" w:color="auto"/>
            </w:tcBorders>
          </w:tcPr>
          <w:p w:rsidR="004967D8" w:rsidRDefault="00E45392">
            <w:pPr>
              <w:jc w:val="center"/>
              <w:rPr>
                <w:b/>
                <w:color w:val="000000"/>
                <w:sz w:val="24"/>
              </w:rPr>
            </w:pPr>
            <w:r>
              <w:rPr>
                <w:b/>
                <w:color w:val="000000"/>
                <w:sz w:val="24"/>
              </w:rPr>
              <w:t>За 10 місяців 2021року (грн.)</w:t>
            </w:r>
          </w:p>
        </w:tc>
        <w:tc>
          <w:tcPr>
            <w:tcW w:w="2408" w:type="dxa"/>
            <w:tcBorders>
              <w:top w:val="single" w:sz="4" w:space="0" w:color="auto"/>
              <w:left w:val="single" w:sz="4" w:space="0" w:color="auto"/>
              <w:bottom w:val="single" w:sz="4" w:space="0" w:color="auto"/>
              <w:right w:val="single" w:sz="4" w:space="0" w:color="auto"/>
            </w:tcBorders>
          </w:tcPr>
          <w:p w:rsidR="004967D8" w:rsidRDefault="00E45392">
            <w:pPr>
              <w:jc w:val="center"/>
              <w:rPr>
                <w:b/>
                <w:color w:val="000000"/>
                <w:sz w:val="24"/>
              </w:rPr>
            </w:pPr>
            <w:r>
              <w:rPr>
                <w:b/>
                <w:color w:val="000000"/>
                <w:sz w:val="24"/>
              </w:rPr>
              <w:t>За 2021 рік (грн.)</w:t>
            </w:r>
          </w:p>
        </w:tc>
      </w:tr>
      <w:tr w:rsidR="004967D8">
        <w:tc>
          <w:tcPr>
            <w:tcW w:w="2407" w:type="dxa"/>
            <w:tcBorders>
              <w:top w:val="single" w:sz="4" w:space="0" w:color="auto"/>
              <w:left w:val="single" w:sz="4" w:space="0" w:color="auto"/>
              <w:bottom w:val="single" w:sz="4" w:space="0" w:color="auto"/>
              <w:right w:val="single" w:sz="4" w:space="0" w:color="auto"/>
            </w:tcBorders>
          </w:tcPr>
          <w:p w:rsidR="004967D8" w:rsidRDefault="004967D8">
            <w:pPr>
              <w:jc w:val="both"/>
              <w:rPr>
                <w:b/>
                <w:sz w:val="24"/>
              </w:rPr>
            </w:pPr>
          </w:p>
          <w:p w:rsidR="004967D8" w:rsidRDefault="00E45392">
            <w:pPr>
              <w:jc w:val="both"/>
              <w:rPr>
                <w:sz w:val="24"/>
              </w:rPr>
            </w:pPr>
            <w:r>
              <w:rPr>
                <w:sz w:val="24"/>
              </w:rPr>
              <w:t>Фонд оплати праці</w:t>
            </w:r>
          </w:p>
          <w:p w:rsidR="004967D8" w:rsidRDefault="004967D8">
            <w:pPr>
              <w:jc w:val="both"/>
              <w:rPr>
                <w:b/>
                <w:sz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4967D8" w:rsidRDefault="00E45392">
            <w:pPr>
              <w:jc w:val="center"/>
              <w:rPr>
                <w:sz w:val="24"/>
              </w:rPr>
            </w:pPr>
            <w:r>
              <w:rPr>
                <w:sz w:val="24"/>
              </w:rPr>
              <w:t>2 520 975,44</w:t>
            </w:r>
          </w:p>
        </w:tc>
        <w:tc>
          <w:tcPr>
            <w:tcW w:w="2407" w:type="dxa"/>
            <w:tcBorders>
              <w:top w:val="single" w:sz="4" w:space="0" w:color="auto"/>
              <w:left w:val="single" w:sz="4" w:space="0" w:color="auto"/>
              <w:bottom w:val="single" w:sz="4" w:space="0" w:color="auto"/>
              <w:right w:val="single" w:sz="4" w:space="0" w:color="auto"/>
            </w:tcBorders>
            <w:vAlign w:val="center"/>
          </w:tcPr>
          <w:p w:rsidR="004967D8" w:rsidRDefault="00E45392">
            <w:pPr>
              <w:jc w:val="center"/>
              <w:rPr>
                <w:sz w:val="24"/>
              </w:rPr>
            </w:pPr>
            <w:r>
              <w:rPr>
                <w:sz w:val="24"/>
              </w:rPr>
              <w:t>2 266 113, 58</w:t>
            </w:r>
          </w:p>
        </w:tc>
        <w:tc>
          <w:tcPr>
            <w:tcW w:w="2408" w:type="dxa"/>
            <w:tcBorders>
              <w:top w:val="single" w:sz="4" w:space="0" w:color="auto"/>
              <w:left w:val="single" w:sz="4" w:space="0" w:color="auto"/>
              <w:bottom w:val="single" w:sz="4" w:space="0" w:color="auto"/>
              <w:right w:val="single" w:sz="4" w:space="0" w:color="auto"/>
            </w:tcBorders>
            <w:vAlign w:val="center"/>
          </w:tcPr>
          <w:p w:rsidR="004967D8" w:rsidRDefault="00E45392">
            <w:pPr>
              <w:jc w:val="center"/>
              <w:rPr>
                <w:sz w:val="24"/>
              </w:rPr>
            </w:pPr>
            <w:r>
              <w:rPr>
                <w:sz w:val="24"/>
              </w:rPr>
              <w:t>2 993 252,36</w:t>
            </w:r>
          </w:p>
        </w:tc>
      </w:tr>
      <w:tr w:rsidR="004967D8">
        <w:tc>
          <w:tcPr>
            <w:tcW w:w="2407" w:type="dxa"/>
            <w:tcBorders>
              <w:top w:val="single" w:sz="4" w:space="0" w:color="auto"/>
              <w:left w:val="single" w:sz="4" w:space="0" w:color="auto"/>
              <w:bottom w:val="single" w:sz="4" w:space="0" w:color="auto"/>
              <w:right w:val="single" w:sz="4" w:space="0" w:color="auto"/>
            </w:tcBorders>
          </w:tcPr>
          <w:p w:rsidR="004967D8" w:rsidRDefault="004967D8">
            <w:pPr>
              <w:jc w:val="both"/>
              <w:rPr>
                <w:b/>
                <w:sz w:val="24"/>
              </w:rPr>
            </w:pPr>
          </w:p>
          <w:p w:rsidR="004967D8" w:rsidRDefault="00E45392">
            <w:pPr>
              <w:jc w:val="both"/>
              <w:rPr>
                <w:sz w:val="24"/>
              </w:rPr>
            </w:pPr>
            <w:r>
              <w:rPr>
                <w:sz w:val="24"/>
              </w:rPr>
              <w:t>В тому числі премія</w:t>
            </w:r>
          </w:p>
          <w:p w:rsidR="004967D8" w:rsidRDefault="004967D8">
            <w:pPr>
              <w:jc w:val="both"/>
              <w:rPr>
                <w:b/>
                <w:sz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4967D8" w:rsidRDefault="00E45392">
            <w:pPr>
              <w:jc w:val="center"/>
              <w:rPr>
                <w:sz w:val="24"/>
              </w:rPr>
            </w:pPr>
            <w:r>
              <w:rPr>
                <w:sz w:val="24"/>
              </w:rPr>
              <w:t>694 550,70</w:t>
            </w:r>
          </w:p>
        </w:tc>
        <w:tc>
          <w:tcPr>
            <w:tcW w:w="2407" w:type="dxa"/>
            <w:tcBorders>
              <w:top w:val="single" w:sz="4" w:space="0" w:color="auto"/>
              <w:left w:val="single" w:sz="4" w:space="0" w:color="auto"/>
              <w:bottom w:val="single" w:sz="4" w:space="0" w:color="auto"/>
              <w:right w:val="single" w:sz="4" w:space="0" w:color="auto"/>
            </w:tcBorders>
            <w:vAlign w:val="center"/>
          </w:tcPr>
          <w:p w:rsidR="004967D8" w:rsidRDefault="00E45392">
            <w:pPr>
              <w:jc w:val="center"/>
              <w:rPr>
                <w:sz w:val="24"/>
              </w:rPr>
            </w:pPr>
            <w:r>
              <w:rPr>
                <w:sz w:val="24"/>
              </w:rPr>
              <w:t>398 927,82</w:t>
            </w:r>
          </w:p>
        </w:tc>
        <w:tc>
          <w:tcPr>
            <w:tcW w:w="2408" w:type="dxa"/>
            <w:tcBorders>
              <w:top w:val="single" w:sz="4" w:space="0" w:color="auto"/>
              <w:left w:val="single" w:sz="4" w:space="0" w:color="auto"/>
              <w:bottom w:val="single" w:sz="4" w:space="0" w:color="auto"/>
              <w:right w:val="single" w:sz="4" w:space="0" w:color="auto"/>
            </w:tcBorders>
            <w:vAlign w:val="center"/>
          </w:tcPr>
          <w:p w:rsidR="004967D8" w:rsidRDefault="00E45392">
            <w:pPr>
              <w:jc w:val="center"/>
              <w:rPr>
                <w:sz w:val="24"/>
              </w:rPr>
            </w:pPr>
            <w:r>
              <w:rPr>
                <w:sz w:val="24"/>
              </w:rPr>
              <w:t>866 935,62</w:t>
            </w:r>
          </w:p>
        </w:tc>
      </w:tr>
    </w:tbl>
    <w:p w:rsidR="004967D8" w:rsidRDefault="004967D8">
      <w:pPr>
        <w:ind w:firstLine="708"/>
        <w:jc w:val="both"/>
        <w:rPr>
          <w:b/>
          <w:sz w:val="24"/>
        </w:rPr>
      </w:pPr>
    </w:p>
    <w:p w:rsidR="004967D8" w:rsidRDefault="00E45392">
      <w:pPr>
        <w:ind w:firstLine="709"/>
        <w:jc w:val="both"/>
        <w:rPr>
          <w:sz w:val="24"/>
        </w:rPr>
      </w:pPr>
      <w:r>
        <w:rPr>
          <w:sz w:val="24"/>
        </w:rPr>
        <w:t>Відділом державного архітектурно-будівельного контролю підготовлено позовну заяву щодо застосування заходів реагування, шляхом зупинення будівельних робіт, також позовну заяву про знесення самочинно збудованого об’єкта будівництва.</w:t>
      </w:r>
    </w:p>
    <w:p w:rsidR="004967D8" w:rsidRDefault="00E45392">
      <w:pPr>
        <w:ind w:firstLine="708"/>
        <w:jc w:val="both"/>
        <w:rPr>
          <w:sz w:val="24"/>
        </w:rPr>
      </w:pPr>
      <w:r>
        <w:rPr>
          <w:sz w:val="24"/>
        </w:rPr>
        <w:t>Окрім того, відділом ДАБК ТМР взято участь у 6 судових справах, провадження в яких відкрито протягом 2021-2022 рр.</w:t>
      </w:r>
    </w:p>
    <w:p w:rsidR="004967D8" w:rsidRDefault="004967D8">
      <w:pPr>
        <w:ind w:firstLine="709"/>
        <w:jc w:val="both"/>
        <w:rPr>
          <w:sz w:val="24"/>
        </w:rPr>
      </w:pPr>
    </w:p>
    <w:p w:rsidR="004967D8" w:rsidRDefault="00E45392">
      <w:pPr>
        <w:ind w:firstLine="709"/>
        <w:jc w:val="both"/>
        <w:rPr>
          <w:sz w:val="24"/>
        </w:rPr>
      </w:pPr>
      <w:r>
        <w:rPr>
          <w:sz w:val="24"/>
        </w:rPr>
        <w:t>Міський голова</w:t>
      </w:r>
      <w:r>
        <w:rPr>
          <w:sz w:val="24"/>
        </w:rPr>
        <w:tab/>
      </w:r>
      <w:r>
        <w:rPr>
          <w:sz w:val="24"/>
        </w:rPr>
        <w:tab/>
      </w:r>
      <w:r>
        <w:rPr>
          <w:sz w:val="24"/>
        </w:rPr>
        <w:tab/>
      </w:r>
      <w:r>
        <w:rPr>
          <w:sz w:val="24"/>
        </w:rPr>
        <w:tab/>
      </w:r>
      <w:r>
        <w:rPr>
          <w:sz w:val="24"/>
        </w:rPr>
        <w:tab/>
      </w:r>
      <w:r>
        <w:rPr>
          <w:sz w:val="24"/>
        </w:rPr>
        <w:tab/>
        <w:t xml:space="preserve"> Сергій НАДАЛ</w:t>
      </w:r>
    </w:p>
    <w:p w:rsidR="004967D8" w:rsidRDefault="004967D8">
      <w:pPr>
        <w:ind w:firstLine="709"/>
        <w:jc w:val="both"/>
        <w:rPr>
          <w:sz w:val="24"/>
        </w:rPr>
      </w:pPr>
    </w:p>
    <w:p w:rsidR="004967D8" w:rsidRDefault="004967D8">
      <w:pPr>
        <w:ind w:firstLine="709"/>
      </w:pPr>
    </w:p>
    <w:p w:rsidR="004967D8" w:rsidRDefault="004967D8">
      <w:pPr>
        <w:ind w:firstLine="709"/>
      </w:pPr>
    </w:p>
    <w:sectPr w:rsidR="004967D8" w:rsidSect="004967D8">
      <w:pgSz w:w="11906" w:h="16838"/>
      <w:pgMar w:top="850" w:right="850" w:bottom="850"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67D8"/>
    <w:rsid w:val="004967D8"/>
    <w:rsid w:val="005A01FA"/>
    <w:rsid w:val="008F6CAF"/>
    <w:rsid w:val="00E453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D8"/>
    <w:pPr>
      <w:spacing w:after="0" w:line="240" w:lineRule="auto"/>
    </w:pPr>
    <w:rPr>
      <w:rFonts w:ascii="Times New Roman" w:hAnsi="Times New Roman"/>
      <w:sz w:val="20"/>
      <w:szCs w:val="20"/>
      <w:lang w:eastAsia="en-GB"/>
    </w:rPr>
  </w:style>
  <w:style w:type="paragraph" w:styleId="2">
    <w:name w:val="heading 2"/>
    <w:basedOn w:val="a"/>
    <w:link w:val="20"/>
    <w:qFormat/>
    <w:rsid w:val="004967D8"/>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rsid w:val="004967D8"/>
    <w:pPr>
      <w:widowControl w:val="0"/>
      <w:shd w:val="clear" w:color="auto" w:fill="FFFFFF"/>
      <w:spacing w:line="340" w:lineRule="exact"/>
    </w:pPr>
    <w:rPr>
      <w:spacing w:val="14"/>
      <w:sz w:val="25"/>
      <w:szCs w:val="25"/>
      <w:lang w:eastAsia="en-US"/>
    </w:rPr>
  </w:style>
  <w:style w:type="paragraph" w:styleId="a4">
    <w:name w:val="Balloon Text"/>
    <w:basedOn w:val="a"/>
    <w:link w:val="a5"/>
    <w:semiHidden/>
    <w:rsid w:val="004967D8"/>
    <w:rPr>
      <w:rFonts w:ascii="Segoe UI" w:hAnsi="Segoe UI"/>
      <w:sz w:val="18"/>
      <w:szCs w:val="18"/>
    </w:rPr>
  </w:style>
  <w:style w:type="character" w:customStyle="1" w:styleId="LineNumber">
    <w:name w:val="Line Number"/>
    <w:basedOn w:val="a0"/>
    <w:semiHidden/>
    <w:rsid w:val="004967D8"/>
  </w:style>
  <w:style w:type="character" w:styleId="a6">
    <w:name w:val="Hyperlink"/>
    <w:semiHidden/>
    <w:rsid w:val="004967D8"/>
    <w:rPr>
      <w:color w:val="0000FF"/>
      <w:u w:val="single"/>
    </w:rPr>
  </w:style>
  <w:style w:type="character" w:customStyle="1" w:styleId="20">
    <w:name w:val="Заголовок 2 Знак"/>
    <w:basedOn w:val="a0"/>
    <w:link w:val="2"/>
    <w:rsid w:val="004967D8"/>
    <w:rPr>
      <w:rFonts w:ascii="Times New Roman" w:hAnsi="Times New Roman"/>
      <w:b/>
      <w:bCs/>
      <w:sz w:val="36"/>
      <w:szCs w:val="36"/>
      <w:lang w:eastAsia="uk-UA"/>
    </w:rPr>
  </w:style>
  <w:style w:type="character" w:customStyle="1" w:styleId="a7">
    <w:name w:val="Основной текст Знак"/>
    <w:basedOn w:val="a0"/>
    <w:semiHidden/>
    <w:rsid w:val="004967D8"/>
    <w:rPr>
      <w:rFonts w:ascii="Times New Roman" w:hAnsi="Times New Roman"/>
      <w:sz w:val="20"/>
      <w:szCs w:val="20"/>
      <w:lang w:eastAsia="en-GB"/>
    </w:rPr>
  </w:style>
  <w:style w:type="character" w:customStyle="1" w:styleId="1">
    <w:name w:val="Основной текст Знак1"/>
    <w:link w:val="a3"/>
    <w:semiHidden/>
    <w:rsid w:val="004967D8"/>
    <w:rPr>
      <w:rFonts w:ascii="Times New Roman" w:hAnsi="Times New Roman"/>
      <w:spacing w:val="14"/>
      <w:sz w:val="25"/>
      <w:szCs w:val="25"/>
      <w:shd w:val="clear" w:color="auto" w:fill="FFFFFF"/>
    </w:rPr>
  </w:style>
  <w:style w:type="character" w:customStyle="1" w:styleId="a5">
    <w:name w:val="Текст выноски Знак"/>
    <w:basedOn w:val="a0"/>
    <w:link w:val="a4"/>
    <w:semiHidden/>
    <w:rsid w:val="004967D8"/>
    <w:rPr>
      <w:rFonts w:ascii="Segoe UI" w:hAnsi="Segoe UI"/>
      <w:sz w:val="18"/>
      <w:szCs w:val="18"/>
      <w:lang w:eastAsia="en-GB"/>
    </w:rPr>
  </w:style>
  <w:style w:type="table" w:styleId="10">
    <w:name w:val="Table Simple 1"/>
    <w:basedOn w:val="a1"/>
    <w:rsid w:val="004967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496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64/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A9AF-297B-4CA0-946E-848AC093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3477</Words>
  <Characters>1982</Characters>
  <Application>Microsoft Office Word</Application>
  <DocSecurity>0</DocSecurity>
  <Lines>16</Lines>
  <Paragraphs>10</Paragraphs>
  <ScaleCrop>false</ScaleCrop>
  <Company>Reanimator Extreme Edition</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d27-Mukutovuch</dc:creator>
  <cp:lastModifiedBy>11</cp:lastModifiedBy>
  <cp:revision>2</cp:revision>
  <cp:lastPrinted>2022-11-24T07:59:00Z</cp:lastPrinted>
  <dcterms:created xsi:type="dcterms:W3CDTF">2022-12-19T08:29:00Z</dcterms:created>
  <dcterms:modified xsi:type="dcterms:W3CDTF">2022-12-19T08:29:00Z</dcterms:modified>
</cp:coreProperties>
</file>