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42" w:rsidRPr="00FB1F42" w:rsidRDefault="002D1D31" w:rsidP="00FB1F42">
      <w:pPr>
        <w:ind w:left="0" w:hanging="2"/>
        <w:jc w:val="center"/>
        <w:rPr>
          <w:b/>
        </w:rPr>
      </w:pPr>
      <w:r w:rsidRPr="00FB1F42">
        <w:rPr>
          <w:b/>
        </w:rPr>
        <w:t xml:space="preserve">АНАЛІЗ РЕГУЛЯТОРНОГО ВПЛИВУ </w:t>
      </w:r>
    </w:p>
    <w:p w:rsidR="00FB1F42" w:rsidRPr="00FB1F42" w:rsidRDefault="002D1D31" w:rsidP="00FB1F42">
      <w:pPr>
        <w:ind w:left="0" w:hanging="2"/>
        <w:jc w:val="center"/>
        <w:rPr>
          <w:b/>
        </w:rPr>
      </w:pPr>
      <w:r w:rsidRPr="00FB1F42">
        <w:rPr>
          <w:b/>
        </w:rPr>
        <w:t xml:space="preserve">проекту рішення виконавчого комітету </w:t>
      </w:r>
      <w:r w:rsidR="00FB1F42">
        <w:rPr>
          <w:b/>
        </w:rPr>
        <w:t>Тернопільської</w:t>
      </w:r>
      <w:r w:rsidRPr="00FB1F42">
        <w:rPr>
          <w:b/>
        </w:rPr>
        <w:t xml:space="preserve"> міської ради </w:t>
      </w:r>
    </w:p>
    <w:p w:rsidR="00CD75E7" w:rsidRPr="00CD75E7" w:rsidRDefault="0047526D" w:rsidP="00CD75E7">
      <w:pPr>
        <w:ind w:left="0" w:hanging="2"/>
        <w:jc w:val="center"/>
        <w:rPr>
          <w:b/>
        </w:rPr>
      </w:pPr>
      <w:r w:rsidRPr="00CD75E7">
        <w:rPr>
          <w:b/>
        </w:rPr>
        <w:t>«</w:t>
      </w:r>
      <w:r w:rsidR="00CD75E7" w:rsidRPr="00CD75E7">
        <w:rPr>
          <w:b/>
        </w:rPr>
        <w:t>Про внесення змін до рішення виконавчого комітету</w:t>
      </w:r>
      <w:r w:rsidR="00CD75E7" w:rsidRPr="00CD75E7">
        <w:rPr>
          <w:b/>
        </w:rPr>
        <w:t xml:space="preserve"> </w:t>
      </w:r>
      <w:r w:rsidR="00CD75E7" w:rsidRPr="00CD75E7">
        <w:rPr>
          <w:b/>
        </w:rPr>
        <w:t>міської ради від 16.11.2022 №1299</w:t>
      </w:r>
      <w:r w:rsidR="00CD75E7" w:rsidRPr="00CD75E7">
        <w:rPr>
          <w:b/>
        </w:rPr>
        <w:t xml:space="preserve"> </w:t>
      </w:r>
      <w:r w:rsidR="00CD75E7" w:rsidRPr="00CD75E7">
        <w:rPr>
          <w:b/>
        </w:rPr>
        <w:t>«Про затвердження Положення про розміщення та облаштування сезонних об’єктів сфери торгівлі, послуг, відпочинку та розваг на території Тернопільської міської територіальної громади (крім парків)»</w:t>
      </w:r>
    </w:p>
    <w:p w:rsidR="00FB1F42" w:rsidRDefault="00FB1F42" w:rsidP="00CD75E7">
      <w:pPr>
        <w:ind w:left="0" w:hanging="2"/>
        <w:rPr>
          <w:b/>
          <w:shd w:val="clear" w:color="auto" w:fill="FFFFFF"/>
        </w:rPr>
      </w:pPr>
    </w:p>
    <w:p w:rsidR="00FB1F42" w:rsidRPr="00487757" w:rsidRDefault="00FB1F42" w:rsidP="005115D4">
      <w:pPr>
        <w:ind w:left="0" w:hanging="2"/>
        <w:jc w:val="both"/>
        <w:rPr>
          <w:b/>
          <w:shd w:val="clear" w:color="auto" w:fill="FFFFFF"/>
        </w:rPr>
      </w:pPr>
    </w:p>
    <w:p w:rsidR="00FB1F42" w:rsidRDefault="002D1D31" w:rsidP="005115D4">
      <w:pPr>
        <w:pStyle w:val="a3"/>
        <w:numPr>
          <w:ilvl w:val="0"/>
          <w:numId w:val="1"/>
        </w:numPr>
        <w:ind w:leftChars="0" w:firstLineChars="0"/>
        <w:jc w:val="both"/>
      </w:pPr>
      <w:r w:rsidRPr="00FB1F42">
        <w:t>Визначення проблеми, яку передбачається розв’язати шляхом регулювання</w:t>
      </w:r>
      <w:r w:rsidR="00FB1F42">
        <w:t>.</w:t>
      </w:r>
    </w:p>
    <w:p w:rsidR="00FB1F42" w:rsidRDefault="002D1D31" w:rsidP="005115D4">
      <w:pPr>
        <w:ind w:leftChars="0" w:left="58" w:firstLineChars="0" w:firstLine="360"/>
        <w:jc w:val="both"/>
      </w:pPr>
      <w:r w:rsidRPr="00FB1F42">
        <w:t xml:space="preserve">На даний час актуальним є питання врегулювання розміщення та облаштування </w:t>
      </w:r>
      <w:r w:rsidR="00FB1F42">
        <w:t>сезонних об’єктів сфери торгівлі, послуг, відпочинку та розваг</w:t>
      </w:r>
      <w:r w:rsidRPr="00FB1F42">
        <w:t xml:space="preserve"> з врахуванням архітектурних, санітарно-гігієнічних, пожежних, торговельних норм, функціонально</w:t>
      </w:r>
      <w:r w:rsidR="00FB1F42">
        <w:t>-</w:t>
      </w:r>
      <w:r w:rsidRPr="00FB1F42">
        <w:t xml:space="preserve">планувальних, історико-культурних чинників та правил благоустрою м. </w:t>
      </w:r>
      <w:r w:rsidR="00FB1F42">
        <w:t>Тернополя</w:t>
      </w:r>
      <w:r w:rsidRPr="00FB1F42">
        <w:t>. Проект рішення підготовлено відповідно до законів України «Про місц</w:t>
      </w:r>
      <w:r w:rsidR="00FB1F42">
        <w:t>еве самоврядування в Україні</w:t>
      </w:r>
      <w:r w:rsidRPr="00FB1F42">
        <w:t>», «Про захист прав споживачів», «Про благоустрій населених пунктів», «Про забезпечення санітарного та епідемічного благополуччя населення», «Про пожежну безпеку», постанов Кабінету Міністрів України від 15.06.2006р. №833 «Про затвердження Порядку провадження торговельної діяльності та правил торговельного обслуговування на ринку с</w:t>
      </w:r>
      <w:r w:rsidR="00FB1F42">
        <w:t xml:space="preserve">поживчих товарів», </w:t>
      </w:r>
      <w:r w:rsidRPr="00FB1F42">
        <w:t xml:space="preserve">інших нормативно-правових актів, які регулюють торговельну діяльність. Вказана проблема не може бути вирішена за допомогою ринкових механізмів. </w:t>
      </w:r>
    </w:p>
    <w:p w:rsidR="00FB1F42" w:rsidRDefault="00FB1F42" w:rsidP="005115D4">
      <w:pPr>
        <w:ind w:leftChars="0" w:left="58" w:firstLineChars="0" w:firstLine="0"/>
        <w:jc w:val="both"/>
      </w:pPr>
    </w:p>
    <w:p w:rsidR="00FB1F42" w:rsidRDefault="002D1D31" w:rsidP="005115D4">
      <w:pPr>
        <w:pStyle w:val="a3"/>
        <w:numPr>
          <w:ilvl w:val="0"/>
          <w:numId w:val="1"/>
        </w:numPr>
        <w:ind w:leftChars="0" w:firstLineChars="0"/>
        <w:jc w:val="both"/>
      </w:pPr>
      <w:r w:rsidRPr="00FB1F42">
        <w:t>Цілі регулювання</w:t>
      </w:r>
      <w:r w:rsidR="00FB1F42">
        <w:t>.</w:t>
      </w:r>
    </w:p>
    <w:p w:rsidR="00FB1F42" w:rsidRDefault="002D1D31" w:rsidP="0047526D">
      <w:pPr>
        <w:ind w:leftChars="0" w:left="58" w:firstLineChars="0" w:firstLine="360"/>
        <w:jc w:val="both"/>
      </w:pPr>
      <w:r w:rsidRPr="00FB1F42">
        <w:t xml:space="preserve">Основною метою запропонованого проекту рішення є </w:t>
      </w:r>
      <w:r w:rsidR="0047526D" w:rsidRPr="0047526D">
        <w:t>у</w:t>
      </w:r>
      <w:r w:rsidR="0047526D" w:rsidRPr="0047526D">
        <w:t>досконалення процедури надання неадміністративної послуги</w:t>
      </w:r>
      <w:r w:rsidR="0047526D">
        <w:t>.</w:t>
      </w:r>
    </w:p>
    <w:p w:rsidR="00FB1F42" w:rsidRDefault="00FB1F42" w:rsidP="005115D4">
      <w:pPr>
        <w:ind w:leftChars="0" w:left="58" w:firstLineChars="0" w:firstLine="0"/>
        <w:jc w:val="both"/>
      </w:pPr>
    </w:p>
    <w:p w:rsidR="00FB1F42" w:rsidRDefault="002D1D31" w:rsidP="005115D4">
      <w:pPr>
        <w:pStyle w:val="a3"/>
        <w:numPr>
          <w:ilvl w:val="0"/>
          <w:numId w:val="1"/>
        </w:numPr>
        <w:ind w:leftChars="0" w:firstLineChars="0"/>
        <w:jc w:val="both"/>
      </w:pPr>
      <w:r w:rsidRPr="00FB1F42">
        <w:t>Визначення та оцінка альтернативних способів досягнення встановлених цілей</w:t>
      </w:r>
      <w:r w:rsidR="00FB1F42">
        <w:t>.</w:t>
      </w:r>
      <w:r w:rsidRPr="00FB1F42">
        <w:t xml:space="preserve"> </w:t>
      </w:r>
    </w:p>
    <w:p w:rsidR="00FB1F42" w:rsidRDefault="00FB1F42" w:rsidP="00FB1F42">
      <w:pPr>
        <w:ind w:leftChars="0" w:left="58" w:firstLineChars="0" w:firstLine="0"/>
      </w:pPr>
    </w:p>
    <w:tbl>
      <w:tblPr>
        <w:tblStyle w:val="a4"/>
        <w:tblW w:w="0" w:type="auto"/>
        <w:tblInd w:w="58" w:type="dxa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FB1F42" w:rsidTr="00FB1F42">
        <w:tc>
          <w:tcPr>
            <w:tcW w:w="3115" w:type="dxa"/>
          </w:tcPr>
          <w:p w:rsidR="00FB1F42" w:rsidRDefault="00FB1F42" w:rsidP="00FB1F42">
            <w:pPr>
              <w:ind w:leftChars="0" w:left="0" w:firstLineChars="0" w:firstLine="0"/>
            </w:pPr>
            <w:r w:rsidRPr="00FB1F42">
              <w:t>Альтернативи</w:t>
            </w:r>
          </w:p>
        </w:tc>
        <w:tc>
          <w:tcPr>
            <w:tcW w:w="3115" w:type="dxa"/>
          </w:tcPr>
          <w:p w:rsidR="00FB1F42" w:rsidRDefault="00FB1F42" w:rsidP="00FB1F42">
            <w:pPr>
              <w:ind w:leftChars="0" w:left="0" w:firstLineChars="0" w:firstLine="0"/>
            </w:pPr>
            <w:r w:rsidRPr="00FB1F42">
              <w:t>Переваги</w:t>
            </w:r>
          </w:p>
        </w:tc>
        <w:tc>
          <w:tcPr>
            <w:tcW w:w="3115" w:type="dxa"/>
          </w:tcPr>
          <w:p w:rsidR="00FB1F42" w:rsidRDefault="00FB1F42" w:rsidP="00FB1F42">
            <w:pPr>
              <w:ind w:leftChars="0" w:left="0" w:firstLineChars="0" w:firstLine="0"/>
            </w:pPr>
            <w:r w:rsidRPr="00FB1F42">
              <w:t>Недоліки</w:t>
            </w:r>
          </w:p>
        </w:tc>
      </w:tr>
      <w:tr w:rsidR="00FB1F42" w:rsidTr="00FB1F42">
        <w:tc>
          <w:tcPr>
            <w:tcW w:w="3115" w:type="dxa"/>
          </w:tcPr>
          <w:p w:rsidR="00FB1F42" w:rsidRDefault="00FB1F42" w:rsidP="00FB1F42">
            <w:pPr>
              <w:ind w:leftChars="0" w:left="0" w:firstLineChars="0" w:firstLine="0"/>
            </w:pPr>
            <w:r w:rsidRPr="00FB1F42">
              <w:t>залишення усього без змін</w:t>
            </w:r>
          </w:p>
        </w:tc>
        <w:tc>
          <w:tcPr>
            <w:tcW w:w="3115" w:type="dxa"/>
          </w:tcPr>
          <w:p w:rsidR="00FB1F42" w:rsidRDefault="00FB1F42" w:rsidP="00FB1F42">
            <w:pPr>
              <w:ind w:leftChars="0" w:left="0" w:firstLineChars="0" w:firstLine="0"/>
            </w:pPr>
            <w:r w:rsidRPr="00FB1F42">
              <w:t>відсутні</w:t>
            </w:r>
          </w:p>
        </w:tc>
        <w:tc>
          <w:tcPr>
            <w:tcW w:w="3115" w:type="dxa"/>
          </w:tcPr>
          <w:p w:rsidR="00FB1F42" w:rsidRDefault="00FB1F42" w:rsidP="00FB1F42">
            <w:pPr>
              <w:ind w:leftChars="0" w:left="0" w:firstLineChars="0" w:firstLine="0"/>
            </w:pPr>
            <w:r w:rsidRPr="00FB1F42">
              <w:t xml:space="preserve">недосконалість впорядкування розміщення та облаштування </w:t>
            </w:r>
            <w:r>
              <w:t>сезонних об’єктів сфери торгівлі, послуг, відпочинку та розваг</w:t>
            </w:r>
          </w:p>
        </w:tc>
      </w:tr>
      <w:tr w:rsidR="00FB1F42" w:rsidTr="00FB1F42">
        <w:tc>
          <w:tcPr>
            <w:tcW w:w="3115" w:type="dxa"/>
          </w:tcPr>
          <w:p w:rsidR="00FB1F42" w:rsidRDefault="00FB1F42" w:rsidP="00FB1F42">
            <w:pPr>
              <w:ind w:leftChars="0" w:left="0" w:firstLineChars="0" w:firstLine="0"/>
            </w:pPr>
            <w:r w:rsidRPr="00FB1F42">
              <w:t>обраний спосіб регулювання</w:t>
            </w:r>
          </w:p>
        </w:tc>
        <w:tc>
          <w:tcPr>
            <w:tcW w:w="3115" w:type="dxa"/>
          </w:tcPr>
          <w:p w:rsidR="00FB1F42" w:rsidRDefault="00FB1F42" w:rsidP="00FB1F42">
            <w:pPr>
              <w:ind w:leftChars="0" w:left="0" w:firstLineChars="0" w:firstLine="0"/>
            </w:pPr>
            <w:r w:rsidRPr="00FB1F42">
              <w:t xml:space="preserve">впорядкування розміщення та облаштування </w:t>
            </w:r>
            <w:r>
              <w:t>сезонних об’єктів сфери торгівлі, послуг, відпочинку та розваг</w:t>
            </w:r>
          </w:p>
        </w:tc>
        <w:tc>
          <w:tcPr>
            <w:tcW w:w="3115" w:type="dxa"/>
          </w:tcPr>
          <w:p w:rsidR="00FB1F42" w:rsidRDefault="00FB1F42" w:rsidP="00FB1F42">
            <w:pPr>
              <w:pStyle w:val="a3"/>
              <w:ind w:leftChars="0" w:left="418" w:firstLineChars="0" w:firstLine="0"/>
            </w:pPr>
            <w:r w:rsidRPr="00FB1F42">
              <w:t xml:space="preserve">відсутні </w:t>
            </w:r>
          </w:p>
          <w:p w:rsidR="00FB1F42" w:rsidRDefault="00FB1F42" w:rsidP="00FB1F42">
            <w:pPr>
              <w:ind w:leftChars="0" w:left="0" w:firstLineChars="0" w:firstLine="0"/>
            </w:pPr>
          </w:p>
        </w:tc>
      </w:tr>
    </w:tbl>
    <w:p w:rsidR="00FB1F42" w:rsidRDefault="00FB1F42" w:rsidP="005115D4">
      <w:pPr>
        <w:pStyle w:val="a3"/>
        <w:ind w:leftChars="0" w:left="418" w:firstLineChars="0" w:firstLine="0"/>
        <w:jc w:val="both"/>
      </w:pPr>
    </w:p>
    <w:p w:rsidR="00FB1F42" w:rsidRDefault="002D1D31" w:rsidP="005115D4">
      <w:pPr>
        <w:pStyle w:val="a3"/>
        <w:numPr>
          <w:ilvl w:val="0"/>
          <w:numId w:val="1"/>
        </w:numPr>
        <w:ind w:leftChars="0" w:firstLineChars="0"/>
        <w:jc w:val="both"/>
      </w:pPr>
      <w:r w:rsidRPr="00FB1F42">
        <w:t>Механізм та заходи, що пропонуються для розв’язання проблеми</w:t>
      </w:r>
      <w:r w:rsidR="00FB1F42">
        <w:t>.</w:t>
      </w:r>
    </w:p>
    <w:p w:rsidR="00A652F5" w:rsidRPr="00A652F5" w:rsidRDefault="002D1D31" w:rsidP="00A652F5">
      <w:pPr>
        <w:ind w:leftChars="0" w:left="0" w:firstLineChars="0" w:firstLine="418"/>
        <w:jc w:val="both"/>
      </w:pPr>
      <w:r w:rsidRPr="00A652F5">
        <w:t xml:space="preserve">Для розв’язання проблеми пропонується прийняти рішення виконавчого комітету міської ради </w:t>
      </w:r>
      <w:r w:rsidR="00A652F5" w:rsidRPr="00A652F5">
        <w:t>«Про внесення змін до рішення виконавчого комітету міської ради від 16.11.2022 №1299 «Про затвердження Положення про розміщення та облаштування сезонних об’єктів сфери торгівлі, послуг, відпочинку та розваг на території Тернопільської міської територіальної громади (крім парків)»</w:t>
      </w:r>
      <w:r w:rsidR="00A652F5">
        <w:t>.</w:t>
      </w:r>
    </w:p>
    <w:p w:rsidR="00FB1F42" w:rsidRDefault="00FB1F42" w:rsidP="00A652F5">
      <w:pPr>
        <w:ind w:leftChars="0" w:left="0" w:firstLineChars="0" w:firstLine="0"/>
        <w:jc w:val="both"/>
      </w:pPr>
      <w:bookmarkStart w:id="0" w:name="_GoBack"/>
      <w:bookmarkEnd w:id="0"/>
    </w:p>
    <w:p w:rsidR="00D01353" w:rsidRDefault="002D1D31" w:rsidP="005115D4">
      <w:pPr>
        <w:pStyle w:val="a3"/>
        <w:numPr>
          <w:ilvl w:val="0"/>
          <w:numId w:val="1"/>
        </w:numPr>
        <w:ind w:leftChars="0" w:firstLineChars="0"/>
        <w:jc w:val="both"/>
      </w:pPr>
      <w:r w:rsidRPr="00FB1F42">
        <w:t>Можливість досягнення визначених цілей у разі прийняття регуляторного акту</w:t>
      </w:r>
      <w:r w:rsidR="00D01353">
        <w:t>.</w:t>
      </w:r>
    </w:p>
    <w:p w:rsidR="00FB1F42" w:rsidRDefault="002D1D31" w:rsidP="005115D4">
      <w:pPr>
        <w:ind w:leftChars="0" w:left="58" w:firstLineChars="0" w:firstLine="360"/>
        <w:jc w:val="both"/>
      </w:pPr>
      <w:r w:rsidRPr="00FB1F42">
        <w:t xml:space="preserve">Цілі можуть бути досягнуті, оскільки проектом рішення чітко вказано вимоги до розміщення та облаштування </w:t>
      </w:r>
      <w:r w:rsidR="00D01353">
        <w:t>сезонних об’єктів сфери торгівлі, послуг, відпочинку та розваг</w:t>
      </w:r>
      <w:r w:rsidRPr="00FB1F42">
        <w:t xml:space="preserve">, визначений порядок отримання необхідних документів для розміщення </w:t>
      </w:r>
      <w:r w:rsidR="00D01353">
        <w:t>сезонних об’єктів сфери торгівлі, послуг, відпочинку та розваг</w:t>
      </w:r>
      <w:r w:rsidRPr="00FB1F42">
        <w:t xml:space="preserve">, порядок отримання та умови втрати чинності погодження на розміщення. </w:t>
      </w:r>
    </w:p>
    <w:p w:rsidR="00FB1F42" w:rsidRDefault="00FB1F42" w:rsidP="005115D4">
      <w:pPr>
        <w:ind w:leftChars="0" w:left="58" w:firstLineChars="0" w:firstLine="0"/>
        <w:jc w:val="both"/>
      </w:pPr>
    </w:p>
    <w:p w:rsidR="00D01353" w:rsidRDefault="002D1D31" w:rsidP="005115D4">
      <w:pPr>
        <w:pStyle w:val="a3"/>
        <w:numPr>
          <w:ilvl w:val="0"/>
          <w:numId w:val="1"/>
        </w:numPr>
        <w:ind w:leftChars="0" w:firstLineChars="0"/>
        <w:jc w:val="both"/>
      </w:pPr>
      <w:r w:rsidRPr="00FB1F42">
        <w:lastRenderedPageBreak/>
        <w:t xml:space="preserve">Очікувані результати </w:t>
      </w:r>
      <w:r w:rsidR="00D01353">
        <w:t xml:space="preserve">від прийняття регуляторного </w:t>
      </w:r>
      <w:proofErr w:type="spellStart"/>
      <w:r w:rsidR="00D01353">
        <w:t>акта</w:t>
      </w:r>
      <w:proofErr w:type="spellEnd"/>
      <w:r w:rsidRPr="00FB1F42">
        <w:t>.</w:t>
      </w:r>
      <w:r w:rsidR="00D01353">
        <w:t xml:space="preserve"> </w:t>
      </w:r>
      <w:r w:rsidR="00D01353" w:rsidRPr="00FB1F42">
        <w:t xml:space="preserve">Аналіз </w:t>
      </w:r>
      <w:proofErr w:type="spellStart"/>
      <w:r w:rsidR="00D01353" w:rsidRPr="00FB1F42">
        <w:t>вигод</w:t>
      </w:r>
      <w:proofErr w:type="spellEnd"/>
      <w:r w:rsidR="00D01353" w:rsidRPr="00FB1F42">
        <w:t xml:space="preserve"> та витрат</w:t>
      </w:r>
      <w:r w:rsidR="00D01353">
        <w:t>.</w:t>
      </w:r>
    </w:p>
    <w:p w:rsidR="00D01353" w:rsidRDefault="00D01353" w:rsidP="00D01353">
      <w:pPr>
        <w:ind w:leftChars="0" w:left="0" w:firstLineChars="0"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01353" w:rsidTr="00D01353">
        <w:tc>
          <w:tcPr>
            <w:tcW w:w="3115" w:type="dxa"/>
          </w:tcPr>
          <w:p w:rsidR="00D01353" w:rsidRDefault="00D01353" w:rsidP="00D01353">
            <w:pPr>
              <w:ind w:leftChars="0" w:left="0" w:firstLineChars="0" w:firstLine="0"/>
            </w:pPr>
            <w:r w:rsidRPr="00FB1F42">
              <w:t>Базові групи інтересів</w:t>
            </w:r>
          </w:p>
        </w:tc>
        <w:tc>
          <w:tcPr>
            <w:tcW w:w="3115" w:type="dxa"/>
          </w:tcPr>
          <w:p w:rsidR="00D01353" w:rsidRDefault="00D01353" w:rsidP="00D01353">
            <w:pPr>
              <w:ind w:leftChars="0" w:left="0" w:firstLineChars="0" w:firstLine="0"/>
            </w:pPr>
            <w:r w:rsidRPr="00FB1F42">
              <w:t>Вигоди</w:t>
            </w:r>
          </w:p>
        </w:tc>
        <w:tc>
          <w:tcPr>
            <w:tcW w:w="3115" w:type="dxa"/>
          </w:tcPr>
          <w:p w:rsidR="00D01353" w:rsidRDefault="00D01353" w:rsidP="00D01353">
            <w:pPr>
              <w:ind w:leftChars="0" w:left="0" w:firstLineChars="0" w:firstLine="0"/>
            </w:pPr>
            <w:r w:rsidRPr="00FB1F42">
              <w:t>Витрати</w:t>
            </w:r>
          </w:p>
        </w:tc>
      </w:tr>
      <w:tr w:rsidR="00D01353" w:rsidTr="00D01353">
        <w:tc>
          <w:tcPr>
            <w:tcW w:w="3115" w:type="dxa"/>
          </w:tcPr>
          <w:p w:rsidR="00D01353" w:rsidRDefault="00D01353" w:rsidP="00D01353">
            <w:pPr>
              <w:ind w:leftChars="0" w:left="0" w:firstLineChars="0" w:firstLine="0"/>
            </w:pPr>
            <w:r w:rsidRPr="00FB1F42">
              <w:t>місцева влада</w:t>
            </w:r>
          </w:p>
        </w:tc>
        <w:tc>
          <w:tcPr>
            <w:tcW w:w="3115" w:type="dxa"/>
          </w:tcPr>
          <w:p w:rsidR="00D01353" w:rsidRDefault="00D01353" w:rsidP="00D01353">
            <w:pPr>
              <w:ind w:leftChars="0" w:left="0" w:firstLineChars="0" w:firstLine="0"/>
            </w:pPr>
            <w:r w:rsidRPr="00FB1F42">
              <w:t xml:space="preserve">- впорядкування розміщення та облаштування </w:t>
            </w:r>
            <w:r>
              <w:t>сезонних об’єктів сфери торгівлі, послуг, відпочинку та розваг;</w:t>
            </w:r>
          </w:p>
          <w:p w:rsidR="00D01353" w:rsidRDefault="00D01353" w:rsidP="00D01353">
            <w:pPr>
              <w:ind w:leftChars="0" w:left="0" w:firstLineChars="0" w:firstLine="0"/>
            </w:pPr>
            <w:r w:rsidRPr="00FB1F42">
              <w:t xml:space="preserve">- забезпечення надходжень до міського бюджету; </w:t>
            </w:r>
          </w:p>
          <w:p w:rsidR="00D01353" w:rsidRDefault="00D01353" w:rsidP="00D01353">
            <w:pPr>
              <w:ind w:leftChars="0" w:left="0" w:firstLineChars="0" w:firstLine="0"/>
            </w:pPr>
            <w:r w:rsidRPr="00FB1F42">
              <w:t xml:space="preserve">- врегулювання спірних питань </w:t>
            </w:r>
          </w:p>
        </w:tc>
        <w:tc>
          <w:tcPr>
            <w:tcW w:w="3115" w:type="dxa"/>
          </w:tcPr>
          <w:p w:rsidR="00D01353" w:rsidRDefault="00D01353" w:rsidP="00D01353">
            <w:pPr>
              <w:ind w:leftChars="0" w:left="0" w:firstLineChars="0" w:firstLine="0"/>
            </w:pPr>
            <w:r w:rsidRPr="00FB1F42">
              <w:t>відсутні</w:t>
            </w:r>
          </w:p>
        </w:tc>
      </w:tr>
      <w:tr w:rsidR="00D01353" w:rsidTr="00D01353">
        <w:tc>
          <w:tcPr>
            <w:tcW w:w="3115" w:type="dxa"/>
          </w:tcPr>
          <w:p w:rsidR="00D01353" w:rsidRDefault="00D01353" w:rsidP="00D01353">
            <w:pPr>
              <w:ind w:leftChars="0" w:left="0" w:firstLineChars="0" w:firstLine="0"/>
            </w:pPr>
            <w:r w:rsidRPr="00FB1F42">
              <w:t>суб`єкти підприємницької діяльності</w:t>
            </w:r>
          </w:p>
        </w:tc>
        <w:tc>
          <w:tcPr>
            <w:tcW w:w="3115" w:type="dxa"/>
          </w:tcPr>
          <w:p w:rsidR="00D01353" w:rsidRDefault="00D01353" w:rsidP="00D01353">
            <w:pPr>
              <w:ind w:leftChars="0" w:left="0" w:firstLineChars="0" w:firstLine="0"/>
            </w:pPr>
            <w:r w:rsidRPr="00FB1F42">
              <w:t xml:space="preserve">- наявність чітких вимог до розміщення та механізму отримання документів, необхідних для розміщення та облаштування </w:t>
            </w:r>
            <w:r>
              <w:t>сезонних об’єктів сфери торгівлі, послуг, відпочинку та розваг</w:t>
            </w:r>
          </w:p>
        </w:tc>
        <w:tc>
          <w:tcPr>
            <w:tcW w:w="3115" w:type="dxa"/>
          </w:tcPr>
          <w:p w:rsidR="00D01353" w:rsidRDefault="005115D4" w:rsidP="005115D4">
            <w:pPr>
              <w:ind w:leftChars="0" w:left="0" w:firstLineChars="0" w:firstLine="0"/>
            </w:pPr>
            <w:r>
              <w:t>укладання договору</w:t>
            </w:r>
            <w:r w:rsidRPr="00F1672B">
              <w:t xml:space="preserve"> про встановлення особистого строкового сервітуту </w:t>
            </w:r>
          </w:p>
        </w:tc>
      </w:tr>
      <w:tr w:rsidR="00D01353" w:rsidTr="00D01353">
        <w:tc>
          <w:tcPr>
            <w:tcW w:w="3115" w:type="dxa"/>
          </w:tcPr>
          <w:p w:rsidR="00D01353" w:rsidRDefault="00D01353" w:rsidP="00D01353">
            <w:pPr>
              <w:ind w:leftChars="0" w:left="0" w:firstLineChars="0" w:firstLine="0"/>
            </w:pPr>
            <w:r w:rsidRPr="00FB1F42">
              <w:t>населення</w:t>
            </w:r>
          </w:p>
        </w:tc>
        <w:tc>
          <w:tcPr>
            <w:tcW w:w="3115" w:type="dxa"/>
          </w:tcPr>
          <w:p w:rsidR="00D01353" w:rsidRDefault="00D01353" w:rsidP="00D01353">
            <w:pPr>
              <w:ind w:leftChars="0" w:left="0" w:firstLineChars="0" w:firstLine="0"/>
            </w:pPr>
            <w:r w:rsidRPr="00FB1F42">
              <w:t xml:space="preserve">- надання якісних послуг; </w:t>
            </w:r>
          </w:p>
          <w:p w:rsidR="00D01353" w:rsidRDefault="00D01353" w:rsidP="00D01353">
            <w:pPr>
              <w:ind w:leftChars="0" w:left="0" w:firstLineChars="0" w:firstLine="0"/>
            </w:pPr>
            <w:r w:rsidRPr="00FB1F42">
              <w:t>- упорядковане міське середовище</w:t>
            </w:r>
          </w:p>
        </w:tc>
        <w:tc>
          <w:tcPr>
            <w:tcW w:w="3115" w:type="dxa"/>
          </w:tcPr>
          <w:p w:rsidR="00D01353" w:rsidRDefault="00D01353" w:rsidP="00D01353">
            <w:pPr>
              <w:ind w:leftChars="0" w:left="0" w:firstLineChars="0" w:firstLine="0"/>
            </w:pPr>
            <w:r w:rsidRPr="00FB1F42">
              <w:t xml:space="preserve">відсутні </w:t>
            </w:r>
          </w:p>
          <w:p w:rsidR="00D01353" w:rsidRDefault="00D01353" w:rsidP="00D01353">
            <w:pPr>
              <w:ind w:leftChars="0" w:left="0" w:firstLineChars="0" w:firstLine="0"/>
            </w:pPr>
          </w:p>
        </w:tc>
      </w:tr>
    </w:tbl>
    <w:p w:rsidR="00FB1F42" w:rsidRDefault="002D1D31" w:rsidP="005115D4">
      <w:pPr>
        <w:ind w:leftChars="0" w:left="0" w:firstLineChars="0" w:firstLine="0"/>
        <w:jc w:val="both"/>
      </w:pPr>
      <w:r w:rsidRPr="00FB1F42">
        <w:t xml:space="preserve"> </w:t>
      </w:r>
    </w:p>
    <w:p w:rsidR="00D01353" w:rsidRDefault="00D01353" w:rsidP="005115D4">
      <w:pPr>
        <w:pStyle w:val="a3"/>
        <w:numPr>
          <w:ilvl w:val="0"/>
          <w:numId w:val="1"/>
        </w:numPr>
        <w:ind w:leftChars="0" w:firstLineChars="0"/>
        <w:jc w:val="both"/>
      </w:pPr>
      <w:r>
        <w:t xml:space="preserve">Строк дії регуляторного </w:t>
      </w:r>
      <w:proofErr w:type="spellStart"/>
      <w:r>
        <w:t>акта</w:t>
      </w:r>
      <w:proofErr w:type="spellEnd"/>
      <w:r>
        <w:t>.</w:t>
      </w:r>
    </w:p>
    <w:p w:rsidR="00FB1F42" w:rsidRDefault="002D1D31" w:rsidP="005115D4">
      <w:pPr>
        <w:ind w:leftChars="0" w:left="58" w:firstLineChars="0" w:firstLine="360"/>
        <w:jc w:val="both"/>
      </w:pPr>
      <w:r w:rsidRPr="00FB1F42">
        <w:t xml:space="preserve">Строк дії пропонується не обмежувати в часі. </w:t>
      </w:r>
    </w:p>
    <w:p w:rsidR="00FB1F42" w:rsidRDefault="00FB1F42" w:rsidP="005115D4">
      <w:pPr>
        <w:ind w:leftChars="0" w:left="58" w:firstLineChars="0" w:firstLine="0"/>
        <w:jc w:val="both"/>
      </w:pPr>
    </w:p>
    <w:p w:rsidR="005115D4" w:rsidRDefault="002D1D31" w:rsidP="005115D4">
      <w:pPr>
        <w:pStyle w:val="a3"/>
        <w:numPr>
          <w:ilvl w:val="0"/>
          <w:numId w:val="1"/>
        </w:numPr>
        <w:ind w:leftChars="0" w:firstLineChars="0"/>
        <w:jc w:val="both"/>
      </w:pPr>
      <w:r w:rsidRPr="00FB1F42">
        <w:t>Показники рез</w:t>
      </w:r>
      <w:r w:rsidR="005115D4">
        <w:t xml:space="preserve">ультативності регуляторного </w:t>
      </w:r>
      <w:proofErr w:type="spellStart"/>
      <w:r w:rsidR="005115D4">
        <w:t>акта</w:t>
      </w:r>
      <w:proofErr w:type="spellEnd"/>
      <w:r w:rsidR="005115D4">
        <w:t>.</w:t>
      </w:r>
    </w:p>
    <w:p w:rsidR="005115D4" w:rsidRDefault="002D1D31" w:rsidP="005115D4">
      <w:pPr>
        <w:ind w:leftChars="0" w:left="58" w:firstLineChars="0" w:firstLine="360"/>
        <w:jc w:val="both"/>
      </w:pPr>
      <w:r w:rsidRPr="00FB1F42">
        <w:t xml:space="preserve">Відстеження результативності дії зазначеного регуляторного </w:t>
      </w:r>
      <w:proofErr w:type="spellStart"/>
      <w:r w:rsidRPr="00FB1F42">
        <w:t>акта</w:t>
      </w:r>
      <w:proofErr w:type="spellEnd"/>
      <w:r w:rsidRPr="00FB1F42">
        <w:t xml:space="preserve"> передбачається за наступними критеріями: </w:t>
      </w:r>
    </w:p>
    <w:p w:rsidR="005115D4" w:rsidRDefault="002D1D31" w:rsidP="005115D4">
      <w:pPr>
        <w:ind w:leftChars="0" w:left="58" w:firstLineChars="0" w:firstLine="360"/>
        <w:jc w:val="both"/>
      </w:pPr>
      <w:r w:rsidRPr="00FB1F42">
        <w:t xml:space="preserve">1. Кількість суб’єктів господарювання, які подали заяви на розміщення та облаштування </w:t>
      </w:r>
      <w:r w:rsidR="005115D4">
        <w:t>сезонних об’єктів сфери торгівлі, послуг, відпочинку та розваг</w:t>
      </w:r>
      <w:r w:rsidRPr="00FB1F42">
        <w:t xml:space="preserve">. </w:t>
      </w:r>
    </w:p>
    <w:p w:rsidR="005115D4" w:rsidRDefault="002D1D31" w:rsidP="005115D4">
      <w:pPr>
        <w:ind w:leftChars="0" w:left="58" w:firstLineChars="0" w:firstLine="360"/>
        <w:jc w:val="both"/>
      </w:pPr>
      <w:r w:rsidRPr="00FB1F42">
        <w:t xml:space="preserve">2. Кількість розміщених </w:t>
      </w:r>
      <w:r w:rsidR="005115D4">
        <w:t>сезонних об’єктів сфери торгівлі, послуг, відпочинку та розваг</w:t>
      </w:r>
      <w:r w:rsidRPr="00FB1F42">
        <w:t xml:space="preserve">. </w:t>
      </w:r>
    </w:p>
    <w:p w:rsidR="005115D4" w:rsidRDefault="002D1D31" w:rsidP="005115D4">
      <w:pPr>
        <w:ind w:leftChars="0" w:left="58" w:firstLineChars="0" w:firstLine="360"/>
        <w:jc w:val="both"/>
      </w:pPr>
      <w:r w:rsidRPr="00FB1F42">
        <w:t xml:space="preserve">3. Сума надходжень від плати за </w:t>
      </w:r>
      <w:r w:rsidR="005115D4">
        <w:t>встановлення земельного сервітуту.</w:t>
      </w:r>
      <w:r w:rsidRPr="00FB1F42">
        <w:t xml:space="preserve"> </w:t>
      </w:r>
    </w:p>
    <w:p w:rsidR="00FB1F42" w:rsidRDefault="002D1D31" w:rsidP="005115D4">
      <w:pPr>
        <w:ind w:leftChars="0" w:left="58" w:firstLineChars="0" w:firstLine="360"/>
        <w:jc w:val="both"/>
      </w:pPr>
      <w:r w:rsidRPr="00FB1F42">
        <w:t xml:space="preserve">4. Кількість суб’єктів господарювання, на яких поширюється дія регуляторного </w:t>
      </w:r>
      <w:proofErr w:type="spellStart"/>
      <w:r w:rsidRPr="00FB1F42">
        <w:t>акта</w:t>
      </w:r>
      <w:proofErr w:type="spellEnd"/>
      <w:r w:rsidRPr="00FB1F42">
        <w:t xml:space="preserve">. </w:t>
      </w:r>
    </w:p>
    <w:p w:rsidR="00FB1F42" w:rsidRDefault="00FB1F42" w:rsidP="005115D4">
      <w:pPr>
        <w:ind w:leftChars="0" w:left="58" w:firstLineChars="0" w:firstLine="0"/>
        <w:jc w:val="both"/>
      </w:pPr>
    </w:p>
    <w:p w:rsidR="005115D4" w:rsidRDefault="002D1D31" w:rsidP="005115D4">
      <w:pPr>
        <w:pStyle w:val="a3"/>
        <w:numPr>
          <w:ilvl w:val="0"/>
          <w:numId w:val="1"/>
        </w:numPr>
        <w:ind w:leftChars="0" w:firstLineChars="0"/>
        <w:jc w:val="both"/>
      </w:pPr>
      <w:r w:rsidRPr="00FB1F42">
        <w:t>Заходи, за допомогою яких буде здійснюватися відстеження рез</w:t>
      </w:r>
      <w:r w:rsidR="005115D4">
        <w:t xml:space="preserve">ультативності регуляторного </w:t>
      </w:r>
      <w:proofErr w:type="spellStart"/>
      <w:r w:rsidR="005115D4">
        <w:t>акта</w:t>
      </w:r>
      <w:proofErr w:type="spellEnd"/>
      <w:r w:rsidR="005115D4">
        <w:t>.</w:t>
      </w:r>
    </w:p>
    <w:p w:rsidR="005115D4" w:rsidRDefault="002D1D31" w:rsidP="005115D4">
      <w:pPr>
        <w:ind w:leftChars="0" w:left="0" w:firstLineChars="0" w:firstLine="0"/>
        <w:jc w:val="both"/>
      </w:pPr>
      <w:r w:rsidRPr="00FB1F42">
        <w:t xml:space="preserve">Цільові групи та строки проведення відстеження: </w:t>
      </w:r>
    </w:p>
    <w:p w:rsidR="005115D4" w:rsidRDefault="002D1D31" w:rsidP="005115D4">
      <w:pPr>
        <w:ind w:leftChars="0" w:left="708" w:firstLineChars="0" w:firstLine="0"/>
        <w:jc w:val="both"/>
      </w:pPr>
      <w:r w:rsidRPr="00FB1F42">
        <w:t xml:space="preserve">базове відстеження – суб’єкти господарювання до набрання чинності рішення; повторне відстеження – суб’єкти господарювання після набрання чинності рішення. </w:t>
      </w:r>
    </w:p>
    <w:p w:rsidR="005115D4" w:rsidRDefault="002D1D31" w:rsidP="005115D4">
      <w:pPr>
        <w:ind w:leftChars="0" w:left="0" w:firstLineChars="0" w:firstLine="708"/>
        <w:jc w:val="both"/>
      </w:pPr>
      <w:r w:rsidRPr="00FB1F42">
        <w:t xml:space="preserve">Рекомендований строк повторного відстеження – 1 рік після набрання чинності рішення. </w:t>
      </w:r>
    </w:p>
    <w:p w:rsidR="00533944" w:rsidRDefault="002D1D31" w:rsidP="005115D4">
      <w:pPr>
        <w:ind w:leftChars="0" w:left="0" w:firstLineChars="0" w:firstLine="708"/>
        <w:jc w:val="both"/>
      </w:pPr>
      <w:r w:rsidRPr="00FB1F42">
        <w:t>Для ві</w:t>
      </w:r>
      <w:r w:rsidR="005115D4">
        <w:t>дстеження використовуватимуться дані відділу торгівлі, побуту та захисту прав споживачів, відділу земельних ресурсів.</w:t>
      </w:r>
    </w:p>
    <w:p w:rsidR="00984DA9" w:rsidRDefault="00984DA9" w:rsidP="00984DA9">
      <w:pPr>
        <w:ind w:leftChars="0" w:left="0" w:firstLineChars="0" w:firstLine="0"/>
        <w:jc w:val="both"/>
      </w:pPr>
    </w:p>
    <w:p w:rsidR="00984DA9" w:rsidRDefault="00984DA9" w:rsidP="00984DA9">
      <w:pPr>
        <w:ind w:leftChars="0" w:left="0" w:firstLineChars="0" w:firstLine="0"/>
        <w:jc w:val="both"/>
      </w:pPr>
      <w:r>
        <w:t>Начальник відділу торгівлі, побуту</w:t>
      </w:r>
    </w:p>
    <w:p w:rsidR="00984DA9" w:rsidRDefault="00984DA9" w:rsidP="00984DA9">
      <w:pPr>
        <w:ind w:leftChars="0" w:left="0" w:firstLineChars="0" w:firstLine="0"/>
        <w:jc w:val="both"/>
      </w:pPr>
      <w:r>
        <w:t>та захисту прав споживачів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Галина ГОРЄВА</w:t>
      </w:r>
    </w:p>
    <w:p w:rsidR="00984DA9" w:rsidRDefault="00984DA9" w:rsidP="00984DA9">
      <w:pPr>
        <w:ind w:leftChars="0" w:left="0" w:firstLineChars="0" w:firstLine="0"/>
        <w:jc w:val="both"/>
      </w:pPr>
    </w:p>
    <w:p w:rsidR="00984DA9" w:rsidRDefault="00984DA9" w:rsidP="00984DA9">
      <w:pPr>
        <w:ind w:leftChars="0" w:left="0" w:firstLineChars="0" w:firstLine="0"/>
        <w:jc w:val="both"/>
      </w:pPr>
    </w:p>
    <w:p w:rsidR="00984DA9" w:rsidRPr="00FB1F42" w:rsidRDefault="002B4244" w:rsidP="00984DA9">
      <w:pPr>
        <w:ind w:leftChars="0" w:left="0" w:firstLineChars="0" w:firstLine="0"/>
        <w:jc w:val="both"/>
      </w:pPr>
      <w:r>
        <w:t>13</w:t>
      </w:r>
      <w:r w:rsidR="00984DA9">
        <w:t>.</w:t>
      </w:r>
      <w:r>
        <w:t>01.2023</w:t>
      </w:r>
    </w:p>
    <w:sectPr w:rsidR="00984DA9" w:rsidRPr="00FB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7A2C"/>
    <w:multiLevelType w:val="hybridMultilevel"/>
    <w:tmpl w:val="6180DC28"/>
    <w:lvl w:ilvl="0" w:tplc="CCE04AA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8" w:hanging="360"/>
      </w:pPr>
    </w:lvl>
    <w:lvl w:ilvl="2" w:tplc="0422001B" w:tentative="1">
      <w:start w:val="1"/>
      <w:numFmt w:val="lowerRoman"/>
      <w:lvlText w:val="%3."/>
      <w:lvlJc w:val="right"/>
      <w:pPr>
        <w:ind w:left="1858" w:hanging="180"/>
      </w:pPr>
    </w:lvl>
    <w:lvl w:ilvl="3" w:tplc="0422000F" w:tentative="1">
      <w:start w:val="1"/>
      <w:numFmt w:val="decimal"/>
      <w:lvlText w:val="%4."/>
      <w:lvlJc w:val="left"/>
      <w:pPr>
        <w:ind w:left="2578" w:hanging="360"/>
      </w:pPr>
    </w:lvl>
    <w:lvl w:ilvl="4" w:tplc="04220019" w:tentative="1">
      <w:start w:val="1"/>
      <w:numFmt w:val="lowerLetter"/>
      <w:lvlText w:val="%5."/>
      <w:lvlJc w:val="left"/>
      <w:pPr>
        <w:ind w:left="3298" w:hanging="360"/>
      </w:pPr>
    </w:lvl>
    <w:lvl w:ilvl="5" w:tplc="0422001B" w:tentative="1">
      <w:start w:val="1"/>
      <w:numFmt w:val="lowerRoman"/>
      <w:lvlText w:val="%6."/>
      <w:lvlJc w:val="right"/>
      <w:pPr>
        <w:ind w:left="4018" w:hanging="180"/>
      </w:pPr>
    </w:lvl>
    <w:lvl w:ilvl="6" w:tplc="0422000F" w:tentative="1">
      <w:start w:val="1"/>
      <w:numFmt w:val="decimal"/>
      <w:lvlText w:val="%7."/>
      <w:lvlJc w:val="left"/>
      <w:pPr>
        <w:ind w:left="4738" w:hanging="360"/>
      </w:pPr>
    </w:lvl>
    <w:lvl w:ilvl="7" w:tplc="04220019" w:tentative="1">
      <w:start w:val="1"/>
      <w:numFmt w:val="lowerLetter"/>
      <w:lvlText w:val="%8."/>
      <w:lvlJc w:val="left"/>
      <w:pPr>
        <w:ind w:left="5458" w:hanging="360"/>
      </w:pPr>
    </w:lvl>
    <w:lvl w:ilvl="8" w:tplc="0422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22"/>
    <w:rsid w:val="002B4244"/>
    <w:rsid w:val="002D1D31"/>
    <w:rsid w:val="0047526D"/>
    <w:rsid w:val="005115D4"/>
    <w:rsid w:val="00533944"/>
    <w:rsid w:val="00984DA9"/>
    <w:rsid w:val="009B5B22"/>
    <w:rsid w:val="00A652F5"/>
    <w:rsid w:val="00AB0D7F"/>
    <w:rsid w:val="00CD75E7"/>
    <w:rsid w:val="00D01353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E652"/>
  <w15:chartTrackingRefBased/>
  <w15:docId w15:val="{501A5ED9-E09E-446A-B7D1-C369354A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1F4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42"/>
    <w:pPr>
      <w:ind w:left="720"/>
      <w:contextualSpacing/>
    </w:pPr>
  </w:style>
  <w:style w:type="table" w:styleId="a4">
    <w:name w:val="Table Grid"/>
    <w:basedOn w:val="a1"/>
    <w:uiPriority w:val="39"/>
    <w:rsid w:val="00FB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4D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A9"/>
    <w:rPr>
      <w:rFonts w:ascii="Segoe UI" w:eastAsia="Times New Roman" w:hAnsi="Segoe UI" w:cs="Segoe UI"/>
      <w:position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d10-Gorjeva</dc:creator>
  <cp:keywords/>
  <dc:description/>
  <cp:lastModifiedBy>d10-stets</cp:lastModifiedBy>
  <cp:revision>12</cp:revision>
  <cp:lastPrinted>2022-08-11T13:10:00Z</cp:lastPrinted>
  <dcterms:created xsi:type="dcterms:W3CDTF">2022-07-15T05:30:00Z</dcterms:created>
  <dcterms:modified xsi:type="dcterms:W3CDTF">2023-01-13T07:21:00Z</dcterms:modified>
</cp:coreProperties>
</file>