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6A" w:rsidRDefault="00413C18" w:rsidP="00017B14">
      <w:pPr>
        <w:spacing w:after="0" w:line="240" w:lineRule="auto"/>
        <w:jc w:val="center"/>
        <w:rPr>
          <w:rFonts w:ascii="Times New Roman" w:hAnsi="Times New Roman" w:cs="Times New Roman"/>
          <w:b/>
          <w:sz w:val="28"/>
          <w:szCs w:val="28"/>
          <w:lang w:val="uk-UA"/>
        </w:rPr>
      </w:pPr>
      <w:r w:rsidRPr="009A0A21">
        <w:rPr>
          <w:rFonts w:ascii="Times New Roman" w:hAnsi="Times New Roman" w:cs="Times New Roman"/>
          <w:b/>
          <w:sz w:val="28"/>
          <w:szCs w:val="28"/>
          <w:lang w:val="uk-UA"/>
        </w:rPr>
        <w:t>Довідка про консультації</w:t>
      </w:r>
    </w:p>
    <w:p w:rsidR="00FD05AF" w:rsidRPr="0069076A" w:rsidRDefault="00017B14" w:rsidP="00A1104B">
      <w:pPr>
        <w:spacing w:after="0" w:line="240" w:lineRule="auto"/>
        <w:jc w:val="center"/>
        <w:rPr>
          <w:rFonts w:ascii="Times New Roman" w:hAnsi="Times New Roman" w:cs="Times New Roman"/>
          <w:b/>
          <w:sz w:val="24"/>
          <w:szCs w:val="24"/>
          <w:lang w:val="uk-UA"/>
        </w:rPr>
      </w:pPr>
      <w:r w:rsidRPr="0069076A">
        <w:rPr>
          <w:rFonts w:ascii="Times New Roman" w:hAnsi="Times New Roman" w:cs="Times New Roman"/>
          <w:b/>
          <w:sz w:val="24"/>
          <w:szCs w:val="24"/>
          <w:lang w:val="uk-UA"/>
        </w:rPr>
        <w:t xml:space="preserve">з </w:t>
      </w:r>
      <w:r w:rsidR="00A1104B">
        <w:rPr>
          <w:rFonts w:ascii="Times New Roman" w:hAnsi="Times New Roman" w:cs="Times New Roman"/>
          <w:b/>
          <w:sz w:val="24"/>
          <w:szCs w:val="24"/>
          <w:lang w:val="uk-UA"/>
        </w:rPr>
        <w:t xml:space="preserve">уповноваженими </w:t>
      </w:r>
      <w:r w:rsidRPr="0069076A">
        <w:rPr>
          <w:rFonts w:ascii="Times New Roman" w:hAnsi="Times New Roman" w:cs="Times New Roman"/>
          <w:b/>
          <w:sz w:val="24"/>
          <w:szCs w:val="24"/>
          <w:lang w:val="uk-UA"/>
        </w:rPr>
        <w:t>органами виконавчої влади у процесі стратегічної екологічної оцінки проєкту</w:t>
      </w:r>
      <w:r w:rsidR="00A1104B">
        <w:rPr>
          <w:rFonts w:ascii="Times New Roman" w:hAnsi="Times New Roman" w:cs="Times New Roman"/>
          <w:b/>
          <w:sz w:val="24"/>
          <w:szCs w:val="24"/>
          <w:lang w:val="uk-UA"/>
        </w:rPr>
        <w:t xml:space="preserve"> </w:t>
      </w:r>
      <w:r w:rsidR="001A354D">
        <w:rPr>
          <w:rFonts w:ascii="Times New Roman" w:hAnsi="Times New Roman" w:cs="Times New Roman"/>
          <w:b/>
          <w:sz w:val="24"/>
          <w:szCs w:val="24"/>
          <w:lang w:val="uk-UA"/>
        </w:rPr>
        <w:t>«</w:t>
      </w:r>
      <w:r w:rsidR="001A354D" w:rsidRPr="001A354D">
        <w:rPr>
          <w:rFonts w:ascii="Times New Roman" w:hAnsi="Times New Roman" w:cs="Times New Roman"/>
          <w:b/>
          <w:sz w:val="24"/>
          <w:szCs w:val="24"/>
          <w:lang w:val="uk-UA"/>
        </w:rPr>
        <w:t>Детальний план території, що межує з земельною ділянкою полігону твердих побутових відходів (кад. ном. 6122685400:01:001:1335) за межами населеного пункту села Малашівці Тернопільської міської територіальної громади</w:t>
      </w:r>
      <w:r w:rsidR="001A354D">
        <w:rPr>
          <w:rFonts w:ascii="Times New Roman" w:hAnsi="Times New Roman" w:cs="Times New Roman"/>
          <w:b/>
          <w:sz w:val="24"/>
          <w:szCs w:val="24"/>
          <w:lang w:val="uk-UA"/>
        </w:rPr>
        <w:t>»</w:t>
      </w:r>
      <w:r w:rsidR="0069076A">
        <w:rPr>
          <w:rFonts w:ascii="Times New Roman" w:hAnsi="Times New Roman" w:cs="Times New Roman"/>
          <w:b/>
          <w:sz w:val="24"/>
          <w:szCs w:val="24"/>
          <w:lang w:val="uk-UA"/>
        </w:rPr>
        <w:t xml:space="preserve"> </w:t>
      </w:r>
      <w:r w:rsidR="00000070">
        <w:rPr>
          <w:rFonts w:ascii="Times New Roman" w:hAnsi="Times New Roman" w:cs="Times New Roman"/>
          <w:b/>
          <w:sz w:val="24"/>
          <w:szCs w:val="24"/>
          <w:lang w:val="uk-UA"/>
        </w:rPr>
        <w:t>(далі – проє</w:t>
      </w:r>
      <w:r w:rsidR="00810C07">
        <w:rPr>
          <w:rFonts w:ascii="Times New Roman" w:hAnsi="Times New Roman" w:cs="Times New Roman"/>
          <w:b/>
          <w:sz w:val="24"/>
          <w:szCs w:val="24"/>
          <w:lang w:val="uk-UA"/>
        </w:rPr>
        <w:t>кт</w:t>
      </w:r>
      <w:r w:rsidR="009353A1">
        <w:rPr>
          <w:rFonts w:ascii="Times New Roman" w:hAnsi="Times New Roman" w:cs="Times New Roman"/>
          <w:b/>
          <w:sz w:val="24"/>
          <w:szCs w:val="24"/>
          <w:lang w:val="uk-UA"/>
        </w:rPr>
        <w:t xml:space="preserve"> </w:t>
      </w:r>
      <w:r w:rsidR="005575EB">
        <w:rPr>
          <w:rFonts w:ascii="Times New Roman" w:hAnsi="Times New Roman" w:cs="Times New Roman"/>
          <w:b/>
          <w:sz w:val="24"/>
          <w:szCs w:val="24"/>
          <w:lang w:val="uk-UA"/>
        </w:rPr>
        <w:t xml:space="preserve">ДПТ, </w:t>
      </w:r>
      <w:r w:rsidR="009353A1">
        <w:rPr>
          <w:rFonts w:ascii="Times New Roman" w:hAnsi="Times New Roman" w:cs="Times New Roman"/>
          <w:b/>
          <w:sz w:val="24"/>
          <w:szCs w:val="24"/>
          <w:lang w:val="uk-UA"/>
        </w:rPr>
        <w:t>Детальний план території</w:t>
      </w:r>
      <w:r w:rsidR="00582569">
        <w:rPr>
          <w:rFonts w:ascii="Times New Roman" w:hAnsi="Times New Roman" w:cs="Times New Roman"/>
          <w:b/>
          <w:sz w:val="24"/>
          <w:szCs w:val="24"/>
          <w:lang w:val="uk-UA"/>
        </w:rPr>
        <w:t xml:space="preserve">) </w:t>
      </w:r>
      <w:r w:rsidRPr="0069076A">
        <w:rPr>
          <w:rFonts w:ascii="Times New Roman" w:hAnsi="Times New Roman" w:cs="Times New Roman"/>
          <w:b/>
          <w:sz w:val="24"/>
          <w:szCs w:val="24"/>
          <w:lang w:val="uk-UA"/>
        </w:rPr>
        <w:t xml:space="preserve">та звіту про стратегічну </w:t>
      </w:r>
      <w:r w:rsidR="00582569">
        <w:rPr>
          <w:rFonts w:ascii="Times New Roman" w:hAnsi="Times New Roman" w:cs="Times New Roman"/>
          <w:b/>
          <w:sz w:val="24"/>
          <w:szCs w:val="24"/>
          <w:lang w:val="uk-UA"/>
        </w:rPr>
        <w:t>екологічну оцінку (далі – Звіт про СЕО)</w:t>
      </w:r>
    </w:p>
    <w:tbl>
      <w:tblPr>
        <w:tblStyle w:val="a3"/>
        <w:tblW w:w="15418" w:type="dxa"/>
        <w:tblLook w:val="04A0" w:firstRow="1" w:lastRow="0" w:firstColumn="1" w:lastColumn="0" w:noHBand="0" w:noVBand="1"/>
      </w:tblPr>
      <w:tblGrid>
        <w:gridCol w:w="534"/>
        <w:gridCol w:w="1874"/>
        <w:gridCol w:w="2236"/>
        <w:gridCol w:w="3828"/>
        <w:gridCol w:w="2410"/>
        <w:gridCol w:w="4536"/>
      </w:tblGrid>
      <w:tr w:rsidR="00413C18" w:rsidTr="00EC7BCF">
        <w:tc>
          <w:tcPr>
            <w:tcW w:w="534" w:type="dxa"/>
          </w:tcPr>
          <w:p w:rsidR="00413C18" w:rsidRDefault="00413C18"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413C18" w:rsidRDefault="00413C18"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з/п</w:t>
            </w:r>
          </w:p>
        </w:tc>
        <w:tc>
          <w:tcPr>
            <w:tcW w:w="1874" w:type="dxa"/>
          </w:tcPr>
          <w:p w:rsidR="00413C18" w:rsidRDefault="009122F0"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Уповноважений орган</w:t>
            </w:r>
          </w:p>
        </w:tc>
        <w:tc>
          <w:tcPr>
            <w:tcW w:w="2236" w:type="dxa"/>
          </w:tcPr>
          <w:p w:rsidR="00413C18" w:rsidRDefault="0069076A"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Редакція частини проє</w:t>
            </w:r>
            <w:r w:rsidR="00E004F5">
              <w:rPr>
                <w:rFonts w:ascii="Times New Roman" w:hAnsi="Times New Roman" w:cs="Times New Roman"/>
                <w:sz w:val="24"/>
                <w:szCs w:val="24"/>
                <w:lang w:val="uk-UA"/>
              </w:rPr>
              <w:t>кту ДДП/звіту про СЕО, до якого висловлено зауваження (пропозиції)</w:t>
            </w:r>
          </w:p>
        </w:tc>
        <w:tc>
          <w:tcPr>
            <w:tcW w:w="3828" w:type="dxa"/>
          </w:tcPr>
          <w:p w:rsidR="00413C18" w:rsidRDefault="00E004F5" w:rsidP="00E004F5">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E004F5">
              <w:rPr>
                <w:rFonts w:ascii="Times New Roman" w:hAnsi="Times New Roman" w:cs="Times New Roman"/>
                <w:sz w:val="24"/>
                <w:szCs w:val="24"/>
                <w:lang w:val="uk-UA"/>
              </w:rPr>
              <w:t xml:space="preserve">ауваження </w:t>
            </w:r>
            <w:r>
              <w:rPr>
                <w:rFonts w:ascii="Times New Roman" w:hAnsi="Times New Roman" w:cs="Times New Roman"/>
                <w:sz w:val="24"/>
                <w:szCs w:val="24"/>
                <w:lang w:val="uk-UA"/>
              </w:rPr>
              <w:t>/ пропозиція</w:t>
            </w:r>
          </w:p>
        </w:tc>
        <w:tc>
          <w:tcPr>
            <w:tcW w:w="2410" w:type="dxa"/>
          </w:tcPr>
          <w:p w:rsidR="00E004F5" w:rsidRDefault="00E004F5"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Спосіб врахування (враховано/</w:t>
            </w:r>
          </w:p>
          <w:p w:rsidR="00413C18" w:rsidRDefault="00E004F5"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не враховано/ враховано частково)</w:t>
            </w:r>
          </w:p>
        </w:tc>
        <w:tc>
          <w:tcPr>
            <w:tcW w:w="4536" w:type="dxa"/>
          </w:tcPr>
          <w:p w:rsidR="00413C18" w:rsidRDefault="00E004F5"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Обґрунтування</w:t>
            </w:r>
            <w:r w:rsidR="00B21B31">
              <w:rPr>
                <w:rFonts w:ascii="Times New Roman" w:hAnsi="Times New Roman" w:cs="Times New Roman"/>
                <w:sz w:val="24"/>
                <w:szCs w:val="24"/>
                <w:lang w:val="uk-UA"/>
              </w:rPr>
              <w:t>*</w:t>
            </w:r>
          </w:p>
        </w:tc>
      </w:tr>
      <w:tr w:rsidR="00EC7BCF" w:rsidTr="00EC7BCF">
        <w:tc>
          <w:tcPr>
            <w:tcW w:w="15418" w:type="dxa"/>
            <w:gridSpan w:val="6"/>
          </w:tcPr>
          <w:p w:rsidR="00EC7BCF" w:rsidRDefault="00EC7BCF" w:rsidP="0069076A">
            <w:pPr>
              <w:jc w:val="center"/>
              <w:rPr>
                <w:rFonts w:ascii="Times New Roman" w:hAnsi="Times New Roman" w:cs="Times New Roman"/>
                <w:sz w:val="24"/>
                <w:szCs w:val="24"/>
                <w:lang w:val="uk-UA"/>
              </w:rPr>
            </w:pPr>
            <w:r w:rsidRPr="00EC7BCF">
              <w:rPr>
                <w:rFonts w:ascii="Times New Roman" w:hAnsi="Times New Roman" w:cs="Times New Roman"/>
                <w:b/>
                <w:sz w:val="24"/>
                <w:szCs w:val="24"/>
                <w:lang w:val="uk-UA"/>
              </w:rPr>
              <w:t>До про</w:t>
            </w:r>
            <w:r w:rsidR="0069076A">
              <w:rPr>
                <w:rFonts w:ascii="Times New Roman" w:hAnsi="Times New Roman" w:cs="Times New Roman"/>
                <w:b/>
                <w:sz w:val="24"/>
                <w:szCs w:val="24"/>
                <w:lang w:val="uk-UA"/>
              </w:rPr>
              <w:t>є</w:t>
            </w:r>
            <w:r w:rsidR="00AC125B">
              <w:rPr>
                <w:rFonts w:ascii="Times New Roman" w:hAnsi="Times New Roman" w:cs="Times New Roman"/>
                <w:b/>
                <w:sz w:val="24"/>
                <w:szCs w:val="24"/>
                <w:lang w:val="uk-UA"/>
              </w:rPr>
              <w:t xml:space="preserve">кту </w:t>
            </w:r>
            <w:r w:rsidRPr="00EC7BCF">
              <w:rPr>
                <w:rFonts w:ascii="Times New Roman" w:hAnsi="Times New Roman" w:cs="Times New Roman"/>
                <w:b/>
                <w:sz w:val="24"/>
                <w:szCs w:val="24"/>
                <w:lang w:val="uk-UA"/>
              </w:rPr>
              <w:t>ДП</w:t>
            </w:r>
            <w:r w:rsidR="00AC125B">
              <w:rPr>
                <w:rFonts w:ascii="Times New Roman" w:hAnsi="Times New Roman" w:cs="Times New Roman"/>
                <w:b/>
                <w:sz w:val="24"/>
                <w:szCs w:val="24"/>
                <w:lang w:val="uk-UA"/>
              </w:rPr>
              <w:t>Т</w:t>
            </w:r>
          </w:p>
        </w:tc>
      </w:tr>
      <w:tr w:rsidR="00745F6E" w:rsidRPr="009835E3" w:rsidTr="00EC7BCF">
        <w:tc>
          <w:tcPr>
            <w:tcW w:w="534" w:type="dxa"/>
          </w:tcPr>
          <w:p w:rsidR="00745F6E" w:rsidRPr="00EC7BCF" w:rsidRDefault="00745F6E" w:rsidP="00EC7BCF">
            <w:pPr>
              <w:pStyle w:val="a4"/>
              <w:numPr>
                <w:ilvl w:val="0"/>
                <w:numId w:val="5"/>
              </w:numPr>
              <w:ind w:left="142" w:hanging="142"/>
              <w:jc w:val="center"/>
              <w:rPr>
                <w:rFonts w:ascii="Times New Roman" w:hAnsi="Times New Roman" w:cs="Times New Roman"/>
                <w:sz w:val="24"/>
                <w:szCs w:val="24"/>
                <w:lang w:val="uk-UA"/>
              </w:rPr>
            </w:pPr>
          </w:p>
        </w:tc>
        <w:tc>
          <w:tcPr>
            <w:tcW w:w="1874" w:type="dxa"/>
            <w:vMerge w:val="restart"/>
          </w:tcPr>
          <w:p w:rsidR="00745F6E" w:rsidRDefault="00745F6E" w:rsidP="000B23BE">
            <w:pPr>
              <w:rPr>
                <w:rFonts w:ascii="Times New Roman" w:hAnsi="Times New Roman" w:cs="Times New Roman"/>
                <w:sz w:val="24"/>
                <w:szCs w:val="24"/>
                <w:lang w:val="uk-UA"/>
              </w:rPr>
            </w:pPr>
            <w:r w:rsidRPr="00B1765D">
              <w:rPr>
                <w:rFonts w:ascii="Times New Roman" w:hAnsi="Times New Roman" w:cs="Times New Roman"/>
                <w:sz w:val="24"/>
                <w:szCs w:val="24"/>
                <w:lang w:val="uk-UA" w:bidi="uk-UA"/>
              </w:rPr>
              <w:t>Міністерство захисту довкілля та природних ресурсів України</w:t>
            </w:r>
          </w:p>
        </w:tc>
        <w:tc>
          <w:tcPr>
            <w:tcW w:w="2236" w:type="dxa"/>
          </w:tcPr>
          <w:p w:rsidR="00745F6E" w:rsidRDefault="00745F6E" w:rsidP="000B23BE">
            <w:pPr>
              <w:rPr>
                <w:rFonts w:ascii="Times New Roman" w:hAnsi="Times New Roman" w:cs="Times New Roman"/>
                <w:sz w:val="24"/>
                <w:szCs w:val="24"/>
                <w:lang w:val="uk-UA"/>
              </w:rPr>
            </w:pPr>
          </w:p>
        </w:tc>
        <w:tc>
          <w:tcPr>
            <w:tcW w:w="3828" w:type="dxa"/>
          </w:tcPr>
          <w:p w:rsidR="00745F6E" w:rsidRPr="002B28F9" w:rsidRDefault="00745F6E" w:rsidP="009835E3">
            <w:pPr>
              <w:tabs>
                <w:tab w:val="left" w:pos="810"/>
              </w:tabs>
              <w:rPr>
                <w:rFonts w:ascii="Times New Roman" w:hAnsi="Times New Roman" w:cs="Times New Roman"/>
                <w:sz w:val="24"/>
                <w:szCs w:val="24"/>
                <w:lang w:val="uk-UA" w:bidi="uk-UA"/>
              </w:rPr>
            </w:pPr>
            <w:r w:rsidRPr="002B28F9">
              <w:rPr>
                <w:rFonts w:ascii="Times New Roman" w:hAnsi="Times New Roman" w:cs="Times New Roman"/>
                <w:sz w:val="24"/>
                <w:szCs w:val="24"/>
                <w:lang w:val="uk-UA" w:bidi="uk-UA"/>
              </w:rPr>
              <w:t xml:space="preserve">Згідно зі статтею 19 Закону України «Про регулювання містобудівної діяльності»: </w:t>
            </w:r>
          </w:p>
          <w:p w:rsidR="00745F6E" w:rsidRPr="009835E3" w:rsidRDefault="00745F6E" w:rsidP="009835E3">
            <w:pPr>
              <w:tabs>
                <w:tab w:val="left" w:pos="810"/>
              </w:tabs>
              <w:rPr>
                <w:rFonts w:ascii="Times New Roman" w:hAnsi="Times New Roman" w:cs="Times New Roman"/>
                <w:sz w:val="24"/>
                <w:szCs w:val="24"/>
                <w:lang w:bidi="uk-UA"/>
              </w:rPr>
            </w:pPr>
            <w:r w:rsidRPr="009835E3">
              <w:rPr>
                <w:rFonts w:ascii="Times New Roman" w:hAnsi="Times New Roman" w:cs="Times New Roman"/>
                <w:sz w:val="24"/>
                <w:szCs w:val="24"/>
                <w:lang w:bidi="uk-UA"/>
              </w:rPr>
              <w:t xml:space="preserve">детальний план території деталізує положення генерального плану </w:t>
            </w:r>
          </w:p>
          <w:p w:rsidR="00745F6E" w:rsidRPr="009835E3" w:rsidRDefault="00745F6E" w:rsidP="009835E3">
            <w:pPr>
              <w:tabs>
                <w:tab w:val="left" w:pos="810"/>
              </w:tabs>
              <w:rPr>
                <w:rFonts w:ascii="Times New Roman" w:hAnsi="Times New Roman" w:cs="Times New Roman"/>
                <w:sz w:val="24"/>
                <w:szCs w:val="24"/>
                <w:lang w:bidi="uk-UA"/>
              </w:rPr>
            </w:pPr>
            <w:r w:rsidRPr="009835E3">
              <w:rPr>
                <w:rFonts w:ascii="Times New Roman" w:hAnsi="Times New Roman" w:cs="Times New Roman"/>
                <w:sz w:val="24"/>
                <w:szCs w:val="24"/>
                <w:lang w:bidi="uk-UA"/>
              </w:rPr>
              <w:t xml:space="preserve">населеного пункту або комплексного плану та визначає планувальну організацію </w:t>
            </w:r>
          </w:p>
          <w:p w:rsidR="00745F6E" w:rsidRPr="009835E3" w:rsidRDefault="00745F6E" w:rsidP="009835E3">
            <w:pPr>
              <w:tabs>
                <w:tab w:val="left" w:pos="810"/>
              </w:tabs>
              <w:rPr>
                <w:rFonts w:ascii="Times New Roman" w:hAnsi="Times New Roman" w:cs="Times New Roman"/>
                <w:sz w:val="24"/>
                <w:szCs w:val="24"/>
                <w:lang w:bidi="uk-UA"/>
              </w:rPr>
            </w:pPr>
            <w:r w:rsidRPr="009835E3">
              <w:rPr>
                <w:rFonts w:ascii="Times New Roman" w:hAnsi="Times New Roman" w:cs="Times New Roman"/>
                <w:sz w:val="24"/>
                <w:szCs w:val="24"/>
                <w:lang w:bidi="uk-UA"/>
              </w:rPr>
              <w:t xml:space="preserve">і розвиток частини території населеного пункту або території за його межами без зміни функціонального призначення цієї території; </w:t>
            </w:r>
          </w:p>
          <w:p w:rsidR="00745F6E" w:rsidRPr="009835E3" w:rsidRDefault="00745F6E" w:rsidP="009835E3">
            <w:pPr>
              <w:tabs>
                <w:tab w:val="left" w:pos="810"/>
              </w:tabs>
              <w:rPr>
                <w:rFonts w:ascii="Times New Roman" w:hAnsi="Times New Roman" w:cs="Times New Roman"/>
                <w:sz w:val="24"/>
                <w:szCs w:val="24"/>
                <w:lang w:bidi="uk-UA"/>
              </w:rPr>
            </w:pPr>
            <w:r w:rsidRPr="009835E3">
              <w:rPr>
                <w:rFonts w:ascii="Times New Roman" w:hAnsi="Times New Roman" w:cs="Times New Roman"/>
                <w:sz w:val="24"/>
                <w:szCs w:val="24"/>
                <w:lang w:bidi="uk-UA"/>
              </w:rPr>
              <w:t xml:space="preserve">детальні плани територій одночасно з їх затвердженням стають невід’ємними складовими генерального плану населеного пункту та/або комплексного плану. </w:t>
            </w:r>
          </w:p>
          <w:p w:rsidR="00745F6E" w:rsidRPr="009835E3" w:rsidRDefault="00745F6E" w:rsidP="009835E3">
            <w:pPr>
              <w:tabs>
                <w:tab w:val="left" w:pos="810"/>
              </w:tabs>
              <w:rPr>
                <w:rFonts w:ascii="Times New Roman" w:hAnsi="Times New Roman" w:cs="Times New Roman"/>
                <w:sz w:val="24"/>
                <w:szCs w:val="24"/>
                <w:lang w:bidi="uk-UA"/>
              </w:rPr>
            </w:pPr>
            <w:r w:rsidRPr="009835E3">
              <w:rPr>
                <w:rFonts w:ascii="Times New Roman" w:hAnsi="Times New Roman" w:cs="Times New Roman"/>
                <w:sz w:val="24"/>
                <w:szCs w:val="24"/>
                <w:lang w:bidi="uk-UA"/>
              </w:rPr>
              <w:t xml:space="preserve">Відповідно до пункту 23 розділу </w:t>
            </w:r>
            <w:r w:rsidRPr="009835E3">
              <w:rPr>
                <w:rFonts w:ascii="Times New Roman" w:hAnsi="Times New Roman" w:cs="Times New Roman"/>
                <w:sz w:val="24"/>
                <w:szCs w:val="24"/>
                <w:lang w:val="en-US" w:bidi="uk-UA"/>
              </w:rPr>
              <w:t>X</w:t>
            </w:r>
            <w:r w:rsidRPr="009835E3">
              <w:rPr>
                <w:rFonts w:ascii="Times New Roman" w:hAnsi="Times New Roman" w:cs="Times New Roman"/>
                <w:sz w:val="24"/>
                <w:szCs w:val="24"/>
                <w:lang w:bidi="uk-UA"/>
              </w:rPr>
              <w:t xml:space="preserve"> «Перехідні положення» </w:t>
            </w:r>
            <w:r w:rsidRPr="009835E3">
              <w:rPr>
                <w:rFonts w:ascii="Times New Roman" w:hAnsi="Times New Roman" w:cs="Times New Roman"/>
                <w:sz w:val="24"/>
                <w:szCs w:val="24"/>
                <w:lang w:bidi="uk-UA"/>
              </w:rPr>
              <w:lastRenderedPageBreak/>
              <w:t xml:space="preserve">Земельного кодексу України: </w:t>
            </w:r>
          </w:p>
          <w:p w:rsidR="00745F6E" w:rsidRPr="009835E3" w:rsidRDefault="00745F6E" w:rsidP="009835E3">
            <w:pPr>
              <w:tabs>
                <w:tab w:val="left" w:pos="810"/>
              </w:tabs>
              <w:rPr>
                <w:rFonts w:ascii="Times New Roman" w:hAnsi="Times New Roman" w:cs="Times New Roman"/>
                <w:sz w:val="24"/>
                <w:szCs w:val="24"/>
                <w:lang w:bidi="uk-UA"/>
              </w:rPr>
            </w:pPr>
            <w:r w:rsidRPr="009835E3">
              <w:rPr>
                <w:rFonts w:ascii="Times New Roman" w:hAnsi="Times New Roman" w:cs="Times New Roman"/>
                <w:sz w:val="24"/>
                <w:szCs w:val="24"/>
                <w:lang w:bidi="uk-UA"/>
              </w:rPr>
              <w:t xml:space="preserve">«До внесення до Державного земельного кадастру відомостей про функціональні зони належність земельної ділянки до функціональної зони, встановленої до 1 січня 2025 року, визначається відповідно до містобудівної документації регіонального рівня (щодо земельних ділянок за межами населених пунктів, на які не розроблено детальний план території)». </w:t>
            </w:r>
          </w:p>
          <w:p w:rsidR="00745F6E" w:rsidRPr="009835E3" w:rsidRDefault="00745F6E" w:rsidP="009835E3">
            <w:pPr>
              <w:tabs>
                <w:tab w:val="left" w:pos="810"/>
              </w:tabs>
              <w:rPr>
                <w:rFonts w:ascii="Times New Roman" w:hAnsi="Times New Roman" w:cs="Times New Roman"/>
                <w:sz w:val="24"/>
                <w:szCs w:val="24"/>
                <w:lang w:bidi="uk-UA"/>
              </w:rPr>
            </w:pPr>
            <w:r w:rsidRPr="009835E3">
              <w:rPr>
                <w:rFonts w:ascii="Times New Roman" w:hAnsi="Times New Roman" w:cs="Times New Roman"/>
                <w:sz w:val="24"/>
                <w:szCs w:val="24"/>
                <w:lang w:bidi="uk-UA"/>
              </w:rPr>
              <w:t xml:space="preserve">Згідно із пунктом 3 розділу ІІ «Прикінцеві та перехідні положення» Закону України «Про внесення змін до деяких законодавчих актів України щодо </w:t>
            </w:r>
          </w:p>
          <w:p w:rsidR="00745F6E" w:rsidRPr="009835E3" w:rsidRDefault="00745F6E" w:rsidP="009835E3">
            <w:pPr>
              <w:tabs>
                <w:tab w:val="left" w:pos="810"/>
              </w:tabs>
              <w:rPr>
                <w:rFonts w:ascii="Times New Roman" w:hAnsi="Times New Roman" w:cs="Times New Roman"/>
                <w:sz w:val="24"/>
                <w:szCs w:val="24"/>
                <w:lang w:bidi="uk-UA"/>
              </w:rPr>
            </w:pPr>
            <w:r w:rsidRPr="009835E3">
              <w:rPr>
                <w:rFonts w:ascii="Times New Roman" w:hAnsi="Times New Roman" w:cs="Times New Roman"/>
                <w:sz w:val="24"/>
                <w:szCs w:val="24"/>
                <w:lang w:bidi="uk-UA"/>
              </w:rPr>
              <w:t xml:space="preserve">планування використання земель» до 1 січня 2025 року детальні плани територій щодо територій, розташованих за межами населених пунктів та стосовно яких не затверджені комплексні плани просторового розвитку територій територіальних громад, можуть розроблятися та затверджуватися відповідно до схем планування території (частини території) району та/або області. </w:t>
            </w:r>
          </w:p>
          <w:p w:rsidR="00745F6E" w:rsidRDefault="00745F6E" w:rsidP="009835E3">
            <w:pPr>
              <w:tabs>
                <w:tab w:val="left" w:pos="810"/>
              </w:tabs>
              <w:rPr>
                <w:rFonts w:ascii="Times New Roman" w:hAnsi="Times New Roman" w:cs="Times New Roman"/>
                <w:sz w:val="24"/>
                <w:szCs w:val="24"/>
                <w:lang w:val="uk-UA"/>
              </w:rPr>
            </w:pPr>
            <w:r w:rsidRPr="009835E3">
              <w:rPr>
                <w:rFonts w:ascii="Times New Roman" w:hAnsi="Times New Roman" w:cs="Times New Roman"/>
                <w:sz w:val="24"/>
                <w:szCs w:val="24"/>
                <w:lang w:bidi="uk-UA"/>
              </w:rPr>
              <w:t xml:space="preserve">З урахуванням </w:t>
            </w:r>
            <w:r w:rsidRPr="00097B22">
              <w:rPr>
                <w:rFonts w:ascii="Times New Roman" w:hAnsi="Times New Roman" w:cs="Times New Roman"/>
                <w:sz w:val="24"/>
                <w:szCs w:val="24"/>
                <w:lang w:bidi="uk-UA"/>
              </w:rPr>
              <w:t xml:space="preserve">вищезгаданого, у </w:t>
            </w:r>
            <w:r w:rsidRPr="00097B22">
              <w:rPr>
                <w:rFonts w:ascii="Times New Roman" w:hAnsi="Times New Roman" w:cs="Times New Roman"/>
                <w:sz w:val="24"/>
                <w:szCs w:val="24"/>
                <w:lang w:bidi="uk-UA"/>
              </w:rPr>
              <w:lastRenderedPageBreak/>
              <w:t>Проєкті мають бути наведені відомості щодо підтвердження відповідності його рішень наявній містобудівній документації регіонального рівня.</w:t>
            </w:r>
          </w:p>
        </w:tc>
        <w:tc>
          <w:tcPr>
            <w:tcW w:w="2410" w:type="dxa"/>
          </w:tcPr>
          <w:p w:rsidR="00745F6E" w:rsidRPr="0042755C" w:rsidRDefault="00745F6E" w:rsidP="00717A27">
            <w:pPr>
              <w:jc w:val="center"/>
              <w:rPr>
                <w:rFonts w:ascii="Times New Roman" w:hAnsi="Times New Roman" w:cs="Times New Roman"/>
                <w:sz w:val="24"/>
                <w:szCs w:val="24"/>
                <w:lang w:val="uk-UA"/>
              </w:rPr>
            </w:pPr>
            <w:r w:rsidRPr="0042755C">
              <w:rPr>
                <w:rFonts w:ascii="Times New Roman" w:hAnsi="Times New Roman" w:cs="Times New Roman"/>
                <w:sz w:val="24"/>
                <w:szCs w:val="24"/>
                <w:lang w:val="uk-UA"/>
              </w:rPr>
              <w:lastRenderedPageBreak/>
              <w:t>Враховано</w:t>
            </w:r>
          </w:p>
        </w:tc>
        <w:tc>
          <w:tcPr>
            <w:tcW w:w="4536" w:type="dxa"/>
          </w:tcPr>
          <w:p w:rsidR="00745F6E" w:rsidRPr="0042755C" w:rsidRDefault="00745F6E" w:rsidP="00E012B4">
            <w:pPr>
              <w:ind w:firstLine="461"/>
              <w:jc w:val="both"/>
              <w:rPr>
                <w:rFonts w:ascii="Times New Roman" w:hAnsi="Times New Roman" w:cs="Times New Roman"/>
                <w:sz w:val="24"/>
                <w:szCs w:val="24"/>
                <w:lang w:val="uk-UA"/>
              </w:rPr>
            </w:pPr>
            <w:r w:rsidRPr="0042755C">
              <w:rPr>
                <w:rFonts w:ascii="Times New Roman" w:hAnsi="Times New Roman" w:cs="Times New Roman"/>
                <w:sz w:val="24"/>
                <w:szCs w:val="24"/>
                <w:lang w:val="uk-UA"/>
              </w:rPr>
              <w:t>Територія, що розробляється даним ДПТ, розташована в складі Тернопільської міської територіа</w:t>
            </w:r>
            <w:r w:rsidR="008B48DE">
              <w:rPr>
                <w:rFonts w:ascii="Times New Roman" w:hAnsi="Times New Roman" w:cs="Times New Roman"/>
                <w:sz w:val="24"/>
                <w:szCs w:val="24"/>
                <w:lang w:val="uk-UA"/>
              </w:rPr>
              <w:t>льної громади, біля села</w:t>
            </w:r>
            <w:bookmarkStart w:id="0" w:name="_GoBack"/>
            <w:bookmarkEnd w:id="0"/>
            <w:r>
              <w:rPr>
                <w:rFonts w:ascii="Times New Roman" w:hAnsi="Times New Roman" w:cs="Times New Roman"/>
                <w:sz w:val="24"/>
                <w:szCs w:val="24"/>
                <w:lang w:val="uk-UA"/>
              </w:rPr>
              <w:t xml:space="preserve"> Малашівці</w:t>
            </w:r>
            <w:r w:rsidRPr="0042755C">
              <w:rPr>
                <w:rFonts w:ascii="Times New Roman" w:hAnsi="Times New Roman" w:cs="Times New Roman"/>
                <w:sz w:val="24"/>
                <w:szCs w:val="24"/>
                <w:lang w:val="uk-UA"/>
              </w:rPr>
              <w:t>.</w:t>
            </w:r>
          </w:p>
          <w:p w:rsidR="00745F6E" w:rsidRPr="0042755C" w:rsidRDefault="00745F6E" w:rsidP="00E012B4">
            <w:pPr>
              <w:pStyle w:val="a9"/>
              <w:ind w:left="0" w:right="0"/>
              <w:rPr>
                <w:rFonts w:eastAsiaTheme="minorHAnsi"/>
                <w:color w:val="auto"/>
                <w:szCs w:val="24"/>
                <w:lang w:eastAsia="en-US"/>
              </w:rPr>
            </w:pPr>
            <w:r w:rsidRPr="0042755C">
              <w:rPr>
                <w:szCs w:val="24"/>
              </w:rPr>
              <w:t xml:space="preserve">В підрозділі 1.3. «Містобудівна оцінка території, виділеної під забудову земельної ділянки» розділу 1 «Характеристика природних, соціально-економічних умов» зазначено, що </w:t>
            </w:r>
            <w:r w:rsidRPr="0042755C">
              <w:rPr>
                <w:rFonts w:eastAsiaTheme="minorHAnsi"/>
                <w:color w:val="auto"/>
                <w:szCs w:val="24"/>
                <w:lang w:eastAsia="en-US"/>
              </w:rPr>
              <w:t xml:space="preserve">даний ДПТ розроблено з урахуванням містобудівної документації вищого рівня: </w:t>
            </w:r>
          </w:p>
          <w:p w:rsidR="00745F6E" w:rsidRPr="0042755C" w:rsidRDefault="00745F6E" w:rsidP="00E012B4">
            <w:pPr>
              <w:pStyle w:val="a9"/>
              <w:numPr>
                <w:ilvl w:val="0"/>
                <w:numId w:val="8"/>
              </w:numPr>
              <w:ind w:left="411" w:right="0"/>
              <w:rPr>
                <w:rFonts w:eastAsiaTheme="minorHAnsi"/>
                <w:color w:val="auto"/>
                <w:szCs w:val="24"/>
                <w:lang w:eastAsia="en-US"/>
              </w:rPr>
            </w:pPr>
            <w:r w:rsidRPr="0042755C">
              <w:rPr>
                <w:rFonts w:eastAsiaTheme="minorHAnsi"/>
                <w:color w:val="auto"/>
                <w:szCs w:val="24"/>
                <w:lang w:eastAsia="en-US"/>
              </w:rPr>
              <w:t>Схеми планування Тернопільської області;</w:t>
            </w:r>
          </w:p>
          <w:p w:rsidR="00745F6E" w:rsidRPr="0042755C" w:rsidRDefault="00745F6E" w:rsidP="00E012B4">
            <w:pPr>
              <w:pStyle w:val="a9"/>
              <w:numPr>
                <w:ilvl w:val="0"/>
                <w:numId w:val="8"/>
              </w:numPr>
              <w:ind w:left="411" w:right="0"/>
              <w:rPr>
                <w:rFonts w:eastAsiaTheme="minorHAnsi"/>
                <w:color w:val="auto"/>
                <w:szCs w:val="24"/>
                <w:lang w:eastAsia="en-US"/>
              </w:rPr>
            </w:pPr>
            <w:r w:rsidRPr="0042755C">
              <w:rPr>
                <w:rFonts w:eastAsiaTheme="minorHAnsi"/>
                <w:color w:val="auto"/>
                <w:szCs w:val="24"/>
                <w:lang w:eastAsia="en-US"/>
              </w:rPr>
              <w:t>Схеми планування території Тернопільської міської територіальної громади.</w:t>
            </w:r>
          </w:p>
          <w:p w:rsidR="00745F6E" w:rsidRPr="0042755C" w:rsidRDefault="00745F6E" w:rsidP="00E012B4">
            <w:pPr>
              <w:ind w:firstLine="461"/>
              <w:jc w:val="both"/>
              <w:rPr>
                <w:rFonts w:ascii="Times New Roman" w:hAnsi="Times New Roman" w:cs="Times New Roman"/>
                <w:sz w:val="24"/>
                <w:szCs w:val="24"/>
                <w:lang w:val="uk-UA"/>
              </w:rPr>
            </w:pPr>
            <w:r w:rsidRPr="0042755C">
              <w:rPr>
                <w:rFonts w:ascii="Times New Roman" w:hAnsi="Times New Roman" w:cs="Times New Roman"/>
                <w:sz w:val="24"/>
                <w:szCs w:val="24"/>
                <w:lang w:val="uk-UA"/>
              </w:rPr>
              <w:t xml:space="preserve">Відповідно до положень Схеми планування території Тернопільської міської територіальної громади дана територія визначена </w:t>
            </w:r>
            <w:r w:rsidRPr="0042755C">
              <w:rPr>
                <w:rFonts w:ascii="Times New Roman" w:hAnsi="Times New Roman" w:cs="Times New Roman"/>
                <w:b/>
                <w:sz w:val="24"/>
                <w:szCs w:val="24"/>
                <w:lang w:val="uk-UA"/>
              </w:rPr>
              <w:t xml:space="preserve">для зміни </w:t>
            </w:r>
            <w:r w:rsidRPr="0042755C">
              <w:rPr>
                <w:rFonts w:ascii="Times New Roman" w:hAnsi="Times New Roman" w:cs="Times New Roman"/>
                <w:b/>
                <w:sz w:val="24"/>
                <w:szCs w:val="24"/>
                <w:lang w:val="uk-UA"/>
              </w:rPr>
              <w:lastRenderedPageBreak/>
              <w:t>функціонального призначення.</w:t>
            </w:r>
            <w:r w:rsidRPr="0042755C">
              <w:rPr>
                <w:rFonts w:ascii="Times New Roman" w:hAnsi="Times New Roman" w:cs="Times New Roman"/>
                <w:sz w:val="24"/>
                <w:szCs w:val="24"/>
                <w:lang w:val="uk-UA"/>
              </w:rPr>
              <w:t xml:space="preserve"> З урахуванням положень даної містобудівної документації та діючих вимог п. 4.1 ДБН Б.1.1-14:2012 «Склад та зміст детального плану території»</w:t>
            </w:r>
            <w:r>
              <w:rPr>
                <w:rFonts w:ascii="Times New Roman" w:hAnsi="Times New Roman" w:cs="Times New Roman"/>
                <w:sz w:val="24"/>
                <w:szCs w:val="24"/>
                <w:lang w:val="uk-UA"/>
              </w:rPr>
              <w:t xml:space="preserve"> ДПТ розроблено, в тому числі, </w:t>
            </w:r>
            <w:r w:rsidRPr="0042755C">
              <w:rPr>
                <w:rFonts w:ascii="Times New Roman" w:hAnsi="Times New Roman" w:cs="Times New Roman"/>
                <w:sz w:val="24"/>
                <w:szCs w:val="24"/>
                <w:lang w:val="uk-UA"/>
              </w:rPr>
              <w:t>з метою уточнення функціонального призначення території.</w:t>
            </w:r>
          </w:p>
          <w:p w:rsidR="00745F6E" w:rsidRPr="0042755C" w:rsidRDefault="00745F6E" w:rsidP="00717A27">
            <w:pPr>
              <w:ind w:firstLine="461"/>
              <w:jc w:val="both"/>
              <w:rPr>
                <w:rFonts w:ascii="Times New Roman" w:hAnsi="Times New Roman" w:cs="Times New Roman"/>
                <w:sz w:val="24"/>
                <w:szCs w:val="24"/>
                <w:lang w:val="uk-UA"/>
              </w:rPr>
            </w:pPr>
            <w:r w:rsidRPr="0042755C">
              <w:rPr>
                <w:rFonts w:ascii="Times New Roman" w:hAnsi="Times New Roman" w:cs="Times New Roman"/>
                <w:sz w:val="24"/>
                <w:szCs w:val="24"/>
                <w:lang w:val="uk-UA"/>
              </w:rPr>
              <w:t>Отже, проектні рішення Детального плану території відповідають положенням містобудівної документації вищого рівня.</w:t>
            </w:r>
          </w:p>
          <w:p w:rsidR="00745F6E" w:rsidRPr="0042755C" w:rsidRDefault="00745F6E" w:rsidP="00717A27">
            <w:pPr>
              <w:jc w:val="both"/>
              <w:rPr>
                <w:rFonts w:ascii="Times New Roman" w:hAnsi="Times New Roman" w:cs="Times New Roman"/>
                <w:sz w:val="24"/>
                <w:szCs w:val="24"/>
                <w:lang w:val="uk-UA"/>
              </w:rPr>
            </w:pPr>
          </w:p>
        </w:tc>
      </w:tr>
      <w:tr w:rsidR="00745F6E" w:rsidRPr="00B1765D" w:rsidTr="00EC7BCF">
        <w:tc>
          <w:tcPr>
            <w:tcW w:w="534" w:type="dxa"/>
          </w:tcPr>
          <w:p w:rsidR="00745F6E" w:rsidRPr="00EC7BCF" w:rsidRDefault="00745F6E" w:rsidP="00EC7BCF">
            <w:pPr>
              <w:pStyle w:val="a4"/>
              <w:numPr>
                <w:ilvl w:val="0"/>
                <w:numId w:val="5"/>
              </w:numPr>
              <w:ind w:left="142" w:hanging="142"/>
              <w:jc w:val="center"/>
              <w:rPr>
                <w:rFonts w:ascii="Times New Roman" w:hAnsi="Times New Roman" w:cs="Times New Roman"/>
                <w:sz w:val="24"/>
                <w:szCs w:val="24"/>
                <w:lang w:val="uk-UA"/>
              </w:rPr>
            </w:pPr>
          </w:p>
        </w:tc>
        <w:tc>
          <w:tcPr>
            <w:tcW w:w="1874" w:type="dxa"/>
            <w:vMerge/>
          </w:tcPr>
          <w:p w:rsidR="00745F6E" w:rsidRDefault="00745F6E" w:rsidP="00413C18">
            <w:pPr>
              <w:jc w:val="center"/>
              <w:rPr>
                <w:rFonts w:ascii="Times New Roman" w:hAnsi="Times New Roman" w:cs="Times New Roman"/>
                <w:sz w:val="24"/>
                <w:szCs w:val="24"/>
                <w:lang w:val="uk-UA"/>
              </w:rPr>
            </w:pPr>
          </w:p>
        </w:tc>
        <w:tc>
          <w:tcPr>
            <w:tcW w:w="2236" w:type="dxa"/>
          </w:tcPr>
          <w:p w:rsidR="00745F6E" w:rsidRDefault="00745F6E" w:rsidP="00413C18">
            <w:pPr>
              <w:jc w:val="center"/>
              <w:rPr>
                <w:rFonts w:ascii="Times New Roman" w:hAnsi="Times New Roman" w:cs="Times New Roman"/>
                <w:sz w:val="24"/>
                <w:szCs w:val="24"/>
                <w:lang w:val="uk-UA"/>
              </w:rPr>
            </w:pPr>
          </w:p>
        </w:tc>
        <w:tc>
          <w:tcPr>
            <w:tcW w:w="3828" w:type="dxa"/>
          </w:tcPr>
          <w:p w:rsidR="00745F6E" w:rsidRDefault="00745F6E" w:rsidP="003A4A71">
            <w:pPr>
              <w:rPr>
                <w:rFonts w:ascii="Times New Roman" w:hAnsi="Times New Roman" w:cs="Times New Roman"/>
                <w:sz w:val="24"/>
                <w:szCs w:val="24"/>
                <w:lang w:val="uk-UA" w:bidi="uk-UA"/>
              </w:rPr>
            </w:pPr>
            <w:r w:rsidRPr="000C1159">
              <w:rPr>
                <w:rFonts w:ascii="Times New Roman" w:hAnsi="Times New Roman" w:cs="Times New Roman"/>
                <w:sz w:val="24"/>
                <w:szCs w:val="24"/>
                <w:lang w:val="uk-UA" w:bidi="uk-UA"/>
              </w:rPr>
              <w:t>У Проекті слід передбачити відомості про агрогрупу (типи) ґрунтів, необхідні у тому числі для встановлення належності території проектування до особливо цінних земель, зокрема з урахуванням положень статей 20, 150 та ін. Земельного кодексу України.</w:t>
            </w:r>
          </w:p>
        </w:tc>
        <w:tc>
          <w:tcPr>
            <w:tcW w:w="2410" w:type="dxa"/>
          </w:tcPr>
          <w:p w:rsidR="00745F6E" w:rsidRDefault="00745F6E"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4536" w:type="dxa"/>
          </w:tcPr>
          <w:p w:rsidR="00745F6E" w:rsidRDefault="00745F6E" w:rsidP="000C1159">
            <w:pPr>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типу ґрунтів наведено в ІІІ томі «Охорона навколишнього природного середовища».</w:t>
            </w:r>
          </w:p>
        </w:tc>
      </w:tr>
      <w:tr w:rsidR="00EC7BCF" w:rsidTr="00EC7BCF">
        <w:tc>
          <w:tcPr>
            <w:tcW w:w="15418" w:type="dxa"/>
            <w:gridSpan w:val="6"/>
          </w:tcPr>
          <w:p w:rsidR="00EC7BCF" w:rsidRPr="00EC7BCF" w:rsidRDefault="00EC7BCF" w:rsidP="00EC7BCF">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До звіту про СЕО</w:t>
            </w:r>
          </w:p>
        </w:tc>
      </w:tr>
      <w:tr w:rsidR="00571B00" w:rsidRPr="007E4BFA" w:rsidTr="0006266F">
        <w:tc>
          <w:tcPr>
            <w:tcW w:w="534" w:type="dxa"/>
          </w:tcPr>
          <w:p w:rsidR="00571B00" w:rsidRPr="00402F5F" w:rsidRDefault="00571B00"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val="restart"/>
          </w:tcPr>
          <w:p w:rsidR="00571B00" w:rsidRDefault="00571B00" w:rsidP="00DB5848">
            <w:pPr>
              <w:rPr>
                <w:rFonts w:ascii="Times New Roman" w:hAnsi="Times New Roman" w:cs="Times New Roman"/>
                <w:sz w:val="24"/>
                <w:szCs w:val="24"/>
                <w:lang w:val="uk-UA"/>
              </w:rPr>
            </w:pPr>
            <w:r w:rsidRPr="001A354D">
              <w:rPr>
                <w:rFonts w:ascii="Times New Roman" w:hAnsi="Times New Roman" w:cs="Times New Roman"/>
                <w:sz w:val="24"/>
                <w:szCs w:val="24"/>
                <w:lang w:val="uk-UA" w:bidi="uk-UA"/>
              </w:rPr>
              <w:t>Міністерство захисту довкілля та природних ресурсів України</w:t>
            </w:r>
          </w:p>
        </w:tc>
        <w:tc>
          <w:tcPr>
            <w:tcW w:w="2236" w:type="dxa"/>
          </w:tcPr>
          <w:p w:rsidR="00571B00" w:rsidRDefault="00571B00" w:rsidP="00C22C59">
            <w:pPr>
              <w:rPr>
                <w:rFonts w:ascii="Times New Roman" w:hAnsi="Times New Roman" w:cs="Times New Roman"/>
                <w:sz w:val="24"/>
                <w:szCs w:val="24"/>
                <w:lang w:val="uk-UA"/>
              </w:rPr>
            </w:pPr>
          </w:p>
        </w:tc>
        <w:tc>
          <w:tcPr>
            <w:tcW w:w="3828" w:type="dxa"/>
          </w:tcPr>
          <w:p w:rsidR="00571B00" w:rsidRPr="003A4A71" w:rsidRDefault="00571B00" w:rsidP="003A4A71">
            <w:pPr>
              <w:rPr>
                <w:rFonts w:ascii="Times New Roman" w:hAnsi="Times New Roman" w:cs="Times New Roman"/>
                <w:sz w:val="24"/>
                <w:szCs w:val="24"/>
                <w:lang w:val="uk-UA" w:bidi="uk-UA"/>
              </w:rPr>
            </w:pPr>
            <w:r w:rsidRPr="003A4A71">
              <w:rPr>
                <w:rFonts w:ascii="Times New Roman" w:hAnsi="Times New Roman" w:cs="Times New Roman"/>
                <w:sz w:val="24"/>
                <w:szCs w:val="24"/>
                <w:lang w:val="uk-UA" w:bidi="uk-UA"/>
              </w:rPr>
              <w:t>Відповідно до статті 48 Закону України «Про охорону земель» при здійсненні містобудівної діяльності необхідно передбачити заходи щодо:</w:t>
            </w:r>
          </w:p>
          <w:p w:rsidR="00571B00" w:rsidRPr="003A4A71" w:rsidRDefault="00571B00" w:rsidP="003A4A71">
            <w:pPr>
              <w:rPr>
                <w:rFonts w:ascii="Times New Roman" w:hAnsi="Times New Roman" w:cs="Times New Roman"/>
                <w:sz w:val="24"/>
                <w:szCs w:val="24"/>
                <w:lang w:val="uk-UA" w:bidi="uk-UA"/>
              </w:rPr>
            </w:pPr>
            <w:r w:rsidRPr="003A4A71">
              <w:rPr>
                <w:rFonts w:ascii="Times New Roman" w:hAnsi="Times New Roman" w:cs="Times New Roman"/>
                <w:sz w:val="24"/>
                <w:szCs w:val="24"/>
                <w:lang w:val="uk-UA" w:bidi="uk-UA"/>
              </w:rPr>
              <w:t>максимального збереження площі земельних ділянок з ґрунтовим і рослинним покривом;</w:t>
            </w:r>
          </w:p>
          <w:p w:rsidR="00571B00" w:rsidRPr="003A4A71" w:rsidRDefault="00571B00" w:rsidP="003A4A71">
            <w:pPr>
              <w:rPr>
                <w:rFonts w:ascii="Times New Roman" w:hAnsi="Times New Roman" w:cs="Times New Roman"/>
                <w:sz w:val="24"/>
                <w:szCs w:val="24"/>
                <w:lang w:val="uk-UA" w:bidi="uk-UA"/>
              </w:rPr>
            </w:pPr>
            <w:r w:rsidRPr="003A4A71">
              <w:rPr>
                <w:rFonts w:ascii="Times New Roman" w:hAnsi="Times New Roman" w:cs="Times New Roman"/>
                <w:sz w:val="24"/>
                <w:szCs w:val="24"/>
                <w:lang w:val="uk-UA" w:bidi="uk-UA"/>
              </w:rPr>
              <w:t>зняття та складування у визначених місцях родючого шару ґрунту з наступним використанням його для поліпшення малопродуктивних угідь, рекультивації земель та благоустрою населених пунктів і промислових зон;</w:t>
            </w:r>
          </w:p>
          <w:p w:rsidR="00571B00" w:rsidRPr="003A4A71" w:rsidRDefault="00571B00" w:rsidP="003A4A71">
            <w:pPr>
              <w:rPr>
                <w:rFonts w:ascii="Times New Roman" w:hAnsi="Times New Roman" w:cs="Times New Roman"/>
                <w:sz w:val="24"/>
                <w:szCs w:val="24"/>
                <w:lang w:val="uk-UA" w:bidi="uk-UA"/>
              </w:rPr>
            </w:pPr>
            <w:r w:rsidRPr="003A4A71">
              <w:rPr>
                <w:rFonts w:ascii="Times New Roman" w:hAnsi="Times New Roman" w:cs="Times New Roman"/>
                <w:sz w:val="24"/>
                <w:szCs w:val="24"/>
                <w:lang w:val="uk-UA" w:bidi="uk-UA"/>
              </w:rPr>
              <w:t xml:space="preserve">недопущення порушення гідрологічного режиму земельних </w:t>
            </w:r>
            <w:r w:rsidRPr="003A4A71">
              <w:rPr>
                <w:rFonts w:ascii="Times New Roman" w:hAnsi="Times New Roman" w:cs="Times New Roman"/>
                <w:sz w:val="24"/>
                <w:szCs w:val="24"/>
                <w:lang w:val="uk-UA" w:bidi="uk-UA"/>
              </w:rPr>
              <w:lastRenderedPageBreak/>
              <w:t>ділянок;</w:t>
            </w:r>
          </w:p>
          <w:p w:rsidR="00571B00" w:rsidRPr="00AE3D99" w:rsidRDefault="00571B00" w:rsidP="00C22C59">
            <w:pPr>
              <w:rPr>
                <w:rFonts w:ascii="Times New Roman" w:hAnsi="Times New Roman" w:cs="Times New Roman"/>
                <w:sz w:val="24"/>
                <w:szCs w:val="24"/>
                <w:lang w:val="uk-UA" w:bidi="uk-UA"/>
              </w:rPr>
            </w:pPr>
            <w:r w:rsidRPr="003A4A71">
              <w:rPr>
                <w:rFonts w:ascii="Times New Roman" w:hAnsi="Times New Roman" w:cs="Times New Roman"/>
                <w:sz w:val="24"/>
                <w:szCs w:val="24"/>
                <w:lang w:val="uk-UA" w:bidi="uk-UA"/>
              </w:rPr>
              <w:t>дотримання екологічних вимог, установлених законодавством України, при проєктуванні, розміщенні та будівництві об'єктів.</w:t>
            </w:r>
          </w:p>
        </w:tc>
        <w:tc>
          <w:tcPr>
            <w:tcW w:w="2410" w:type="dxa"/>
          </w:tcPr>
          <w:p w:rsidR="00571B00" w:rsidRDefault="00571B00"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tc>
        <w:tc>
          <w:tcPr>
            <w:tcW w:w="4536" w:type="dxa"/>
          </w:tcPr>
          <w:p w:rsidR="00571B00" w:rsidRDefault="00571B00" w:rsidP="00097B22">
            <w:pPr>
              <w:rPr>
                <w:rFonts w:ascii="Times New Roman" w:hAnsi="Times New Roman" w:cs="Times New Roman"/>
                <w:sz w:val="24"/>
                <w:szCs w:val="24"/>
                <w:lang w:val="uk-UA"/>
              </w:rPr>
            </w:pPr>
            <w:r>
              <w:rPr>
                <w:rFonts w:ascii="Times New Roman" w:hAnsi="Times New Roman" w:cs="Times New Roman"/>
                <w:sz w:val="24"/>
                <w:szCs w:val="24"/>
                <w:lang w:val="uk-UA"/>
              </w:rPr>
              <w:t xml:space="preserve">Перелік заходів наведено у підрозділі </w:t>
            </w:r>
            <w:r w:rsidRPr="001C2D58">
              <w:rPr>
                <w:rFonts w:ascii="Times New Roman" w:hAnsi="Times New Roman" w:cs="Times New Roman"/>
                <w:sz w:val="24"/>
                <w:szCs w:val="24"/>
                <w:lang w:val="uk-UA"/>
              </w:rPr>
              <w:t xml:space="preserve">8.2. </w:t>
            </w:r>
            <w:r>
              <w:rPr>
                <w:rFonts w:ascii="Times New Roman" w:hAnsi="Times New Roman" w:cs="Times New Roman"/>
                <w:sz w:val="24"/>
                <w:szCs w:val="24"/>
                <w:lang w:val="uk-UA"/>
              </w:rPr>
              <w:t>«</w:t>
            </w:r>
            <w:r w:rsidRPr="001C2D58">
              <w:rPr>
                <w:rFonts w:ascii="Times New Roman" w:hAnsi="Times New Roman" w:cs="Times New Roman"/>
                <w:sz w:val="24"/>
                <w:szCs w:val="24"/>
                <w:lang w:val="uk-UA"/>
              </w:rPr>
              <w:t>Захист геологічного та водного середовища, ґрунтів</w:t>
            </w:r>
            <w:r>
              <w:rPr>
                <w:rFonts w:ascii="Times New Roman" w:hAnsi="Times New Roman" w:cs="Times New Roman"/>
                <w:sz w:val="24"/>
                <w:szCs w:val="24"/>
                <w:lang w:val="uk-UA"/>
              </w:rPr>
              <w:t xml:space="preserve">» розділу </w:t>
            </w:r>
            <w:r w:rsidRPr="001C2D58">
              <w:rPr>
                <w:rFonts w:ascii="Times New Roman" w:hAnsi="Times New Roman" w:cs="Times New Roman"/>
                <w:sz w:val="24"/>
                <w:szCs w:val="24"/>
                <w:lang w:val="uk-UA"/>
              </w:rPr>
              <w:t xml:space="preserve">8. </w:t>
            </w:r>
            <w:r>
              <w:rPr>
                <w:rFonts w:ascii="Times New Roman" w:hAnsi="Times New Roman" w:cs="Times New Roman"/>
                <w:sz w:val="24"/>
                <w:szCs w:val="24"/>
                <w:lang w:val="uk-UA"/>
              </w:rPr>
              <w:t>«З</w:t>
            </w:r>
            <w:r w:rsidRPr="001C2D58">
              <w:rPr>
                <w:rFonts w:ascii="Times New Roman" w:hAnsi="Times New Roman" w:cs="Times New Roman"/>
                <w:sz w:val="24"/>
                <w:szCs w:val="24"/>
                <w:lang w:val="uk-UA"/>
              </w:rPr>
              <w:t>аходи, що передбачається вжити для запобігання, зменшення та пом’якшення негативних наслідків виконання документа державного планування</w:t>
            </w:r>
            <w:r>
              <w:rPr>
                <w:rFonts w:ascii="Times New Roman" w:hAnsi="Times New Roman" w:cs="Times New Roman"/>
                <w:sz w:val="24"/>
                <w:szCs w:val="24"/>
                <w:lang w:val="uk-UA"/>
              </w:rPr>
              <w:t>».</w:t>
            </w:r>
          </w:p>
        </w:tc>
      </w:tr>
      <w:tr w:rsidR="00571B00" w:rsidRPr="00105568" w:rsidTr="0006266F">
        <w:tc>
          <w:tcPr>
            <w:tcW w:w="534" w:type="dxa"/>
          </w:tcPr>
          <w:p w:rsidR="00571B00" w:rsidRPr="00402F5F" w:rsidRDefault="00571B00"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tcPr>
          <w:p w:rsidR="00571B00" w:rsidRDefault="00571B00" w:rsidP="00DB5848">
            <w:pPr>
              <w:rPr>
                <w:rFonts w:ascii="Times New Roman" w:hAnsi="Times New Roman" w:cs="Times New Roman"/>
                <w:sz w:val="24"/>
                <w:szCs w:val="24"/>
                <w:lang w:val="uk-UA"/>
              </w:rPr>
            </w:pPr>
          </w:p>
        </w:tc>
        <w:tc>
          <w:tcPr>
            <w:tcW w:w="2236" w:type="dxa"/>
          </w:tcPr>
          <w:p w:rsidR="00571B00" w:rsidRDefault="00571B00" w:rsidP="00413C18">
            <w:pPr>
              <w:jc w:val="center"/>
              <w:rPr>
                <w:rFonts w:ascii="Times New Roman" w:hAnsi="Times New Roman" w:cs="Times New Roman"/>
                <w:sz w:val="24"/>
                <w:szCs w:val="24"/>
                <w:lang w:val="uk-UA"/>
              </w:rPr>
            </w:pPr>
          </w:p>
        </w:tc>
        <w:tc>
          <w:tcPr>
            <w:tcW w:w="3828" w:type="dxa"/>
          </w:tcPr>
          <w:p w:rsidR="00571B00" w:rsidRDefault="00571B00" w:rsidP="003A4A71">
            <w:pPr>
              <w:rPr>
                <w:rFonts w:ascii="Times New Roman" w:hAnsi="Times New Roman" w:cs="Times New Roman"/>
                <w:sz w:val="24"/>
                <w:szCs w:val="24"/>
                <w:lang w:val="uk-UA"/>
              </w:rPr>
            </w:pPr>
            <w:r w:rsidRPr="003A4A71">
              <w:rPr>
                <w:rFonts w:ascii="Times New Roman" w:hAnsi="Times New Roman" w:cs="Times New Roman"/>
                <w:sz w:val="24"/>
                <w:szCs w:val="24"/>
                <w:lang w:val="uk-UA" w:bidi="uk-UA"/>
              </w:rPr>
              <w:t>У Звіті слід передбачити відомості про агрогрупу (</w:t>
            </w:r>
            <w:r>
              <w:rPr>
                <w:rFonts w:ascii="Times New Roman" w:hAnsi="Times New Roman" w:cs="Times New Roman"/>
                <w:sz w:val="24"/>
                <w:szCs w:val="24"/>
                <w:lang w:val="uk-UA" w:bidi="uk-UA"/>
              </w:rPr>
              <w:t>ти</w:t>
            </w:r>
            <w:r w:rsidRPr="003A4A71">
              <w:rPr>
                <w:rFonts w:ascii="Times New Roman" w:hAnsi="Times New Roman" w:cs="Times New Roman"/>
                <w:sz w:val="24"/>
                <w:szCs w:val="24"/>
                <w:lang w:val="uk-UA" w:bidi="uk-UA"/>
              </w:rPr>
              <w:t>пи) ґрунтів, необхідні у тому числі для встановлення належності території проектування до особливо цінних земель, зокрема з урахуванням положень статей 20, 150 та ін. Земельного кодексу України.</w:t>
            </w:r>
          </w:p>
        </w:tc>
        <w:tc>
          <w:tcPr>
            <w:tcW w:w="2410" w:type="dxa"/>
          </w:tcPr>
          <w:p w:rsidR="00571B00" w:rsidRDefault="00571B00" w:rsidP="0049367D">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4536" w:type="dxa"/>
          </w:tcPr>
          <w:p w:rsidR="00571B00" w:rsidRDefault="00571B00" w:rsidP="00476BD8">
            <w:p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щодо даних стосовно ґрунтів наведено в підрозділі 3.4. «</w:t>
            </w:r>
            <w:r w:rsidRPr="00105568">
              <w:rPr>
                <w:rFonts w:ascii="Times New Roman" w:hAnsi="Times New Roman" w:cs="Times New Roman"/>
                <w:sz w:val="24"/>
                <w:szCs w:val="24"/>
                <w:lang w:val="uk-UA"/>
              </w:rPr>
              <w:t>Земельні ресурси та ґрунти</w:t>
            </w:r>
            <w:r>
              <w:rPr>
                <w:rFonts w:ascii="Times New Roman" w:hAnsi="Times New Roman" w:cs="Times New Roman"/>
                <w:sz w:val="24"/>
                <w:szCs w:val="24"/>
                <w:lang w:val="uk-UA"/>
              </w:rPr>
              <w:t>» розділу 3 «Х</w:t>
            </w:r>
            <w:r w:rsidRPr="00105568">
              <w:rPr>
                <w:rFonts w:ascii="Times New Roman" w:hAnsi="Times New Roman" w:cs="Times New Roman"/>
                <w:sz w:val="24"/>
                <w:szCs w:val="24"/>
                <w:lang w:val="uk-UA"/>
              </w:rPr>
              <w:t>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Pr>
                <w:rFonts w:ascii="Times New Roman" w:hAnsi="Times New Roman" w:cs="Times New Roman"/>
                <w:sz w:val="24"/>
                <w:szCs w:val="24"/>
                <w:lang w:val="uk-UA"/>
              </w:rPr>
              <w:t>»</w:t>
            </w:r>
            <w:r w:rsidRPr="00105568">
              <w:rPr>
                <w:rFonts w:ascii="Times New Roman" w:hAnsi="Times New Roman" w:cs="Times New Roman"/>
                <w:sz w:val="24"/>
                <w:szCs w:val="24"/>
                <w:lang w:val="uk-UA"/>
              </w:rPr>
              <w:t xml:space="preserve"> </w:t>
            </w:r>
            <w:r>
              <w:rPr>
                <w:rFonts w:ascii="Times New Roman" w:hAnsi="Times New Roman" w:cs="Times New Roman"/>
                <w:sz w:val="24"/>
                <w:szCs w:val="24"/>
                <w:lang w:val="uk-UA"/>
              </w:rPr>
              <w:t>ІІІ тому «Охорона навколишнього природного середовища».</w:t>
            </w:r>
          </w:p>
        </w:tc>
      </w:tr>
      <w:tr w:rsidR="00571B00" w:rsidRPr="005638CF" w:rsidTr="0006266F">
        <w:tc>
          <w:tcPr>
            <w:tcW w:w="534" w:type="dxa"/>
          </w:tcPr>
          <w:p w:rsidR="00571B00" w:rsidRPr="00402F5F" w:rsidRDefault="00571B00"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tcPr>
          <w:p w:rsidR="00571B00" w:rsidRDefault="00571B00" w:rsidP="00DB5848">
            <w:pPr>
              <w:rPr>
                <w:rFonts w:ascii="Times New Roman" w:hAnsi="Times New Roman" w:cs="Times New Roman"/>
                <w:sz w:val="24"/>
                <w:szCs w:val="24"/>
                <w:lang w:val="uk-UA"/>
              </w:rPr>
            </w:pPr>
          </w:p>
        </w:tc>
        <w:tc>
          <w:tcPr>
            <w:tcW w:w="2236" w:type="dxa"/>
          </w:tcPr>
          <w:p w:rsidR="00571B00" w:rsidRDefault="00571B00" w:rsidP="00413C18">
            <w:pPr>
              <w:jc w:val="center"/>
              <w:rPr>
                <w:rFonts w:ascii="Times New Roman" w:hAnsi="Times New Roman" w:cs="Times New Roman"/>
                <w:sz w:val="24"/>
                <w:szCs w:val="24"/>
                <w:lang w:val="uk-UA"/>
              </w:rPr>
            </w:pPr>
          </w:p>
        </w:tc>
        <w:tc>
          <w:tcPr>
            <w:tcW w:w="3828" w:type="dxa"/>
          </w:tcPr>
          <w:p w:rsidR="00571B00" w:rsidRPr="00A133E8" w:rsidRDefault="00571B00" w:rsidP="00A133E8">
            <w:pPr>
              <w:tabs>
                <w:tab w:val="left" w:pos="285"/>
              </w:tabs>
              <w:rPr>
                <w:rFonts w:ascii="Times New Roman" w:hAnsi="Times New Roman" w:cs="Times New Roman"/>
                <w:sz w:val="24"/>
                <w:szCs w:val="24"/>
                <w:lang w:val="uk-UA" w:bidi="uk-UA"/>
              </w:rPr>
            </w:pPr>
            <w:r w:rsidRPr="00105568">
              <w:rPr>
                <w:rFonts w:ascii="Times New Roman" w:hAnsi="Times New Roman" w:cs="Times New Roman"/>
                <w:sz w:val="24"/>
                <w:szCs w:val="24"/>
                <w:lang w:val="uk-UA" w:bidi="uk-UA"/>
              </w:rPr>
              <w:t xml:space="preserve">У Проєкті та Звіті має бути опрацьовано </w:t>
            </w:r>
            <w:r w:rsidRPr="00A133E8">
              <w:rPr>
                <w:rFonts w:ascii="Times New Roman" w:hAnsi="Times New Roman" w:cs="Times New Roman"/>
                <w:sz w:val="24"/>
                <w:szCs w:val="24"/>
                <w:lang w:val="uk-UA" w:bidi="uk-UA"/>
              </w:rPr>
              <w:t xml:space="preserve"> викладення повних коректних</w:t>
            </w:r>
            <w:r>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відомостей щодо природоохоронних територій та об’єктів, забезпечення їх</w:t>
            </w:r>
            <w:r>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збереження та дотримання режиму (чітко зазначивши про наявність чи</w:t>
            </w:r>
            <w:r>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відсутність кожного з них, вплив на них та наслідки для них тощо), виходячи з</w:t>
            </w:r>
            <w:r>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визначення, наведеного у підпункті 26 пункту 2 Порядку 926: «природоохоронні</w:t>
            </w:r>
            <w:r w:rsidR="00A1104B">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території та об’єкти - території та об’єкти природно-заповідного фонду, їх</w:t>
            </w:r>
            <w:r>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 xml:space="preserve">функціональні та охоронні зони, території, </w:t>
            </w:r>
            <w:r w:rsidRPr="00A133E8">
              <w:rPr>
                <w:rFonts w:ascii="Times New Roman" w:hAnsi="Times New Roman" w:cs="Times New Roman"/>
                <w:sz w:val="24"/>
                <w:szCs w:val="24"/>
                <w:lang w:val="uk-UA" w:bidi="uk-UA"/>
              </w:rPr>
              <w:lastRenderedPageBreak/>
              <w:t>зарезервовані з метою наступного</w:t>
            </w:r>
            <w:r w:rsidR="00A1104B">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заповідання, території та об’єкти екомережі, території Смарагдової мережі,</w:t>
            </w:r>
            <w:r>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 xml:space="preserve"> водно-болотні угіддя міжнародного значення, біосферні резервати програми</w:t>
            </w:r>
            <w:r>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ЮНЕСКО «Людина і біосфера», об’єкти всесвітньої спадщини ЮНЕСКО».</w:t>
            </w:r>
          </w:p>
          <w:p w:rsidR="00571B00" w:rsidRPr="005638CF" w:rsidRDefault="00571B00" w:rsidP="00571B00">
            <w:pPr>
              <w:tabs>
                <w:tab w:val="left" w:pos="285"/>
              </w:tabs>
              <w:rPr>
                <w:rFonts w:ascii="Times New Roman" w:hAnsi="Times New Roman" w:cs="Times New Roman"/>
                <w:sz w:val="24"/>
                <w:szCs w:val="24"/>
                <w:lang w:val="uk-UA" w:bidi="uk-UA"/>
              </w:rPr>
            </w:pPr>
            <w:r w:rsidRPr="00A133E8">
              <w:rPr>
                <w:rFonts w:ascii="Times New Roman" w:hAnsi="Times New Roman" w:cs="Times New Roman"/>
                <w:sz w:val="24"/>
                <w:szCs w:val="24"/>
                <w:lang w:val="uk-UA" w:bidi="uk-UA"/>
              </w:rPr>
              <w:t>При цьому, відомості щодо територій та об’єктів екомережі, слід наводити</w:t>
            </w:r>
            <w:r>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з урахуванням переліку складових структурних елементів екомережі, який</w:t>
            </w:r>
            <w:r>
              <w:rPr>
                <w:rFonts w:ascii="Times New Roman" w:hAnsi="Times New Roman" w:cs="Times New Roman"/>
                <w:sz w:val="24"/>
                <w:szCs w:val="24"/>
                <w:lang w:val="uk-UA" w:bidi="uk-UA"/>
              </w:rPr>
              <w:t xml:space="preserve"> </w:t>
            </w:r>
            <w:r w:rsidRPr="00A133E8">
              <w:rPr>
                <w:rFonts w:ascii="Times New Roman" w:hAnsi="Times New Roman" w:cs="Times New Roman"/>
                <w:sz w:val="24"/>
                <w:szCs w:val="24"/>
                <w:lang w:val="uk-UA" w:bidi="uk-UA"/>
              </w:rPr>
              <w:t>визначений статтею 5 Закону України «Про екологічну мережу України».</w:t>
            </w:r>
          </w:p>
        </w:tc>
        <w:tc>
          <w:tcPr>
            <w:tcW w:w="2410" w:type="dxa"/>
          </w:tcPr>
          <w:p w:rsidR="00571B00" w:rsidRDefault="00571B00"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 частково</w:t>
            </w:r>
          </w:p>
        </w:tc>
        <w:tc>
          <w:tcPr>
            <w:tcW w:w="4536" w:type="dxa"/>
          </w:tcPr>
          <w:p w:rsidR="00571B00" w:rsidRDefault="00571B00" w:rsidP="004C3AF2">
            <w:pPr>
              <w:rPr>
                <w:rFonts w:ascii="Times New Roman" w:hAnsi="Times New Roman" w:cs="Times New Roman"/>
                <w:sz w:val="24"/>
                <w:szCs w:val="24"/>
                <w:lang w:val="uk-UA"/>
              </w:rPr>
            </w:pPr>
            <w:r>
              <w:rPr>
                <w:rFonts w:ascii="Times New Roman" w:hAnsi="Times New Roman" w:cs="Times New Roman"/>
                <w:sz w:val="24"/>
                <w:szCs w:val="24"/>
                <w:lang w:val="uk-UA"/>
              </w:rPr>
              <w:t>Зазначені відомості наведено у підрозділі</w:t>
            </w:r>
            <w:bookmarkStart w:id="1" w:name="_Toc107993219"/>
            <w:r>
              <w:rPr>
                <w:rFonts w:ascii="Times New Roman" w:hAnsi="Times New Roman" w:cs="Times New Roman"/>
                <w:sz w:val="24"/>
                <w:szCs w:val="24"/>
                <w:lang w:val="uk-UA"/>
              </w:rPr>
              <w:t xml:space="preserve"> </w:t>
            </w:r>
            <w:r w:rsidRPr="00073ECA">
              <w:rPr>
                <w:rFonts w:ascii="Times New Roman" w:hAnsi="Times New Roman" w:cs="Times New Roman"/>
                <w:sz w:val="24"/>
                <w:szCs w:val="24"/>
                <w:lang w:val="uk-UA"/>
              </w:rPr>
              <w:t>3.</w:t>
            </w:r>
            <w:r w:rsidRPr="00073ECA">
              <w:rPr>
                <w:rFonts w:ascii="Times New Roman" w:hAnsi="Times New Roman" w:cs="Times New Roman"/>
                <w:sz w:val="24"/>
                <w:szCs w:val="24"/>
              </w:rPr>
              <w:t>6</w:t>
            </w:r>
            <w:r w:rsidRPr="00073ECA">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73ECA">
              <w:rPr>
                <w:rFonts w:ascii="Times New Roman" w:hAnsi="Times New Roman" w:cs="Times New Roman"/>
                <w:sz w:val="24"/>
                <w:szCs w:val="24"/>
                <w:lang w:val="uk-UA"/>
              </w:rPr>
              <w:t>Екологічна мережа, природно-заповідний фонд, біорізноманіття</w:t>
            </w:r>
            <w:bookmarkEnd w:id="1"/>
            <w:r>
              <w:rPr>
                <w:rFonts w:ascii="Times New Roman" w:hAnsi="Times New Roman" w:cs="Times New Roman"/>
                <w:sz w:val="24"/>
                <w:szCs w:val="24"/>
                <w:lang w:val="uk-UA"/>
              </w:rPr>
              <w:t xml:space="preserve">» розділу </w:t>
            </w:r>
            <w:r w:rsidRPr="00073ECA">
              <w:rPr>
                <w:rFonts w:ascii="Times New Roman" w:hAnsi="Times New Roman" w:cs="Times New Roman"/>
                <w:sz w:val="24"/>
                <w:szCs w:val="24"/>
                <w:lang w:val="uk-UA"/>
              </w:rPr>
              <w:t xml:space="preserve">3. </w:t>
            </w:r>
            <w:r>
              <w:rPr>
                <w:rFonts w:ascii="Times New Roman" w:hAnsi="Times New Roman" w:cs="Times New Roman"/>
                <w:sz w:val="24"/>
                <w:szCs w:val="24"/>
                <w:lang w:val="uk-UA"/>
              </w:rPr>
              <w:t>«Х</w:t>
            </w:r>
            <w:r w:rsidRPr="00073ECA">
              <w:rPr>
                <w:rFonts w:ascii="Times New Roman" w:hAnsi="Times New Roman" w:cs="Times New Roman"/>
                <w:sz w:val="24"/>
                <w:szCs w:val="24"/>
                <w:lang w:val="uk-UA"/>
              </w:rPr>
              <w:t>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Pr>
                <w:rFonts w:ascii="Times New Roman" w:hAnsi="Times New Roman" w:cs="Times New Roman"/>
                <w:sz w:val="24"/>
                <w:szCs w:val="24"/>
                <w:lang w:val="uk-UA"/>
              </w:rPr>
              <w:t>» тому ІІІ «О</w:t>
            </w:r>
            <w:r w:rsidRPr="00073ECA">
              <w:rPr>
                <w:rFonts w:ascii="Times New Roman" w:hAnsi="Times New Roman" w:cs="Times New Roman"/>
                <w:sz w:val="24"/>
                <w:szCs w:val="24"/>
                <w:lang w:val="uk-UA"/>
              </w:rPr>
              <w:t>хорона навколишнього природного середовища</w:t>
            </w:r>
            <w:r>
              <w:rPr>
                <w:rFonts w:ascii="Times New Roman" w:hAnsi="Times New Roman" w:cs="Times New Roman"/>
                <w:sz w:val="24"/>
                <w:szCs w:val="24"/>
                <w:lang w:val="uk-UA"/>
              </w:rPr>
              <w:t>» проєкту «Д</w:t>
            </w:r>
            <w:r w:rsidRPr="004D02DD">
              <w:rPr>
                <w:rFonts w:ascii="Times New Roman" w:hAnsi="Times New Roman" w:cs="Times New Roman"/>
                <w:sz w:val="24"/>
                <w:szCs w:val="24"/>
                <w:lang w:val="uk-UA"/>
              </w:rPr>
              <w:t xml:space="preserve">етальний план території, що межує з земельною </w:t>
            </w:r>
            <w:r>
              <w:rPr>
                <w:rFonts w:ascii="Times New Roman" w:hAnsi="Times New Roman" w:cs="Times New Roman"/>
                <w:sz w:val="24"/>
                <w:szCs w:val="24"/>
                <w:lang w:val="uk-UA"/>
              </w:rPr>
              <w:t>д</w:t>
            </w:r>
            <w:r w:rsidRPr="004D02DD">
              <w:rPr>
                <w:rFonts w:ascii="Times New Roman" w:hAnsi="Times New Roman" w:cs="Times New Roman"/>
                <w:sz w:val="24"/>
                <w:szCs w:val="24"/>
                <w:lang w:val="uk-UA"/>
              </w:rPr>
              <w:t>ілянкою полігону твердих побутових відходів (кад. ном. 6122685400:01:001:111335)</w:t>
            </w:r>
            <w:r>
              <w:rPr>
                <w:rFonts w:ascii="Times New Roman" w:hAnsi="Times New Roman" w:cs="Times New Roman"/>
                <w:sz w:val="24"/>
                <w:szCs w:val="24"/>
                <w:lang w:val="uk-UA"/>
              </w:rPr>
              <w:t xml:space="preserve"> </w:t>
            </w:r>
            <w:r w:rsidRPr="004D02DD">
              <w:rPr>
                <w:rFonts w:ascii="Times New Roman" w:hAnsi="Times New Roman" w:cs="Times New Roman"/>
                <w:sz w:val="24"/>
                <w:szCs w:val="24"/>
                <w:lang w:val="uk-UA"/>
              </w:rPr>
              <w:t>за межами населеного пункту села малашівці</w:t>
            </w:r>
            <w:r>
              <w:rPr>
                <w:rFonts w:ascii="Times New Roman" w:hAnsi="Times New Roman" w:cs="Times New Roman"/>
                <w:sz w:val="24"/>
                <w:szCs w:val="24"/>
                <w:lang w:val="uk-UA"/>
              </w:rPr>
              <w:t xml:space="preserve"> </w:t>
            </w:r>
            <w:r w:rsidRPr="004D02DD">
              <w:rPr>
                <w:rFonts w:ascii="Times New Roman" w:hAnsi="Times New Roman" w:cs="Times New Roman"/>
                <w:sz w:val="24"/>
                <w:szCs w:val="24"/>
                <w:lang w:val="uk-UA"/>
              </w:rPr>
              <w:t xml:space="preserve">тернопільської міської територіальної </w:t>
            </w:r>
            <w:r w:rsidRPr="004D02DD">
              <w:rPr>
                <w:rFonts w:ascii="Times New Roman" w:hAnsi="Times New Roman" w:cs="Times New Roman"/>
                <w:sz w:val="24"/>
                <w:szCs w:val="24"/>
                <w:lang w:val="uk-UA"/>
              </w:rPr>
              <w:lastRenderedPageBreak/>
              <w:t>громади</w:t>
            </w:r>
            <w:r>
              <w:rPr>
                <w:rFonts w:ascii="Times New Roman" w:hAnsi="Times New Roman" w:cs="Times New Roman"/>
                <w:sz w:val="24"/>
                <w:szCs w:val="24"/>
                <w:lang w:val="uk-UA"/>
              </w:rPr>
              <w:t xml:space="preserve">». Відповідно до вимог </w:t>
            </w:r>
            <w:r w:rsidRPr="004C3AF2">
              <w:rPr>
                <w:rFonts w:ascii="Times New Roman" w:hAnsi="Times New Roman" w:cs="Times New Roman"/>
                <w:sz w:val="24"/>
                <w:szCs w:val="24"/>
                <w:lang w:val="uk-UA"/>
              </w:rPr>
              <w:t>ДБН Б.1.1-14:2012  «Склад та зм</w:t>
            </w:r>
            <w:r>
              <w:rPr>
                <w:rFonts w:ascii="Times New Roman" w:hAnsi="Times New Roman" w:cs="Times New Roman"/>
                <w:sz w:val="24"/>
                <w:szCs w:val="24"/>
                <w:lang w:val="uk-UA"/>
              </w:rPr>
              <w:t xml:space="preserve">іст детального плану території» дублювання данної інформації в томі І «Основна частина» </w:t>
            </w:r>
            <w:r w:rsidRPr="004C3AF2">
              <w:rPr>
                <w:rFonts w:ascii="Times New Roman" w:hAnsi="Times New Roman" w:cs="Times New Roman"/>
                <w:sz w:val="24"/>
                <w:szCs w:val="24"/>
                <w:lang w:val="uk-UA"/>
              </w:rPr>
              <w:t xml:space="preserve">проєкту </w:t>
            </w:r>
            <w:r>
              <w:rPr>
                <w:rFonts w:ascii="Times New Roman" w:hAnsi="Times New Roman" w:cs="Times New Roman"/>
                <w:sz w:val="24"/>
                <w:szCs w:val="24"/>
                <w:lang w:val="uk-UA"/>
              </w:rPr>
              <w:t>не передбачено.</w:t>
            </w:r>
          </w:p>
        </w:tc>
      </w:tr>
      <w:tr w:rsidR="00571B00" w:rsidRPr="0042755C" w:rsidTr="0006266F">
        <w:tc>
          <w:tcPr>
            <w:tcW w:w="534" w:type="dxa"/>
          </w:tcPr>
          <w:p w:rsidR="00571B00" w:rsidRPr="00402F5F" w:rsidRDefault="00571B00"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tcPr>
          <w:p w:rsidR="00571B00" w:rsidRDefault="00571B00" w:rsidP="00DB5848">
            <w:pPr>
              <w:rPr>
                <w:rFonts w:ascii="Times New Roman" w:hAnsi="Times New Roman" w:cs="Times New Roman"/>
                <w:sz w:val="24"/>
                <w:szCs w:val="24"/>
                <w:lang w:val="uk-UA"/>
              </w:rPr>
            </w:pPr>
          </w:p>
        </w:tc>
        <w:tc>
          <w:tcPr>
            <w:tcW w:w="2236" w:type="dxa"/>
          </w:tcPr>
          <w:p w:rsidR="00571B00" w:rsidRDefault="00571B00" w:rsidP="00413C18">
            <w:pPr>
              <w:jc w:val="center"/>
              <w:rPr>
                <w:rFonts w:ascii="Times New Roman" w:hAnsi="Times New Roman" w:cs="Times New Roman"/>
                <w:sz w:val="24"/>
                <w:szCs w:val="24"/>
                <w:lang w:val="uk-UA"/>
              </w:rPr>
            </w:pPr>
          </w:p>
        </w:tc>
        <w:tc>
          <w:tcPr>
            <w:tcW w:w="3828" w:type="dxa"/>
          </w:tcPr>
          <w:p w:rsidR="00571B00" w:rsidRDefault="00571B00" w:rsidP="00A133E8">
            <w:pPr>
              <w:rPr>
                <w:rFonts w:ascii="Times New Roman" w:hAnsi="Times New Roman" w:cs="Times New Roman"/>
                <w:sz w:val="24"/>
                <w:szCs w:val="24"/>
                <w:lang w:val="uk-UA"/>
              </w:rPr>
            </w:pPr>
            <w:r>
              <w:rPr>
                <w:rFonts w:ascii="Times New Roman" w:hAnsi="Times New Roman" w:cs="Times New Roman"/>
                <w:sz w:val="24"/>
                <w:szCs w:val="24"/>
                <w:lang w:val="uk-UA"/>
              </w:rPr>
              <w:t xml:space="preserve">Врахувати вимоги пункту 2.2 </w:t>
            </w:r>
            <w:r w:rsidRPr="00A133E8">
              <w:rPr>
                <w:rFonts w:ascii="Times New Roman" w:hAnsi="Times New Roman" w:cs="Times New Roman"/>
                <w:sz w:val="24"/>
                <w:szCs w:val="24"/>
                <w:lang w:val="uk-UA"/>
              </w:rPr>
              <w:t>ДБН В.2.4-2-2005 «Полігони твердих побутових відходів. Основні по</w:t>
            </w:r>
            <w:r>
              <w:rPr>
                <w:rFonts w:ascii="Times New Roman" w:hAnsi="Times New Roman" w:cs="Times New Roman"/>
                <w:sz w:val="24"/>
                <w:szCs w:val="24"/>
                <w:lang w:val="uk-UA"/>
              </w:rPr>
              <w:t>ложення проектування», зокрема:</w:t>
            </w:r>
          </w:p>
          <w:p w:rsidR="00571B00" w:rsidRPr="00A133E8" w:rsidRDefault="00571B00" w:rsidP="00A133E8">
            <w:pPr>
              <w:rPr>
                <w:rFonts w:ascii="Times New Roman" w:hAnsi="Times New Roman" w:cs="Times New Roman"/>
                <w:sz w:val="24"/>
                <w:szCs w:val="24"/>
                <w:lang w:val="uk-UA"/>
              </w:rPr>
            </w:pPr>
            <w:r w:rsidRPr="00A133E8">
              <w:rPr>
                <w:rFonts w:ascii="Times New Roman" w:hAnsi="Times New Roman" w:cs="Times New Roman"/>
                <w:sz w:val="24"/>
                <w:szCs w:val="24"/>
                <w:lang w:val="uk-UA"/>
              </w:rPr>
              <w:t>Полігони ТПВ розміщують:</w:t>
            </w:r>
          </w:p>
          <w:p w:rsidR="00571B00" w:rsidRPr="00A133E8" w:rsidRDefault="00571B00" w:rsidP="00A133E8">
            <w:pPr>
              <w:rPr>
                <w:rFonts w:ascii="Times New Roman" w:hAnsi="Times New Roman" w:cs="Times New Roman"/>
                <w:sz w:val="24"/>
                <w:szCs w:val="24"/>
                <w:lang w:val="uk-UA"/>
              </w:rPr>
            </w:pPr>
            <w:r w:rsidRPr="00A133E8">
              <w:rPr>
                <w:rFonts w:ascii="Times New Roman" w:hAnsi="Times New Roman" w:cs="Times New Roman"/>
                <w:sz w:val="24"/>
                <w:szCs w:val="24"/>
                <w:lang w:val="uk-UA"/>
              </w:rPr>
              <w:t>1)</w:t>
            </w:r>
            <w:r w:rsidRPr="00A133E8">
              <w:rPr>
                <w:rFonts w:ascii="Times New Roman" w:hAnsi="Times New Roman" w:cs="Times New Roman"/>
                <w:sz w:val="24"/>
                <w:szCs w:val="24"/>
                <w:lang w:val="uk-UA"/>
              </w:rPr>
              <w:tab/>
              <w:t>на землях несільськогосподарського призначення, непридатних для сільського господарства, погіршеної якості, не зайнятих зеленими насадженнями...;</w:t>
            </w:r>
          </w:p>
          <w:p w:rsidR="00571B00" w:rsidRPr="00A133E8" w:rsidRDefault="00571B00" w:rsidP="00A133E8">
            <w:pPr>
              <w:rPr>
                <w:rFonts w:ascii="Times New Roman" w:hAnsi="Times New Roman" w:cs="Times New Roman"/>
                <w:sz w:val="24"/>
                <w:szCs w:val="24"/>
                <w:lang w:val="uk-UA"/>
              </w:rPr>
            </w:pPr>
            <w:r w:rsidRPr="00A133E8">
              <w:rPr>
                <w:rFonts w:ascii="Times New Roman" w:hAnsi="Times New Roman" w:cs="Times New Roman"/>
                <w:sz w:val="24"/>
                <w:szCs w:val="24"/>
                <w:lang w:val="uk-UA"/>
              </w:rPr>
              <w:t>2)</w:t>
            </w:r>
            <w:r w:rsidRPr="00A133E8">
              <w:rPr>
                <w:rFonts w:ascii="Times New Roman" w:hAnsi="Times New Roman" w:cs="Times New Roman"/>
                <w:sz w:val="24"/>
                <w:szCs w:val="24"/>
                <w:lang w:val="uk-UA"/>
              </w:rPr>
              <w:tab/>
              <w:t xml:space="preserve">на ділянках, де є можливість вжиття заходів і впровадження інженерних рішень, що виключають забруднення </w:t>
            </w:r>
            <w:r w:rsidRPr="00A133E8">
              <w:rPr>
                <w:rFonts w:ascii="Times New Roman" w:hAnsi="Times New Roman" w:cs="Times New Roman"/>
                <w:sz w:val="24"/>
                <w:szCs w:val="24"/>
                <w:lang w:val="uk-UA"/>
              </w:rPr>
              <w:lastRenderedPageBreak/>
              <w:t>навколишнього природного середовища, розвиток небезпечних геологічних процесів чи інших негативних процесів і явищ;</w:t>
            </w:r>
          </w:p>
          <w:p w:rsidR="00571B00" w:rsidRPr="00A133E8" w:rsidRDefault="00571B00" w:rsidP="00A133E8">
            <w:pPr>
              <w:rPr>
                <w:rFonts w:ascii="Times New Roman" w:hAnsi="Times New Roman" w:cs="Times New Roman"/>
                <w:sz w:val="24"/>
                <w:szCs w:val="24"/>
                <w:lang w:val="uk-UA"/>
              </w:rPr>
            </w:pPr>
            <w:r w:rsidRPr="00A133E8">
              <w:rPr>
                <w:rFonts w:ascii="Times New Roman" w:hAnsi="Times New Roman" w:cs="Times New Roman"/>
                <w:sz w:val="24"/>
                <w:szCs w:val="24"/>
                <w:lang w:val="uk-UA"/>
              </w:rPr>
              <w:t>3)</w:t>
            </w:r>
            <w:r w:rsidRPr="00A133E8">
              <w:rPr>
                <w:rFonts w:ascii="Times New Roman" w:hAnsi="Times New Roman" w:cs="Times New Roman"/>
                <w:sz w:val="24"/>
                <w:szCs w:val="24"/>
                <w:lang w:val="uk-UA"/>
              </w:rPr>
              <w:tab/>
              <w:t>на ділянках, прилеглих до міських територій, якщо вони не включені в житлову забудову відповідно до генерального плану розвитку міста на найближчі 25 років, а також під перспективну забудову;</w:t>
            </w:r>
          </w:p>
          <w:p w:rsidR="00571B00" w:rsidRPr="00A133E8" w:rsidRDefault="00571B00" w:rsidP="00A133E8">
            <w:pPr>
              <w:rPr>
                <w:rFonts w:ascii="Times New Roman" w:hAnsi="Times New Roman" w:cs="Times New Roman"/>
                <w:sz w:val="24"/>
                <w:szCs w:val="24"/>
                <w:lang w:val="uk-UA"/>
              </w:rPr>
            </w:pPr>
            <w:r w:rsidRPr="00A133E8">
              <w:rPr>
                <w:rFonts w:ascii="Times New Roman" w:hAnsi="Times New Roman" w:cs="Times New Roman"/>
                <w:sz w:val="24"/>
                <w:szCs w:val="24"/>
                <w:lang w:val="uk-UA"/>
              </w:rPr>
              <w:t>4)</w:t>
            </w:r>
            <w:r w:rsidRPr="00A133E8">
              <w:rPr>
                <w:rFonts w:ascii="Times New Roman" w:hAnsi="Times New Roman" w:cs="Times New Roman"/>
                <w:sz w:val="24"/>
                <w:szCs w:val="24"/>
                <w:lang w:val="uk-UA"/>
              </w:rPr>
              <w:tab/>
              <w:t>на ділянках, що характеризуються природною захищеністю підземних вод від забруднення;</w:t>
            </w:r>
          </w:p>
          <w:p w:rsidR="00571B00" w:rsidRPr="00A133E8" w:rsidRDefault="00571B00" w:rsidP="00A133E8">
            <w:pPr>
              <w:rPr>
                <w:rFonts w:ascii="Times New Roman" w:hAnsi="Times New Roman" w:cs="Times New Roman"/>
                <w:sz w:val="24"/>
                <w:szCs w:val="24"/>
                <w:lang w:val="uk-UA"/>
              </w:rPr>
            </w:pPr>
            <w:r w:rsidRPr="00A133E8">
              <w:rPr>
                <w:rFonts w:ascii="Times New Roman" w:hAnsi="Times New Roman" w:cs="Times New Roman"/>
                <w:sz w:val="24"/>
                <w:szCs w:val="24"/>
                <w:lang w:val="uk-UA"/>
              </w:rPr>
              <w:t>5)</w:t>
            </w:r>
            <w:r w:rsidRPr="00A133E8">
              <w:rPr>
                <w:rFonts w:ascii="Times New Roman" w:hAnsi="Times New Roman" w:cs="Times New Roman"/>
                <w:sz w:val="24"/>
                <w:szCs w:val="24"/>
                <w:lang w:val="uk-UA"/>
              </w:rPr>
              <w:tab/>
              <w:t>за межами зон можливого впливу на водозабори, поверхневі води, заповідники, курорти тощо;</w:t>
            </w:r>
          </w:p>
          <w:p w:rsidR="00571B00" w:rsidRPr="00A133E8" w:rsidRDefault="00571B00" w:rsidP="00A133E8">
            <w:pPr>
              <w:rPr>
                <w:rFonts w:ascii="Times New Roman" w:hAnsi="Times New Roman" w:cs="Times New Roman"/>
                <w:sz w:val="24"/>
                <w:szCs w:val="24"/>
                <w:lang w:val="uk-UA"/>
              </w:rPr>
            </w:pPr>
            <w:r w:rsidRPr="00A133E8">
              <w:rPr>
                <w:rFonts w:ascii="Times New Roman" w:hAnsi="Times New Roman" w:cs="Times New Roman"/>
                <w:sz w:val="24"/>
                <w:szCs w:val="24"/>
                <w:lang w:val="uk-UA"/>
              </w:rPr>
              <w:t>6)</w:t>
            </w:r>
            <w:r w:rsidRPr="00A133E8">
              <w:rPr>
                <w:rFonts w:ascii="Times New Roman" w:hAnsi="Times New Roman" w:cs="Times New Roman"/>
                <w:sz w:val="24"/>
                <w:szCs w:val="24"/>
                <w:lang w:val="uk-UA"/>
              </w:rPr>
              <w:tab/>
              <w:t>з урахуванням рози вітрів відносно житлової забудови, зон відпочинку й інших місць масового перебування населення за межами санітарно-захисної зони;</w:t>
            </w:r>
          </w:p>
          <w:p w:rsidR="00571B00" w:rsidRPr="00A133E8" w:rsidRDefault="00571B00" w:rsidP="00A133E8">
            <w:pPr>
              <w:rPr>
                <w:rFonts w:ascii="Times New Roman" w:hAnsi="Times New Roman" w:cs="Times New Roman"/>
                <w:sz w:val="24"/>
                <w:szCs w:val="24"/>
                <w:lang w:val="uk-UA"/>
              </w:rPr>
            </w:pPr>
            <w:r w:rsidRPr="00A133E8">
              <w:rPr>
                <w:rFonts w:ascii="Times New Roman" w:hAnsi="Times New Roman" w:cs="Times New Roman"/>
                <w:sz w:val="24"/>
                <w:szCs w:val="24"/>
                <w:lang w:val="uk-UA"/>
              </w:rPr>
              <w:t>7)</w:t>
            </w:r>
            <w:r w:rsidRPr="00A133E8">
              <w:rPr>
                <w:rFonts w:ascii="Times New Roman" w:hAnsi="Times New Roman" w:cs="Times New Roman"/>
                <w:sz w:val="24"/>
                <w:szCs w:val="24"/>
                <w:lang w:val="uk-UA"/>
              </w:rPr>
              <w:tab/>
              <w:t>за межами міст;</w:t>
            </w:r>
          </w:p>
          <w:p w:rsidR="00571B00" w:rsidRPr="00F67BBE" w:rsidRDefault="00571B00" w:rsidP="00A133E8">
            <w:pPr>
              <w:rPr>
                <w:rFonts w:ascii="Times New Roman" w:hAnsi="Times New Roman" w:cs="Times New Roman"/>
                <w:sz w:val="24"/>
                <w:szCs w:val="24"/>
                <w:lang w:val="uk-UA"/>
              </w:rPr>
            </w:pPr>
            <w:r w:rsidRPr="00A133E8">
              <w:rPr>
                <w:rFonts w:ascii="Times New Roman" w:hAnsi="Times New Roman" w:cs="Times New Roman"/>
                <w:sz w:val="24"/>
                <w:szCs w:val="24"/>
                <w:lang w:val="uk-UA"/>
              </w:rPr>
              <w:t>8)</w:t>
            </w:r>
            <w:r w:rsidRPr="00A133E8">
              <w:rPr>
                <w:rFonts w:ascii="Times New Roman" w:hAnsi="Times New Roman" w:cs="Times New Roman"/>
                <w:sz w:val="24"/>
                <w:szCs w:val="24"/>
                <w:lang w:val="uk-UA"/>
              </w:rPr>
              <w:tab/>
            </w:r>
            <w:r w:rsidRPr="00F67BBE">
              <w:rPr>
                <w:rFonts w:ascii="Times New Roman" w:hAnsi="Times New Roman" w:cs="Times New Roman"/>
                <w:sz w:val="24"/>
                <w:szCs w:val="24"/>
                <w:lang w:val="uk-UA"/>
              </w:rPr>
              <w:t>на відстані, не менше:</w:t>
            </w:r>
          </w:p>
          <w:p w:rsidR="00571B00" w:rsidRPr="00F67BBE" w:rsidRDefault="00571B00" w:rsidP="00A133E8">
            <w:pPr>
              <w:rPr>
                <w:rFonts w:ascii="Times New Roman" w:hAnsi="Times New Roman" w:cs="Times New Roman"/>
                <w:sz w:val="24"/>
                <w:szCs w:val="24"/>
                <w:lang w:val="uk-UA"/>
              </w:rPr>
            </w:pPr>
            <w:r w:rsidRPr="00F67BBE">
              <w:rPr>
                <w:rFonts w:ascii="Times New Roman" w:hAnsi="Times New Roman" w:cs="Times New Roman"/>
                <w:sz w:val="24"/>
                <w:szCs w:val="24"/>
                <w:lang w:val="uk-UA"/>
              </w:rPr>
              <w:t>15 км від аеропортів;</w:t>
            </w:r>
          </w:p>
          <w:p w:rsidR="00571B00" w:rsidRPr="00F67BBE" w:rsidRDefault="00571B00" w:rsidP="00A133E8">
            <w:pPr>
              <w:rPr>
                <w:rFonts w:ascii="Times New Roman" w:hAnsi="Times New Roman" w:cs="Times New Roman"/>
                <w:sz w:val="24"/>
                <w:szCs w:val="24"/>
                <w:lang w:val="uk-UA"/>
              </w:rPr>
            </w:pPr>
            <w:r w:rsidRPr="00F67BBE">
              <w:rPr>
                <w:rFonts w:ascii="Times New Roman" w:hAnsi="Times New Roman" w:cs="Times New Roman"/>
                <w:sz w:val="24"/>
                <w:szCs w:val="24"/>
                <w:lang w:val="uk-UA"/>
              </w:rPr>
              <w:t xml:space="preserve">З км від межі курортного міста, відкритих водоймищ господарського призначення, об'єктів, які використовуються з культурно-оздоровчою метою, </w:t>
            </w:r>
            <w:r w:rsidRPr="00F67BBE">
              <w:rPr>
                <w:rFonts w:ascii="Times New Roman" w:hAnsi="Times New Roman" w:cs="Times New Roman"/>
                <w:sz w:val="24"/>
                <w:szCs w:val="24"/>
                <w:lang w:val="uk-UA"/>
              </w:rPr>
              <w:lastRenderedPageBreak/>
              <w:t>заповідників, місць відпочинку перелітних птахів, морського узбережжя;</w:t>
            </w:r>
          </w:p>
          <w:p w:rsidR="00571B00" w:rsidRPr="00F67BBE" w:rsidRDefault="00571B00" w:rsidP="00A133E8">
            <w:pPr>
              <w:rPr>
                <w:rFonts w:ascii="Times New Roman" w:hAnsi="Times New Roman" w:cs="Times New Roman"/>
                <w:sz w:val="24"/>
                <w:szCs w:val="24"/>
                <w:lang w:val="uk-UA"/>
              </w:rPr>
            </w:pPr>
            <w:r w:rsidRPr="00F67BBE">
              <w:rPr>
                <w:rFonts w:ascii="Times New Roman" w:hAnsi="Times New Roman" w:cs="Times New Roman"/>
                <w:sz w:val="24"/>
                <w:szCs w:val="24"/>
                <w:lang w:val="uk-UA"/>
              </w:rPr>
              <w:t>1 км від межі міст;</w:t>
            </w:r>
          </w:p>
          <w:p w:rsidR="00571B00" w:rsidRPr="00F67BBE" w:rsidRDefault="00571B00" w:rsidP="00A133E8">
            <w:pPr>
              <w:rPr>
                <w:rFonts w:ascii="Times New Roman" w:hAnsi="Times New Roman" w:cs="Times New Roman"/>
                <w:sz w:val="24"/>
                <w:szCs w:val="24"/>
                <w:lang w:val="uk-UA"/>
              </w:rPr>
            </w:pPr>
            <w:r w:rsidRPr="00F67BBE">
              <w:rPr>
                <w:rFonts w:ascii="Times New Roman" w:hAnsi="Times New Roman" w:cs="Times New Roman"/>
                <w:sz w:val="24"/>
                <w:szCs w:val="24"/>
                <w:lang w:val="uk-UA"/>
              </w:rPr>
              <w:t>0,5 км від житлової та громадської забудови (санітарно-захисна зона);</w:t>
            </w:r>
          </w:p>
          <w:p w:rsidR="00571B00" w:rsidRPr="00097B22" w:rsidRDefault="00571B00" w:rsidP="00A133E8">
            <w:pPr>
              <w:rPr>
                <w:rFonts w:ascii="Times New Roman" w:hAnsi="Times New Roman" w:cs="Times New Roman"/>
                <w:sz w:val="24"/>
                <w:szCs w:val="24"/>
                <w:lang w:val="uk-UA"/>
              </w:rPr>
            </w:pPr>
            <w:r w:rsidRPr="00F67BBE">
              <w:rPr>
                <w:rFonts w:ascii="Times New Roman" w:hAnsi="Times New Roman" w:cs="Times New Roman"/>
                <w:sz w:val="24"/>
                <w:szCs w:val="24"/>
                <w:lang w:val="uk-UA"/>
              </w:rPr>
              <w:t>0,2 км від сільськогосподарських угідь і від ав</w:t>
            </w:r>
            <w:r w:rsidRPr="00A133E8">
              <w:rPr>
                <w:rFonts w:ascii="Times New Roman" w:hAnsi="Times New Roman" w:cs="Times New Roman"/>
                <w:sz w:val="24"/>
                <w:szCs w:val="24"/>
                <w:lang w:val="uk-UA"/>
              </w:rPr>
              <w:t xml:space="preserve">томобільних та залізничних шляхів загальної </w:t>
            </w:r>
            <w:r w:rsidRPr="00097B22">
              <w:rPr>
                <w:rFonts w:ascii="Times New Roman" w:hAnsi="Times New Roman" w:cs="Times New Roman"/>
                <w:sz w:val="24"/>
                <w:szCs w:val="24"/>
                <w:lang w:val="uk-UA"/>
              </w:rPr>
              <w:t xml:space="preserve">мережі; </w:t>
            </w:r>
          </w:p>
          <w:p w:rsidR="00571B00" w:rsidRPr="00A133E8" w:rsidRDefault="00571B00" w:rsidP="00A133E8">
            <w:pPr>
              <w:rPr>
                <w:rFonts w:ascii="Times New Roman" w:hAnsi="Times New Roman" w:cs="Times New Roman"/>
                <w:sz w:val="24"/>
                <w:szCs w:val="24"/>
                <w:lang w:val="uk-UA"/>
              </w:rPr>
            </w:pPr>
            <w:r w:rsidRPr="00097B22">
              <w:rPr>
                <w:rFonts w:ascii="Times New Roman" w:hAnsi="Times New Roman" w:cs="Times New Roman"/>
                <w:sz w:val="24"/>
                <w:szCs w:val="24"/>
                <w:lang w:val="uk-UA"/>
              </w:rPr>
              <w:t>0,050 км від межі лісу і лісопосадок</w:t>
            </w:r>
            <w:r w:rsidRPr="00A133E8">
              <w:rPr>
                <w:rFonts w:ascii="Times New Roman" w:hAnsi="Times New Roman" w:cs="Times New Roman"/>
                <w:sz w:val="24"/>
                <w:szCs w:val="24"/>
                <w:lang w:val="uk-UA"/>
              </w:rPr>
              <w:t>, не призначених для використання з метою рекреації.</w:t>
            </w:r>
          </w:p>
          <w:p w:rsidR="00571B00" w:rsidRDefault="00571B00" w:rsidP="00380068">
            <w:pPr>
              <w:rPr>
                <w:rFonts w:ascii="Times New Roman" w:hAnsi="Times New Roman" w:cs="Times New Roman"/>
                <w:sz w:val="24"/>
                <w:szCs w:val="24"/>
                <w:lang w:val="uk-UA"/>
              </w:rPr>
            </w:pPr>
            <w:r w:rsidRPr="00A133E8">
              <w:rPr>
                <w:rFonts w:ascii="Times New Roman" w:hAnsi="Times New Roman" w:cs="Times New Roman"/>
                <w:sz w:val="24"/>
                <w:szCs w:val="24"/>
                <w:lang w:val="uk-UA"/>
              </w:rPr>
              <w:t>Відстані від зазначених вище об'єктів можуть коригуватися за даними моделювання чи розрахунків впливу полігона ТПВ на навколишнє середовище, з обов'язковим погодженням з місцевими органами екологічного контролю та установами державної сані</w:t>
            </w:r>
            <w:r>
              <w:rPr>
                <w:rFonts w:ascii="Times New Roman" w:hAnsi="Times New Roman" w:cs="Times New Roman"/>
                <w:sz w:val="24"/>
                <w:szCs w:val="24"/>
                <w:lang w:val="uk-UA"/>
              </w:rPr>
              <w:t>тарно-епідеміологічної служби.</w:t>
            </w:r>
          </w:p>
        </w:tc>
        <w:tc>
          <w:tcPr>
            <w:tcW w:w="2410" w:type="dxa"/>
          </w:tcPr>
          <w:p w:rsidR="00571B00" w:rsidRDefault="00571B00"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tc>
        <w:tc>
          <w:tcPr>
            <w:tcW w:w="4536" w:type="dxa"/>
          </w:tcPr>
          <w:p w:rsidR="00571B00" w:rsidRPr="00152A14" w:rsidRDefault="00571B00" w:rsidP="00602832">
            <w:pPr>
              <w:rPr>
                <w:rFonts w:ascii="Times New Roman" w:hAnsi="Times New Roman" w:cs="Times New Roman"/>
                <w:sz w:val="24"/>
                <w:szCs w:val="24"/>
                <w:lang w:val="uk-UA"/>
              </w:rPr>
            </w:pPr>
            <w:r>
              <w:rPr>
                <w:rFonts w:ascii="Times New Roman" w:hAnsi="Times New Roman" w:cs="Times New Roman"/>
                <w:sz w:val="24"/>
                <w:szCs w:val="24"/>
                <w:lang w:val="uk-UA"/>
              </w:rPr>
              <w:t xml:space="preserve">На ділянці проектування передбачається будівництво </w:t>
            </w:r>
            <w:r w:rsidRPr="00E239A2">
              <w:rPr>
                <w:rFonts w:ascii="Times New Roman" w:hAnsi="Times New Roman" w:cs="Times New Roman"/>
                <w:sz w:val="24"/>
                <w:szCs w:val="24"/>
                <w:lang w:val="uk-UA"/>
              </w:rPr>
              <w:t>сміттєпереробного комплексу</w:t>
            </w:r>
            <w:r>
              <w:rPr>
                <w:rFonts w:ascii="Times New Roman" w:hAnsi="Times New Roman" w:cs="Times New Roman"/>
                <w:sz w:val="24"/>
                <w:szCs w:val="24"/>
                <w:lang w:val="uk-UA"/>
              </w:rPr>
              <w:t xml:space="preserve">, </w:t>
            </w:r>
            <w:r w:rsidRPr="00E239A2">
              <w:rPr>
                <w:rFonts w:ascii="Times New Roman" w:hAnsi="Times New Roman" w:cs="Times New Roman"/>
                <w:sz w:val="24"/>
                <w:szCs w:val="24"/>
                <w:lang w:val="uk-UA"/>
              </w:rPr>
              <w:t>тому вимоги згаданого ДБН не можуть</w:t>
            </w:r>
            <w:r>
              <w:rPr>
                <w:rFonts w:ascii="Times New Roman" w:hAnsi="Times New Roman" w:cs="Times New Roman"/>
                <w:sz w:val="24"/>
                <w:szCs w:val="24"/>
                <w:lang w:val="uk-UA"/>
              </w:rPr>
              <w:t xml:space="preserve"> бути застосовані</w:t>
            </w:r>
            <w:r w:rsidRPr="00E239A2">
              <w:rPr>
                <w:rFonts w:ascii="Times New Roman" w:hAnsi="Times New Roman" w:cs="Times New Roman"/>
                <w:sz w:val="24"/>
                <w:szCs w:val="24"/>
                <w:lang w:val="uk-UA"/>
              </w:rPr>
              <w:t>.</w:t>
            </w:r>
          </w:p>
        </w:tc>
      </w:tr>
      <w:tr w:rsidR="00571B00" w:rsidRPr="0042755C" w:rsidTr="0006266F">
        <w:tc>
          <w:tcPr>
            <w:tcW w:w="534" w:type="dxa"/>
          </w:tcPr>
          <w:p w:rsidR="00571B00" w:rsidRPr="00402F5F" w:rsidRDefault="00571B00"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tcPr>
          <w:p w:rsidR="00571B00" w:rsidRDefault="00571B00" w:rsidP="00DB5848">
            <w:pPr>
              <w:rPr>
                <w:rFonts w:ascii="Times New Roman" w:hAnsi="Times New Roman" w:cs="Times New Roman"/>
                <w:sz w:val="24"/>
                <w:szCs w:val="24"/>
                <w:lang w:val="uk-UA"/>
              </w:rPr>
            </w:pPr>
          </w:p>
        </w:tc>
        <w:tc>
          <w:tcPr>
            <w:tcW w:w="2236" w:type="dxa"/>
          </w:tcPr>
          <w:p w:rsidR="00571B00" w:rsidRDefault="00571B00" w:rsidP="00413C18">
            <w:pPr>
              <w:jc w:val="center"/>
              <w:rPr>
                <w:rFonts w:ascii="Times New Roman" w:hAnsi="Times New Roman" w:cs="Times New Roman"/>
                <w:sz w:val="24"/>
                <w:szCs w:val="24"/>
                <w:lang w:val="uk-UA"/>
              </w:rPr>
            </w:pPr>
          </w:p>
        </w:tc>
        <w:tc>
          <w:tcPr>
            <w:tcW w:w="3828" w:type="dxa"/>
          </w:tcPr>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Врахувати вимоги пункту</w:t>
            </w:r>
            <w:r>
              <w:rPr>
                <w:rFonts w:ascii="Times New Roman" w:hAnsi="Times New Roman" w:cs="Times New Roman"/>
                <w:sz w:val="24"/>
                <w:szCs w:val="24"/>
                <w:lang w:val="uk-UA" w:bidi="uk-UA"/>
              </w:rPr>
              <w:t xml:space="preserve"> 2.3</w:t>
            </w:r>
            <w:r w:rsidRPr="009700C1">
              <w:rPr>
                <w:rFonts w:ascii="Times New Roman" w:hAnsi="Times New Roman" w:cs="Times New Roman"/>
                <w:sz w:val="24"/>
                <w:szCs w:val="24"/>
                <w:lang w:val="uk-UA" w:bidi="uk-UA"/>
              </w:rPr>
              <w:t xml:space="preserve"> ДБН В.2.4-2-2005 «Полігони твердих побутових відходів. Основні п</w:t>
            </w:r>
            <w:r>
              <w:rPr>
                <w:rFonts w:ascii="Times New Roman" w:hAnsi="Times New Roman" w:cs="Times New Roman"/>
                <w:sz w:val="24"/>
                <w:szCs w:val="24"/>
                <w:lang w:val="uk-UA" w:bidi="uk-UA"/>
              </w:rPr>
              <w:t>оложення проектування», зокрема р</w:t>
            </w:r>
            <w:r w:rsidRPr="009700C1">
              <w:rPr>
                <w:rFonts w:ascii="Times New Roman" w:hAnsi="Times New Roman" w:cs="Times New Roman"/>
                <w:sz w:val="24"/>
                <w:szCs w:val="24"/>
                <w:lang w:val="uk-UA" w:bidi="uk-UA"/>
              </w:rPr>
              <w:t>озміщення полігонів ТПВ не допускається:</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 xml:space="preserve">на площах залягання корисних копалин і територіях з гірничими виробками без погодження з </w:t>
            </w:r>
            <w:r w:rsidRPr="009700C1">
              <w:rPr>
                <w:rFonts w:ascii="Times New Roman" w:hAnsi="Times New Roman" w:cs="Times New Roman"/>
                <w:sz w:val="24"/>
                <w:szCs w:val="24"/>
                <w:lang w:val="uk-UA" w:bidi="uk-UA"/>
              </w:rPr>
              <w:lastRenderedPageBreak/>
              <w:t>органами державного гірничого нагляду;</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у небезпечних зонах відвалів породи різних шахт чи збагачувальних фабрик;</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у зонах активного карсту;</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у зонах розвитку тектонічних розломів, зсувів, селевих потоків, снігових лавин, підтоплення й інших небезпечних геологічних процесів, а також на територіях сезонного затоплення;</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у заболочених місцях;</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у зонах поповнення і виходу на поверхню підземних вод;</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у зонах формування і використання мінеральних вод;</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на територіях зон І, II поясу санітарної охорони водозаборів питних і мінеральних вод;</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у охоронних зонах водойм;</w:t>
            </w:r>
          </w:p>
          <w:p w:rsidR="00571B00" w:rsidRPr="009700C1" w:rsidRDefault="00571B00" w:rsidP="009700C1">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у зонах санітарної охорони курортів та заповідників;</w:t>
            </w:r>
          </w:p>
          <w:p w:rsidR="00571B00" w:rsidRDefault="00571B00" w:rsidP="00CA50B3">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на землях, зайнятих чи призначених під зайняття лісами, лісопарками, іншими зеленими насадженнями, що виконують захисні функції і є місцями</w:t>
            </w:r>
            <w:r>
              <w:rPr>
                <w:rFonts w:ascii="Times New Roman" w:hAnsi="Times New Roman" w:cs="Times New Roman"/>
                <w:sz w:val="24"/>
                <w:szCs w:val="24"/>
                <w:lang w:val="uk-UA" w:bidi="uk-UA"/>
              </w:rPr>
              <w:t xml:space="preserve"> масового відпочинку населення».</w:t>
            </w:r>
          </w:p>
        </w:tc>
        <w:tc>
          <w:tcPr>
            <w:tcW w:w="2410" w:type="dxa"/>
          </w:tcPr>
          <w:p w:rsidR="00571B00" w:rsidRDefault="00571B00" w:rsidP="0061278E">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tc>
        <w:tc>
          <w:tcPr>
            <w:tcW w:w="4536" w:type="dxa"/>
          </w:tcPr>
          <w:p w:rsidR="00571B00" w:rsidRPr="00152A14" w:rsidRDefault="00571B00" w:rsidP="0061278E">
            <w:pPr>
              <w:rPr>
                <w:rFonts w:ascii="Times New Roman" w:hAnsi="Times New Roman" w:cs="Times New Roman"/>
                <w:sz w:val="24"/>
                <w:szCs w:val="24"/>
                <w:lang w:val="uk-UA"/>
              </w:rPr>
            </w:pPr>
            <w:r>
              <w:rPr>
                <w:rFonts w:ascii="Times New Roman" w:hAnsi="Times New Roman" w:cs="Times New Roman"/>
                <w:sz w:val="24"/>
                <w:szCs w:val="24"/>
                <w:lang w:val="uk-UA"/>
              </w:rPr>
              <w:t xml:space="preserve">На ділянці проектування передбачається будівництво </w:t>
            </w:r>
            <w:r w:rsidRPr="00E239A2">
              <w:rPr>
                <w:rFonts w:ascii="Times New Roman" w:hAnsi="Times New Roman" w:cs="Times New Roman"/>
                <w:sz w:val="24"/>
                <w:szCs w:val="24"/>
                <w:lang w:val="uk-UA"/>
              </w:rPr>
              <w:t>сміттєпереробного комплексу</w:t>
            </w:r>
            <w:r>
              <w:rPr>
                <w:rFonts w:ascii="Times New Roman" w:hAnsi="Times New Roman" w:cs="Times New Roman"/>
                <w:sz w:val="24"/>
                <w:szCs w:val="24"/>
                <w:lang w:val="uk-UA"/>
              </w:rPr>
              <w:t xml:space="preserve">, </w:t>
            </w:r>
            <w:r w:rsidRPr="00E239A2">
              <w:rPr>
                <w:rFonts w:ascii="Times New Roman" w:hAnsi="Times New Roman" w:cs="Times New Roman"/>
                <w:sz w:val="24"/>
                <w:szCs w:val="24"/>
                <w:lang w:val="uk-UA"/>
              </w:rPr>
              <w:t>тому вимоги згаданого ДБН не можуть</w:t>
            </w:r>
            <w:r>
              <w:rPr>
                <w:rFonts w:ascii="Times New Roman" w:hAnsi="Times New Roman" w:cs="Times New Roman"/>
                <w:sz w:val="24"/>
                <w:szCs w:val="24"/>
                <w:lang w:val="uk-UA"/>
              </w:rPr>
              <w:t xml:space="preserve"> бути застосовані</w:t>
            </w:r>
            <w:r w:rsidRPr="00E239A2">
              <w:rPr>
                <w:rFonts w:ascii="Times New Roman" w:hAnsi="Times New Roman" w:cs="Times New Roman"/>
                <w:sz w:val="24"/>
                <w:szCs w:val="24"/>
                <w:lang w:val="uk-UA"/>
              </w:rPr>
              <w:t>.</w:t>
            </w:r>
          </w:p>
        </w:tc>
      </w:tr>
      <w:tr w:rsidR="00571B00" w:rsidRPr="0042755C" w:rsidTr="0006266F">
        <w:tc>
          <w:tcPr>
            <w:tcW w:w="534" w:type="dxa"/>
          </w:tcPr>
          <w:p w:rsidR="00571B00" w:rsidRPr="00402F5F" w:rsidRDefault="00571B00"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tcPr>
          <w:p w:rsidR="00571B00" w:rsidRDefault="00571B00" w:rsidP="00DB5848">
            <w:pPr>
              <w:rPr>
                <w:rFonts w:ascii="Times New Roman" w:hAnsi="Times New Roman" w:cs="Times New Roman"/>
                <w:sz w:val="24"/>
                <w:szCs w:val="24"/>
                <w:lang w:val="uk-UA"/>
              </w:rPr>
            </w:pPr>
          </w:p>
        </w:tc>
        <w:tc>
          <w:tcPr>
            <w:tcW w:w="2236" w:type="dxa"/>
          </w:tcPr>
          <w:p w:rsidR="00571B00" w:rsidRDefault="00571B00" w:rsidP="00413C18">
            <w:pPr>
              <w:jc w:val="center"/>
              <w:rPr>
                <w:rFonts w:ascii="Times New Roman" w:hAnsi="Times New Roman" w:cs="Times New Roman"/>
                <w:sz w:val="24"/>
                <w:szCs w:val="24"/>
                <w:lang w:val="uk-UA"/>
              </w:rPr>
            </w:pPr>
          </w:p>
        </w:tc>
        <w:tc>
          <w:tcPr>
            <w:tcW w:w="3828" w:type="dxa"/>
          </w:tcPr>
          <w:p w:rsidR="00571B00" w:rsidRPr="009700C1" w:rsidRDefault="00571B00" w:rsidP="00A1104B">
            <w:pPr>
              <w:rPr>
                <w:rFonts w:ascii="Times New Roman" w:hAnsi="Times New Roman" w:cs="Times New Roman"/>
                <w:sz w:val="24"/>
                <w:szCs w:val="24"/>
                <w:lang w:val="uk-UA" w:bidi="uk-UA"/>
              </w:rPr>
            </w:pPr>
            <w:r w:rsidRPr="009700C1">
              <w:rPr>
                <w:rFonts w:ascii="Times New Roman" w:hAnsi="Times New Roman" w:cs="Times New Roman"/>
                <w:sz w:val="24"/>
                <w:szCs w:val="24"/>
                <w:lang w:val="uk-UA" w:bidi="uk-UA"/>
              </w:rPr>
              <w:t>Врахувати вимоги пункту</w:t>
            </w:r>
            <w:r>
              <w:rPr>
                <w:rFonts w:ascii="Times New Roman" w:hAnsi="Times New Roman" w:cs="Times New Roman"/>
                <w:sz w:val="24"/>
                <w:szCs w:val="24"/>
                <w:lang w:val="uk-UA" w:bidi="uk-UA"/>
              </w:rPr>
              <w:t xml:space="preserve"> 2.5</w:t>
            </w:r>
            <w:r w:rsidRPr="009700C1">
              <w:rPr>
                <w:rFonts w:ascii="Times New Roman" w:hAnsi="Times New Roman" w:cs="Times New Roman"/>
                <w:sz w:val="24"/>
                <w:szCs w:val="24"/>
                <w:lang w:val="uk-UA" w:bidi="uk-UA"/>
              </w:rPr>
              <w:t xml:space="preserve"> ДБН В.2.4-2-2005 «Полігони твердих побутових відходів. Основні </w:t>
            </w:r>
            <w:r w:rsidRPr="009700C1">
              <w:rPr>
                <w:rFonts w:ascii="Times New Roman" w:hAnsi="Times New Roman" w:cs="Times New Roman"/>
                <w:sz w:val="24"/>
                <w:szCs w:val="24"/>
                <w:lang w:val="uk-UA" w:bidi="uk-UA"/>
              </w:rPr>
              <w:lastRenderedPageBreak/>
              <w:t>положення проектування», зокрема:</w:t>
            </w:r>
            <w:r w:rsidRPr="009700C1">
              <w:rPr>
                <w:rFonts w:ascii="Times New Roman" w:eastAsia="Times New Roman" w:hAnsi="Times New Roman" w:cs="Times New Roman"/>
                <w:color w:val="000000"/>
                <w:sz w:val="26"/>
                <w:szCs w:val="26"/>
                <w:lang w:val="uk-UA" w:eastAsia="uk-UA" w:bidi="uk-UA"/>
              </w:rPr>
              <w:t xml:space="preserve"> </w:t>
            </w:r>
            <w:r>
              <w:rPr>
                <w:rFonts w:ascii="Times New Roman" w:hAnsi="Times New Roman" w:cs="Times New Roman"/>
                <w:sz w:val="24"/>
                <w:szCs w:val="24"/>
                <w:lang w:val="uk-UA" w:bidi="uk-UA"/>
              </w:rPr>
              <w:t>ґ</w:t>
            </w:r>
            <w:r w:rsidRPr="009700C1">
              <w:rPr>
                <w:rFonts w:ascii="Times New Roman" w:hAnsi="Times New Roman" w:cs="Times New Roman"/>
                <w:sz w:val="24"/>
                <w:szCs w:val="24"/>
                <w:lang w:val="uk-UA" w:bidi="uk-UA"/>
              </w:rPr>
              <w:t>рунтові води на ділянці розміщення полігонів ТПВ повинні знаходитися на рівні не</w:t>
            </w:r>
            <w:r>
              <w:rPr>
                <w:rFonts w:ascii="Times New Roman" w:hAnsi="Times New Roman" w:cs="Times New Roman"/>
                <w:sz w:val="24"/>
                <w:szCs w:val="24"/>
                <w:lang w:val="uk-UA" w:bidi="uk-UA"/>
              </w:rPr>
              <w:t xml:space="preserve"> менше 2 метрів від його основи</w:t>
            </w:r>
            <w:r w:rsidRPr="009700C1">
              <w:rPr>
                <w:rFonts w:ascii="Times New Roman" w:hAnsi="Times New Roman" w:cs="Times New Roman"/>
                <w:sz w:val="24"/>
                <w:szCs w:val="24"/>
                <w:lang w:val="uk-UA" w:bidi="uk-UA"/>
              </w:rPr>
              <w:t>.</w:t>
            </w:r>
            <w:r w:rsidR="00A1104B" w:rsidRPr="009700C1">
              <w:rPr>
                <w:rFonts w:ascii="Times New Roman" w:hAnsi="Times New Roman" w:cs="Times New Roman"/>
                <w:sz w:val="24"/>
                <w:szCs w:val="24"/>
                <w:lang w:val="uk-UA" w:bidi="uk-UA"/>
              </w:rPr>
              <w:t xml:space="preserve"> </w:t>
            </w:r>
          </w:p>
        </w:tc>
        <w:tc>
          <w:tcPr>
            <w:tcW w:w="2410" w:type="dxa"/>
          </w:tcPr>
          <w:p w:rsidR="00571B00" w:rsidRDefault="00571B00" w:rsidP="0061278E">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tc>
        <w:tc>
          <w:tcPr>
            <w:tcW w:w="4536" w:type="dxa"/>
          </w:tcPr>
          <w:p w:rsidR="00571B00" w:rsidRPr="00152A14" w:rsidRDefault="00571B00" w:rsidP="0061278E">
            <w:pPr>
              <w:rPr>
                <w:rFonts w:ascii="Times New Roman" w:hAnsi="Times New Roman" w:cs="Times New Roman"/>
                <w:sz w:val="24"/>
                <w:szCs w:val="24"/>
                <w:lang w:val="uk-UA"/>
              </w:rPr>
            </w:pPr>
            <w:r>
              <w:rPr>
                <w:rFonts w:ascii="Times New Roman" w:hAnsi="Times New Roman" w:cs="Times New Roman"/>
                <w:sz w:val="24"/>
                <w:szCs w:val="24"/>
                <w:lang w:val="uk-UA"/>
              </w:rPr>
              <w:t xml:space="preserve">На ділянці проектування передбачається будівництво </w:t>
            </w:r>
            <w:r w:rsidRPr="00E239A2">
              <w:rPr>
                <w:rFonts w:ascii="Times New Roman" w:hAnsi="Times New Roman" w:cs="Times New Roman"/>
                <w:sz w:val="24"/>
                <w:szCs w:val="24"/>
                <w:lang w:val="uk-UA"/>
              </w:rPr>
              <w:t>сміттєпереробного комплексу</w:t>
            </w:r>
            <w:r>
              <w:rPr>
                <w:rFonts w:ascii="Times New Roman" w:hAnsi="Times New Roman" w:cs="Times New Roman"/>
                <w:sz w:val="24"/>
                <w:szCs w:val="24"/>
                <w:lang w:val="uk-UA"/>
              </w:rPr>
              <w:t xml:space="preserve">, </w:t>
            </w:r>
            <w:r w:rsidRPr="00E239A2">
              <w:rPr>
                <w:rFonts w:ascii="Times New Roman" w:hAnsi="Times New Roman" w:cs="Times New Roman"/>
                <w:sz w:val="24"/>
                <w:szCs w:val="24"/>
                <w:lang w:val="uk-UA"/>
              </w:rPr>
              <w:t xml:space="preserve">тому вимоги згаданого ДБН </w:t>
            </w:r>
            <w:r w:rsidRPr="00E239A2">
              <w:rPr>
                <w:rFonts w:ascii="Times New Roman" w:hAnsi="Times New Roman" w:cs="Times New Roman"/>
                <w:sz w:val="24"/>
                <w:szCs w:val="24"/>
                <w:lang w:val="uk-UA"/>
              </w:rPr>
              <w:lastRenderedPageBreak/>
              <w:t>не можуть</w:t>
            </w:r>
            <w:r>
              <w:rPr>
                <w:rFonts w:ascii="Times New Roman" w:hAnsi="Times New Roman" w:cs="Times New Roman"/>
                <w:sz w:val="24"/>
                <w:szCs w:val="24"/>
                <w:lang w:val="uk-UA"/>
              </w:rPr>
              <w:t xml:space="preserve"> бути застосовані</w:t>
            </w:r>
            <w:r w:rsidRPr="00E239A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571B00" w:rsidRPr="00613E5E" w:rsidTr="0006266F">
        <w:tc>
          <w:tcPr>
            <w:tcW w:w="534" w:type="dxa"/>
          </w:tcPr>
          <w:p w:rsidR="00571B00" w:rsidRPr="00402F5F" w:rsidRDefault="00571B00"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tcPr>
          <w:p w:rsidR="00571B00" w:rsidRDefault="00571B00" w:rsidP="00DB5848">
            <w:pPr>
              <w:rPr>
                <w:rFonts w:ascii="Times New Roman" w:hAnsi="Times New Roman" w:cs="Times New Roman"/>
                <w:sz w:val="24"/>
                <w:szCs w:val="24"/>
                <w:lang w:val="uk-UA"/>
              </w:rPr>
            </w:pPr>
          </w:p>
        </w:tc>
        <w:tc>
          <w:tcPr>
            <w:tcW w:w="2236" w:type="dxa"/>
          </w:tcPr>
          <w:p w:rsidR="00571B00" w:rsidRDefault="00571B00"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bidi="uk-UA"/>
              </w:rPr>
              <w:t xml:space="preserve">Розділ 9 </w:t>
            </w:r>
          </w:p>
        </w:tc>
        <w:tc>
          <w:tcPr>
            <w:tcW w:w="3828" w:type="dxa"/>
          </w:tcPr>
          <w:p w:rsidR="00571B00" w:rsidRPr="009700C1" w:rsidRDefault="00571B00" w:rsidP="009700C1">
            <w:pPr>
              <w:rPr>
                <w:rFonts w:ascii="Times New Roman" w:hAnsi="Times New Roman" w:cs="Times New Roman"/>
                <w:sz w:val="24"/>
                <w:szCs w:val="24"/>
                <w:lang w:val="uk-UA" w:bidi="uk-UA"/>
              </w:rPr>
            </w:pPr>
            <w:r>
              <w:rPr>
                <w:rFonts w:ascii="Times New Roman" w:hAnsi="Times New Roman" w:cs="Times New Roman"/>
                <w:sz w:val="24"/>
                <w:szCs w:val="24"/>
                <w:lang w:val="uk-UA" w:bidi="uk-UA"/>
              </w:rPr>
              <w:t>Представити</w:t>
            </w:r>
            <w:r w:rsidRPr="009700C1">
              <w:rPr>
                <w:rFonts w:ascii="Times New Roman" w:hAnsi="Times New Roman" w:cs="Times New Roman"/>
                <w:sz w:val="24"/>
                <w:szCs w:val="24"/>
                <w:lang w:val="uk-UA" w:bidi="uk-UA"/>
              </w:rPr>
              <w:t xml:space="preserve"> результати розгляду виправданих територіальних альтернатив з урахуванням рішень відповідної містобудівної документації регіонального рівня.</w:t>
            </w:r>
          </w:p>
        </w:tc>
        <w:tc>
          <w:tcPr>
            <w:tcW w:w="2410" w:type="dxa"/>
          </w:tcPr>
          <w:p w:rsidR="00571B00" w:rsidRDefault="00571B00"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tc>
        <w:tc>
          <w:tcPr>
            <w:tcW w:w="4536" w:type="dxa"/>
          </w:tcPr>
          <w:p w:rsidR="00571B00" w:rsidRPr="00613E5E" w:rsidRDefault="00571B00" w:rsidP="00613E5E">
            <w:pPr>
              <w:rPr>
                <w:rFonts w:ascii="Times New Roman" w:hAnsi="Times New Roman" w:cs="Times New Roman"/>
                <w:bCs/>
                <w:sz w:val="24"/>
                <w:szCs w:val="24"/>
                <w:lang w:val="uk-UA" w:bidi="uk-UA"/>
              </w:rPr>
            </w:pPr>
            <w:r>
              <w:rPr>
                <w:rFonts w:ascii="Times New Roman" w:hAnsi="Times New Roman" w:cs="Times New Roman"/>
                <w:bCs/>
                <w:sz w:val="24"/>
                <w:szCs w:val="24"/>
                <w:lang w:val="uk-UA" w:bidi="uk-UA"/>
              </w:rPr>
              <w:t xml:space="preserve">Відповідно до рішень </w:t>
            </w:r>
            <w:r w:rsidRPr="00613E5E">
              <w:rPr>
                <w:rFonts w:ascii="Times New Roman" w:hAnsi="Times New Roman" w:cs="Times New Roman"/>
                <w:bCs/>
                <w:sz w:val="24"/>
                <w:szCs w:val="24"/>
                <w:lang w:val="uk-UA" w:bidi="uk-UA"/>
              </w:rPr>
              <w:t xml:space="preserve">містобудівної документації </w:t>
            </w:r>
            <w:r>
              <w:rPr>
                <w:rFonts w:ascii="Times New Roman" w:hAnsi="Times New Roman" w:cs="Times New Roman"/>
                <w:bCs/>
                <w:sz w:val="24"/>
                <w:szCs w:val="24"/>
                <w:lang w:val="uk-UA" w:bidi="uk-UA"/>
              </w:rPr>
              <w:t xml:space="preserve">вищого </w:t>
            </w:r>
            <w:r w:rsidRPr="00613E5E">
              <w:rPr>
                <w:rFonts w:ascii="Times New Roman" w:hAnsi="Times New Roman" w:cs="Times New Roman"/>
                <w:bCs/>
                <w:sz w:val="24"/>
                <w:szCs w:val="24"/>
                <w:lang w:val="uk-UA" w:bidi="uk-UA"/>
              </w:rPr>
              <w:t>рівня</w:t>
            </w:r>
            <w:r>
              <w:rPr>
                <w:rFonts w:ascii="Times New Roman" w:hAnsi="Times New Roman" w:cs="Times New Roman"/>
                <w:bCs/>
                <w:sz w:val="24"/>
                <w:szCs w:val="24"/>
                <w:lang w:val="uk-UA" w:bidi="uk-UA"/>
              </w:rPr>
              <w:t xml:space="preserve"> планована територія визначена для зміни функціонального призначення. Відповідно до </w:t>
            </w:r>
            <w:r w:rsidRPr="00613E5E">
              <w:rPr>
                <w:rFonts w:ascii="Times New Roman" w:hAnsi="Times New Roman" w:cs="Times New Roman"/>
                <w:bCs/>
                <w:sz w:val="24"/>
                <w:szCs w:val="24"/>
                <w:lang w:val="uk-UA" w:bidi="uk-UA"/>
              </w:rPr>
              <w:t>Схем</w:t>
            </w:r>
            <w:r>
              <w:rPr>
                <w:rFonts w:ascii="Times New Roman" w:hAnsi="Times New Roman" w:cs="Times New Roman"/>
                <w:bCs/>
                <w:sz w:val="24"/>
                <w:szCs w:val="24"/>
                <w:lang w:val="uk-UA" w:bidi="uk-UA"/>
              </w:rPr>
              <w:t>и</w:t>
            </w:r>
            <w:r w:rsidRPr="00613E5E">
              <w:rPr>
                <w:rFonts w:ascii="Times New Roman" w:hAnsi="Times New Roman" w:cs="Times New Roman"/>
                <w:bCs/>
                <w:sz w:val="24"/>
                <w:szCs w:val="24"/>
                <w:lang w:val="uk-UA" w:bidi="uk-UA"/>
              </w:rPr>
              <w:t xml:space="preserve"> планування території Тернопільської міської територіальної громади</w:t>
            </w:r>
            <w:r>
              <w:rPr>
                <w:rFonts w:ascii="Times New Roman" w:hAnsi="Times New Roman" w:cs="Times New Roman"/>
                <w:bCs/>
                <w:sz w:val="24"/>
                <w:szCs w:val="24"/>
                <w:lang w:val="uk-UA" w:bidi="uk-UA"/>
              </w:rPr>
              <w:t xml:space="preserve"> та Стратегічного</w:t>
            </w:r>
            <w:r w:rsidRPr="00613E5E">
              <w:rPr>
                <w:rFonts w:ascii="Times New Roman" w:hAnsi="Times New Roman" w:cs="Times New Roman"/>
                <w:bCs/>
                <w:sz w:val="24"/>
                <w:szCs w:val="24"/>
                <w:lang w:val="uk-UA" w:bidi="uk-UA"/>
              </w:rPr>
              <w:t xml:space="preserve"> план</w:t>
            </w:r>
            <w:r>
              <w:rPr>
                <w:rFonts w:ascii="Times New Roman" w:hAnsi="Times New Roman" w:cs="Times New Roman"/>
                <w:bCs/>
                <w:sz w:val="24"/>
                <w:szCs w:val="24"/>
                <w:lang w:val="uk-UA" w:bidi="uk-UA"/>
              </w:rPr>
              <w:t>у</w:t>
            </w:r>
            <w:r w:rsidRPr="00613E5E">
              <w:rPr>
                <w:rFonts w:ascii="Times New Roman" w:hAnsi="Times New Roman" w:cs="Times New Roman"/>
                <w:bCs/>
                <w:sz w:val="24"/>
                <w:szCs w:val="24"/>
                <w:lang w:val="uk-UA" w:bidi="uk-UA"/>
              </w:rPr>
              <w:t xml:space="preserve"> розвитку Тернопільської міської територіальної громади до 2029 року</w:t>
            </w:r>
            <w:r>
              <w:rPr>
                <w:rFonts w:ascii="Times New Roman" w:hAnsi="Times New Roman" w:cs="Times New Roman"/>
                <w:bCs/>
                <w:sz w:val="24"/>
                <w:szCs w:val="24"/>
                <w:lang w:val="uk-UA" w:bidi="uk-UA"/>
              </w:rPr>
              <w:t xml:space="preserve"> плановану ділянку визначено під будівництво сміттєпереробного комплексу</w:t>
            </w:r>
            <w:r w:rsidRPr="00613E5E">
              <w:rPr>
                <w:lang w:val="uk-UA"/>
              </w:rPr>
              <w:t xml:space="preserve"> </w:t>
            </w:r>
            <w:r w:rsidRPr="00613E5E">
              <w:rPr>
                <w:rFonts w:ascii="Times New Roman" w:hAnsi="Times New Roman" w:cs="Times New Roman"/>
                <w:bCs/>
                <w:sz w:val="24"/>
                <w:szCs w:val="24"/>
                <w:lang w:val="uk-UA" w:bidi="uk-UA"/>
              </w:rPr>
              <w:t>з технологією сортування відповідних відходів та утилізацією шкідливих газів</w:t>
            </w:r>
            <w:r>
              <w:rPr>
                <w:rFonts w:ascii="Times New Roman" w:hAnsi="Times New Roman" w:cs="Times New Roman"/>
                <w:bCs/>
                <w:sz w:val="24"/>
                <w:szCs w:val="24"/>
                <w:lang w:val="uk-UA" w:bidi="uk-UA"/>
              </w:rPr>
              <w:t xml:space="preserve">. Відтак у розділі </w:t>
            </w:r>
            <w:bookmarkStart w:id="2" w:name="_Toc31109146"/>
            <w:bookmarkStart w:id="3" w:name="_Toc107993234"/>
            <w:r w:rsidRPr="00613E5E">
              <w:rPr>
                <w:rFonts w:ascii="Times New Roman" w:hAnsi="Times New Roman" w:cs="Times New Roman"/>
                <w:bCs/>
                <w:sz w:val="24"/>
                <w:szCs w:val="24"/>
                <w:lang w:val="uk-UA" w:bidi="uk-UA"/>
              </w:rPr>
              <w:t xml:space="preserve">9. </w:t>
            </w:r>
            <w:r>
              <w:rPr>
                <w:rFonts w:ascii="Times New Roman" w:hAnsi="Times New Roman" w:cs="Times New Roman"/>
                <w:bCs/>
                <w:sz w:val="24"/>
                <w:szCs w:val="24"/>
                <w:lang w:val="uk-UA" w:bidi="uk-UA"/>
              </w:rPr>
              <w:t>«О</w:t>
            </w:r>
            <w:r w:rsidRPr="00613E5E">
              <w:rPr>
                <w:rFonts w:ascii="Times New Roman" w:hAnsi="Times New Roman" w:cs="Times New Roman"/>
                <w:bCs/>
                <w:sz w:val="24"/>
                <w:szCs w:val="24"/>
                <w:lang w:val="uk-UA" w:bidi="uk-UA"/>
              </w:rPr>
              <w:t>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bookmarkEnd w:id="2"/>
            <w:bookmarkEnd w:id="3"/>
            <w:r>
              <w:rPr>
                <w:rFonts w:ascii="Times New Roman" w:hAnsi="Times New Roman" w:cs="Times New Roman"/>
                <w:bCs/>
                <w:sz w:val="24"/>
                <w:szCs w:val="24"/>
                <w:lang w:val="uk-UA" w:bidi="uk-UA"/>
              </w:rPr>
              <w:t xml:space="preserve">» територіальна альтернатива не розглядається. Натомість розглянуто </w:t>
            </w:r>
            <w:r w:rsidRPr="00A659A2">
              <w:rPr>
                <w:rFonts w:ascii="Times New Roman" w:hAnsi="Times New Roman" w:cs="Times New Roman"/>
                <w:bCs/>
                <w:sz w:val="24"/>
                <w:szCs w:val="24"/>
                <w:lang w:val="uk-UA" w:bidi="uk-UA"/>
              </w:rPr>
              <w:t>«нульовий» та «базовий» сценарії.</w:t>
            </w:r>
          </w:p>
        </w:tc>
      </w:tr>
      <w:tr w:rsidR="00571B00" w:rsidRPr="00A133E8" w:rsidTr="0006266F">
        <w:tc>
          <w:tcPr>
            <w:tcW w:w="534" w:type="dxa"/>
          </w:tcPr>
          <w:p w:rsidR="00571B00" w:rsidRPr="00402F5F" w:rsidRDefault="00571B00"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tcPr>
          <w:p w:rsidR="00571B00" w:rsidRDefault="00571B00" w:rsidP="00DB5848">
            <w:pPr>
              <w:rPr>
                <w:rFonts w:ascii="Times New Roman" w:hAnsi="Times New Roman" w:cs="Times New Roman"/>
                <w:sz w:val="24"/>
                <w:szCs w:val="24"/>
                <w:lang w:val="uk-UA"/>
              </w:rPr>
            </w:pPr>
          </w:p>
        </w:tc>
        <w:tc>
          <w:tcPr>
            <w:tcW w:w="2236" w:type="dxa"/>
          </w:tcPr>
          <w:p w:rsidR="00571B00" w:rsidRDefault="00571B00" w:rsidP="00F747DC">
            <w:pPr>
              <w:jc w:val="both"/>
              <w:rPr>
                <w:rFonts w:ascii="Times New Roman" w:hAnsi="Times New Roman" w:cs="Times New Roman"/>
                <w:sz w:val="24"/>
                <w:szCs w:val="24"/>
                <w:lang w:val="uk-UA" w:bidi="uk-UA"/>
              </w:rPr>
            </w:pPr>
            <w:r>
              <w:rPr>
                <w:rFonts w:ascii="Times New Roman" w:hAnsi="Times New Roman" w:cs="Times New Roman"/>
                <w:sz w:val="24"/>
                <w:szCs w:val="24"/>
                <w:lang w:val="uk-UA" w:bidi="uk-UA"/>
              </w:rPr>
              <w:t>Розділ 10</w:t>
            </w:r>
            <w:r>
              <w:t xml:space="preserve"> </w:t>
            </w:r>
            <w:r>
              <w:rPr>
                <w:rFonts w:ascii="Times New Roman" w:hAnsi="Times New Roman" w:cs="Times New Roman"/>
                <w:sz w:val="24"/>
                <w:szCs w:val="24"/>
                <w:lang w:val="uk-UA" w:bidi="uk-UA"/>
              </w:rPr>
              <w:t>«З</w:t>
            </w:r>
            <w:r w:rsidRPr="00F747DC">
              <w:rPr>
                <w:rFonts w:ascii="Times New Roman" w:hAnsi="Times New Roman" w:cs="Times New Roman"/>
                <w:sz w:val="24"/>
                <w:szCs w:val="24"/>
                <w:lang w:val="uk-UA" w:bidi="uk-UA"/>
              </w:rPr>
              <w:t xml:space="preserve">аходи, передбачені для здійснення </w:t>
            </w:r>
            <w:r w:rsidRPr="00F747DC">
              <w:rPr>
                <w:rFonts w:ascii="Times New Roman" w:hAnsi="Times New Roman" w:cs="Times New Roman"/>
                <w:sz w:val="24"/>
                <w:szCs w:val="24"/>
                <w:lang w:val="uk-UA" w:bidi="uk-UA"/>
              </w:rPr>
              <w:lastRenderedPageBreak/>
              <w:t>моніторингу наслідків виконання документа державного планування для довкілля, у тому числі для здоров’я населення</w:t>
            </w:r>
            <w:r>
              <w:rPr>
                <w:rFonts w:ascii="Times New Roman" w:hAnsi="Times New Roman" w:cs="Times New Roman"/>
                <w:sz w:val="24"/>
                <w:szCs w:val="24"/>
                <w:lang w:val="uk-UA" w:bidi="uk-UA"/>
              </w:rPr>
              <w:t>»</w:t>
            </w:r>
          </w:p>
        </w:tc>
        <w:tc>
          <w:tcPr>
            <w:tcW w:w="3828" w:type="dxa"/>
          </w:tcPr>
          <w:p w:rsidR="00571B00" w:rsidRPr="009700C1" w:rsidRDefault="00571B00" w:rsidP="009700C1">
            <w:pPr>
              <w:rPr>
                <w:rFonts w:ascii="Times New Roman" w:hAnsi="Times New Roman" w:cs="Times New Roman"/>
                <w:sz w:val="24"/>
                <w:szCs w:val="24"/>
                <w:lang w:val="uk-UA" w:bidi="uk-UA"/>
              </w:rPr>
            </w:pPr>
            <w:r>
              <w:rPr>
                <w:rFonts w:ascii="Times New Roman" w:hAnsi="Times New Roman" w:cs="Times New Roman"/>
                <w:sz w:val="24"/>
                <w:szCs w:val="24"/>
                <w:lang w:val="uk-UA" w:bidi="uk-UA"/>
              </w:rPr>
              <w:lastRenderedPageBreak/>
              <w:t>В</w:t>
            </w:r>
            <w:r w:rsidRPr="009700C1">
              <w:rPr>
                <w:rFonts w:ascii="Times New Roman" w:hAnsi="Times New Roman" w:cs="Times New Roman"/>
                <w:sz w:val="24"/>
                <w:szCs w:val="24"/>
                <w:lang w:val="uk-UA" w:bidi="uk-UA"/>
              </w:rPr>
              <w:t xml:space="preserve">рахувати вимоги пункту 5 Порядку здійснення моніторингу наслідків виконання документа </w:t>
            </w:r>
            <w:r w:rsidRPr="009700C1">
              <w:rPr>
                <w:rFonts w:ascii="Times New Roman" w:hAnsi="Times New Roman" w:cs="Times New Roman"/>
                <w:sz w:val="24"/>
                <w:szCs w:val="24"/>
                <w:lang w:val="uk-UA" w:bidi="uk-UA"/>
              </w:rPr>
              <w:lastRenderedPageBreak/>
              <w:t>державного планування для довкілля, у тому числі для здоров’я населення, затвердженого постановою Кабінету Міністрів України від 16.12.2020 № 1272.</w:t>
            </w:r>
          </w:p>
        </w:tc>
        <w:tc>
          <w:tcPr>
            <w:tcW w:w="2410" w:type="dxa"/>
          </w:tcPr>
          <w:p w:rsidR="00571B00" w:rsidRDefault="00571B00"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tc>
        <w:tc>
          <w:tcPr>
            <w:tcW w:w="4536" w:type="dxa"/>
          </w:tcPr>
          <w:p w:rsidR="00571B00" w:rsidRDefault="00571B00" w:rsidP="00D0155C">
            <w:pPr>
              <w:rPr>
                <w:rFonts w:ascii="Times New Roman" w:hAnsi="Times New Roman" w:cs="Times New Roman"/>
                <w:bCs/>
                <w:sz w:val="24"/>
                <w:szCs w:val="24"/>
                <w:lang w:val="uk-UA" w:bidi="uk-UA"/>
              </w:rPr>
            </w:pPr>
            <w:r>
              <w:rPr>
                <w:rFonts w:ascii="Times New Roman" w:hAnsi="Times New Roman" w:cs="Times New Roman"/>
                <w:bCs/>
                <w:sz w:val="24"/>
                <w:szCs w:val="24"/>
                <w:lang w:val="uk-UA" w:bidi="uk-UA"/>
              </w:rPr>
              <w:t>У розділі наведено уточнення щодо проведення спостережень за змінами стану довкілля.</w:t>
            </w:r>
          </w:p>
          <w:p w:rsidR="00571B00" w:rsidRPr="001073F9" w:rsidRDefault="00571B00" w:rsidP="00D0155C">
            <w:pPr>
              <w:rPr>
                <w:rFonts w:ascii="Times New Roman" w:hAnsi="Times New Roman" w:cs="Times New Roman"/>
                <w:bCs/>
                <w:sz w:val="24"/>
                <w:szCs w:val="24"/>
                <w:lang w:val="uk-UA" w:bidi="uk-UA"/>
              </w:rPr>
            </w:pPr>
          </w:p>
        </w:tc>
      </w:tr>
      <w:tr w:rsidR="00FB7D25" w:rsidRPr="0042755C" w:rsidTr="0006266F">
        <w:tc>
          <w:tcPr>
            <w:tcW w:w="534" w:type="dxa"/>
          </w:tcPr>
          <w:p w:rsidR="00FB7D25" w:rsidRPr="00402F5F" w:rsidRDefault="00FB7D25"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val="restart"/>
          </w:tcPr>
          <w:p w:rsidR="00FB7D25" w:rsidRDefault="00FB7D25" w:rsidP="00DB5848">
            <w:pPr>
              <w:rPr>
                <w:rFonts w:ascii="Times New Roman" w:hAnsi="Times New Roman" w:cs="Times New Roman"/>
                <w:sz w:val="24"/>
                <w:szCs w:val="24"/>
                <w:lang w:val="uk-UA"/>
              </w:rPr>
            </w:pPr>
            <w:r>
              <w:rPr>
                <w:rFonts w:ascii="Times New Roman" w:hAnsi="Times New Roman" w:cs="Times New Roman"/>
                <w:sz w:val="24"/>
                <w:szCs w:val="24"/>
                <w:lang w:val="uk-UA"/>
              </w:rPr>
              <w:t>Управління екології та природних ресурсів Тернопільської ОВА</w:t>
            </w:r>
          </w:p>
        </w:tc>
        <w:tc>
          <w:tcPr>
            <w:tcW w:w="2236" w:type="dxa"/>
          </w:tcPr>
          <w:p w:rsidR="00FB7D25" w:rsidRDefault="00FB7D25" w:rsidP="00A1104B">
            <w:pPr>
              <w:jc w:val="both"/>
              <w:rPr>
                <w:rFonts w:ascii="Times New Roman" w:hAnsi="Times New Roman" w:cs="Times New Roman"/>
                <w:sz w:val="24"/>
                <w:szCs w:val="24"/>
                <w:lang w:val="uk-UA" w:bidi="uk-UA"/>
              </w:rPr>
            </w:pPr>
            <w:r w:rsidRPr="002E35B8">
              <w:rPr>
                <w:rFonts w:ascii="Times New Roman" w:hAnsi="Times New Roman" w:cs="Times New Roman"/>
                <w:sz w:val="24"/>
                <w:szCs w:val="24"/>
                <w:lang w:val="uk-UA" w:bidi="uk-UA"/>
              </w:rPr>
              <w:t>Підрозділ 3.3. „Стан водних ресурсів” розділу 3 „Характеристика</w:t>
            </w:r>
            <w:r w:rsidR="00A1104B">
              <w:rPr>
                <w:rFonts w:ascii="Times New Roman" w:hAnsi="Times New Roman" w:cs="Times New Roman"/>
                <w:sz w:val="24"/>
                <w:szCs w:val="24"/>
                <w:lang w:val="uk-UA" w:bidi="uk-UA"/>
              </w:rPr>
              <w:t xml:space="preserve"> </w:t>
            </w:r>
            <w:r w:rsidRPr="002E35B8">
              <w:rPr>
                <w:rFonts w:ascii="Times New Roman" w:hAnsi="Times New Roman" w:cs="Times New Roman"/>
                <w:sz w:val="24"/>
                <w:szCs w:val="24"/>
                <w:lang w:val="uk-UA" w:bidi="uk-UA"/>
              </w:rPr>
              <w:t>поточного стану довкілля, у тому числі здоров’я населення,</w:t>
            </w:r>
            <w:r w:rsidRPr="002E35B8">
              <w:rPr>
                <w:rFonts w:ascii="Times New Roman" w:hAnsi="Times New Roman" w:cs="Times New Roman"/>
                <w:sz w:val="24"/>
                <w:szCs w:val="24"/>
                <w:lang w:val="uk-UA" w:bidi="uk-UA"/>
              </w:rPr>
              <w:tab/>
              <w:t>та</w:t>
            </w:r>
            <w:r w:rsidR="00A1104B">
              <w:rPr>
                <w:rFonts w:ascii="Times New Roman" w:hAnsi="Times New Roman" w:cs="Times New Roman"/>
                <w:sz w:val="24"/>
                <w:szCs w:val="24"/>
                <w:lang w:val="uk-UA" w:bidi="uk-UA"/>
              </w:rPr>
              <w:t xml:space="preserve"> </w:t>
            </w:r>
            <w:r w:rsidRPr="002E35B8">
              <w:rPr>
                <w:rFonts w:ascii="Times New Roman" w:hAnsi="Times New Roman" w:cs="Times New Roman"/>
                <w:sz w:val="24"/>
                <w:szCs w:val="24"/>
                <w:lang w:val="uk-UA" w:bidi="uk-UA"/>
              </w:rPr>
              <w:t xml:space="preserve">прогнозовані зміни цього стану, якщо документ державного планування не буде затверджено” </w:t>
            </w:r>
          </w:p>
        </w:tc>
        <w:tc>
          <w:tcPr>
            <w:tcW w:w="3828" w:type="dxa"/>
          </w:tcPr>
          <w:p w:rsidR="00FB7D25" w:rsidRDefault="00FB7D25" w:rsidP="00745F6E">
            <w:pPr>
              <w:rPr>
                <w:rFonts w:ascii="Times New Roman" w:hAnsi="Times New Roman" w:cs="Times New Roman"/>
                <w:sz w:val="24"/>
                <w:szCs w:val="24"/>
                <w:lang w:val="uk-UA" w:bidi="uk-UA"/>
              </w:rPr>
            </w:pPr>
            <w:r w:rsidRPr="00B433BD">
              <w:rPr>
                <w:rFonts w:ascii="Times New Roman" w:hAnsi="Times New Roman" w:cs="Times New Roman"/>
                <w:sz w:val="24"/>
                <w:szCs w:val="24"/>
                <w:lang w:val="uk-UA" w:bidi="uk-UA"/>
              </w:rPr>
              <w:t>Підтвердити геологічним профілем будови території планованої діяльності, на якому показано, склад і потужність водотривких гірських порід, які унеможливлять потрапляння фільтрату в підземні водоносні горизонти.</w:t>
            </w:r>
            <w:r w:rsidR="00745F6E">
              <w:rPr>
                <w:rFonts w:ascii="Times New Roman" w:hAnsi="Times New Roman" w:cs="Times New Roman"/>
                <w:sz w:val="24"/>
                <w:szCs w:val="24"/>
                <w:lang w:val="uk-UA" w:bidi="uk-UA"/>
              </w:rPr>
              <w:t xml:space="preserve"> </w:t>
            </w:r>
          </w:p>
        </w:tc>
        <w:tc>
          <w:tcPr>
            <w:tcW w:w="2410" w:type="dxa"/>
          </w:tcPr>
          <w:p w:rsidR="00FB7D25" w:rsidRDefault="00FB7D25"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tc>
        <w:tc>
          <w:tcPr>
            <w:tcW w:w="4536" w:type="dxa"/>
          </w:tcPr>
          <w:p w:rsidR="00FB7D25" w:rsidRPr="001073F9" w:rsidRDefault="00FB7D25" w:rsidP="00476BD8">
            <w:pPr>
              <w:tabs>
                <w:tab w:val="left" w:pos="960"/>
              </w:tabs>
              <w:rPr>
                <w:rFonts w:ascii="Times New Roman" w:hAnsi="Times New Roman" w:cs="Times New Roman"/>
                <w:bCs/>
                <w:sz w:val="24"/>
                <w:szCs w:val="24"/>
                <w:lang w:val="uk-UA" w:bidi="uk-UA"/>
              </w:rPr>
            </w:pPr>
            <w:r>
              <w:rPr>
                <w:rFonts w:ascii="Times New Roman" w:hAnsi="Times New Roman" w:cs="Times New Roman"/>
                <w:bCs/>
                <w:sz w:val="24"/>
                <w:szCs w:val="24"/>
                <w:lang w:val="uk-UA" w:bidi="uk-UA"/>
              </w:rPr>
              <w:t>Дані дослідження на стадії ДПТ не проводяться.</w:t>
            </w:r>
          </w:p>
        </w:tc>
      </w:tr>
      <w:tr w:rsidR="00FB7D25" w:rsidRPr="00F4073A" w:rsidTr="0006266F">
        <w:tc>
          <w:tcPr>
            <w:tcW w:w="534" w:type="dxa"/>
          </w:tcPr>
          <w:p w:rsidR="00FB7D25" w:rsidRPr="00402F5F" w:rsidRDefault="00FB7D25" w:rsidP="00402F5F">
            <w:pPr>
              <w:pStyle w:val="a4"/>
              <w:numPr>
                <w:ilvl w:val="0"/>
                <w:numId w:val="1"/>
              </w:numPr>
              <w:ind w:left="-142" w:right="-533" w:firstLine="0"/>
              <w:jc w:val="right"/>
              <w:rPr>
                <w:rFonts w:ascii="Times New Roman" w:hAnsi="Times New Roman" w:cs="Times New Roman"/>
                <w:sz w:val="24"/>
                <w:szCs w:val="24"/>
                <w:lang w:val="uk-UA"/>
              </w:rPr>
            </w:pPr>
          </w:p>
        </w:tc>
        <w:tc>
          <w:tcPr>
            <w:tcW w:w="1874" w:type="dxa"/>
            <w:vMerge/>
          </w:tcPr>
          <w:p w:rsidR="00FB7D25" w:rsidRDefault="00FB7D25" w:rsidP="00DB5848">
            <w:pPr>
              <w:rPr>
                <w:rFonts w:ascii="Times New Roman" w:hAnsi="Times New Roman" w:cs="Times New Roman"/>
                <w:sz w:val="24"/>
                <w:szCs w:val="24"/>
                <w:lang w:val="uk-UA"/>
              </w:rPr>
            </w:pPr>
          </w:p>
        </w:tc>
        <w:tc>
          <w:tcPr>
            <w:tcW w:w="2236" w:type="dxa"/>
          </w:tcPr>
          <w:p w:rsidR="00FB7D25" w:rsidRDefault="00FB7D25" w:rsidP="002E35B8">
            <w:pPr>
              <w:jc w:val="both"/>
              <w:rPr>
                <w:rFonts w:ascii="Times New Roman" w:hAnsi="Times New Roman" w:cs="Times New Roman"/>
                <w:sz w:val="24"/>
                <w:szCs w:val="24"/>
                <w:lang w:val="uk-UA" w:bidi="uk-UA"/>
              </w:rPr>
            </w:pPr>
            <w:r>
              <w:rPr>
                <w:rFonts w:ascii="Times New Roman" w:hAnsi="Times New Roman" w:cs="Times New Roman"/>
                <w:sz w:val="24"/>
                <w:szCs w:val="24"/>
                <w:lang w:val="uk-UA" w:bidi="uk-UA"/>
              </w:rPr>
              <w:t>Розділ «</w:t>
            </w:r>
            <w:r w:rsidRPr="000C574E">
              <w:rPr>
                <w:rFonts w:ascii="Times New Roman" w:hAnsi="Times New Roman" w:cs="Times New Roman"/>
                <w:sz w:val="24"/>
                <w:szCs w:val="24"/>
                <w:lang w:val="uk-UA" w:bidi="uk-UA"/>
              </w:rPr>
              <w:t xml:space="preserve">Заходи, передбачені для здійснення моніторингу наслідків виконання документа державного планування для </w:t>
            </w:r>
            <w:r w:rsidRPr="000C574E">
              <w:rPr>
                <w:rFonts w:ascii="Times New Roman" w:hAnsi="Times New Roman" w:cs="Times New Roman"/>
                <w:sz w:val="24"/>
                <w:szCs w:val="24"/>
                <w:lang w:val="uk-UA" w:bidi="uk-UA"/>
              </w:rPr>
              <w:lastRenderedPageBreak/>
              <w:t>довкілля, у тому числі для здоров’я населення</w:t>
            </w:r>
            <w:r>
              <w:rPr>
                <w:rFonts w:ascii="Times New Roman" w:hAnsi="Times New Roman" w:cs="Times New Roman"/>
                <w:sz w:val="24"/>
                <w:szCs w:val="24"/>
                <w:lang w:val="uk-UA" w:bidi="uk-UA"/>
              </w:rPr>
              <w:t>»</w:t>
            </w:r>
          </w:p>
        </w:tc>
        <w:tc>
          <w:tcPr>
            <w:tcW w:w="3828" w:type="dxa"/>
          </w:tcPr>
          <w:p w:rsidR="00FB7D25" w:rsidRDefault="00FB7D25" w:rsidP="009700C1">
            <w:pPr>
              <w:rPr>
                <w:rFonts w:ascii="Times New Roman" w:hAnsi="Times New Roman" w:cs="Times New Roman"/>
                <w:sz w:val="24"/>
                <w:szCs w:val="24"/>
                <w:lang w:val="uk-UA" w:bidi="uk-UA"/>
              </w:rPr>
            </w:pPr>
            <w:r>
              <w:rPr>
                <w:rFonts w:ascii="Times New Roman" w:hAnsi="Times New Roman" w:cs="Times New Roman"/>
                <w:sz w:val="24"/>
                <w:szCs w:val="24"/>
                <w:lang w:val="uk-UA" w:bidi="uk-UA"/>
              </w:rPr>
              <w:lastRenderedPageBreak/>
              <w:t>Д</w:t>
            </w:r>
            <w:r w:rsidRPr="000C574E">
              <w:rPr>
                <w:rFonts w:ascii="Times New Roman" w:hAnsi="Times New Roman" w:cs="Times New Roman"/>
                <w:sz w:val="24"/>
                <w:szCs w:val="24"/>
                <w:lang w:val="uk-UA" w:bidi="uk-UA"/>
              </w:rPr>
              <w:t xml:space="preserve">оповнити екологічними індикаторами стану довкілля (кількісними та/або якісними показниками) на поточний рік і на розрахунковий термін за роками планового періоду у вигляді окремої таблиці. </w:t>
            </w:r>
            <w:r w:rsidRPr="00B433BD">
              <w:rPr>
                <w:rFonts w:ascii="Times New Roman" w:hAnsi="Times New Roman" w:cs="Times New Roman"/>
                <w:sz w:val="24"/>
                <w:szCs w:val="24"/>
                <w:lang w:val="uk-UA" w:bidi="uk-UA"/>
              </w:rPr>
              <w:t xml:space="preserve">Дана вимога була викладена у листі управління від 24.05.2022 № 04.5/579 при наданні </w:t>
            </w:r>
            <w:r w:rsidRPr="00B433BD">
              <w:rPr>
                <w:rFonts w:ascii="Times New Roman" w:hAnsi="Times New Roman" w:cs="Times New Roman"/>
                <w:sz w:val="24"/>
                <w:szCs w:val="24"/>
                <w:lang w:val="uk-UA" w:bidi="uk-UA"/>
              </w:rPr>
              <w:lastRenderedPageBreak/>
              <w:t>пропозицій щодо визначення обсягу стратегічної екологічної оцінки проекту детального плану території.</w:t>
            </w:r>
          </w:p>
        </w:tc>
        <w:tc>
          <w:tcPr>
            <w:tcW w:w="2410" w:type="dxa"/>
          </w:tcPr>
          <w:p w:rsidR="00FB7D25" w:rsidRDefault="00FB7D25" w:rsidP="00413C1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tc>
        <w:tc>
          <w:tcPr>
            <w:tcW w:w="4536" w:type="dxa"/>
          </w:tcPr>
          <w:p w:rsidR="00FB7D25" w:rsidRPr="001073F9" w:rsidRDefault="00FB7D25" w:rsidP="00F4073A">
            <w:pPr>
              <w:rPr>
                <w:rFonts w:ascii="Times New Roman" w:hAnsi="Times New Roman" w:cs="Times New Roman"/>
                <w:bCs/>
                <w:sz w:val="24"/>
                <w:szCs w:val="24"/>
                <w:lang w:val="uk-UA" w:bidi="uk-UA"/>
              </w:rPr>
            </w:pPr>
            <w:r>
              <w:rPr>
                <w:rFonts w:ascii="Times New Roman" w:hAnsi="Times New Roman" w:cs="Times New Roman"/>
                <w:bCs/>
                <w:sz w:val="24"/>
                <w:szCs w:val="24"/>
                <w:lang w:val="uk-UA" w:bidi="uk-UA"/>
              </w:rPr>
              <w:t>Розділ доповнено таблицями щодо визначення екологічних індикаторів стану довкілля.</w:t>
            </w:r>
          </w:p>
        </w:tc>
      </w:tr>
    </w:tbl>
    <w:p w:rsidR="00413C18" w:rsidRDefault="00413C18" w:rsidP="00B21B31">
      <w:pPr>
        <w:jc w:val="both"/>
        <w:rPr>
          <w:rFonts w:ascii="Times New Roman" w:hAnsi="Times New Roman" w:cs="Times New Roman"/>
          <w:lang w:val="uk-UA"/>
        </w:rPr>
      </w:pPr>
    </w:p>
    <w:p w:rsidR="00234DBA" w:rsidRPr="00234DBA" w:rsidRDefault="00234DBA" w:rsidP="00234DBA">
      <w:pPr>
        <w:jc w:val="both"/>
        <w:rPr>
          <w:rFonts w:ascii="Times New Roman" w:hAnsi="Times New Roman" w:cs="Times New Roman"/>
          <w:sz w:val="20"/>
          <w:szCs w:val="20"/>
          <w:lang w:eastAsia="uk-UA"/>
        </w:rPr>
      </w:pPr>
      <w:r w:rsidRPr="00234DBA">
        <w:rPr>
          <w:rFonts w:ascii="Times New Roman" w:hAnsi="Times New Roman" w:cs="Times New Roman"/>
          <w:sz w:val="20"/>
          <w:szCs w:val="20"/>
          <w:lang w:eastAsia="uk-UA"/>
        </w:rPr>
        <w:t>Василь Бесага 0674473280</w:t>
      </w:r>
    </w:p>
    <w:sectPr w:rsidR="00234DBA" w:rsidRPr="00234DBA" w:rsidSect="009B7441">
      <w:headerReference w:type="default" r:id="rId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98" w:rsidRDefault="00735798" w:rsidP="009B7441">
      <w:pPr>
        <w:spacing w:after="0" w:line="240" w:lineRule="auto"/>
      </w:pPr>
      <w:r>
        <w:separator/>
      </w:r>
    </w:p>
  </w:endnote>
  <w:endnote w:type="continuationSeparator" w:id="0">
    <w:p w:rsidR="00735798" w:rsidRDefault="00735798" w:rsidP="009B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98" w:rsidRDefault="00735798" w:rsidP="009B7441">
      <w:pPr>
        <w:spacing w:after="0" w:line="240" w:lineRule="auto"/>
      </w:pPr>
      <w:r>
        <w:separator/>
      </w:r>
    </w:p>
  </w:footnote>
  <w:footnote w:type="continuationSeparator" w:id="0">
    <w:p w:rsidR="00735798" w:rsidRDefault="00735798" w:rsidP="009B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61616"/>
      <w:docPartObj>
        <w:docPartGallery w:val="Page Numbers (Top of Page)"/>
        <w:docPartUnique/>
      </w:docPartObj>
    </w:sdtPr>
    <w:sdtEndPr/>
    <w:sdtContent>
      <w:p w:rsidR="009B7441" w:rsidRDefault="009B7441">
        <w:pPr>
          <w:pStyle w:val="aa"/>
          <w:jc w:val="center"/>
        </w:pPr>
        <w:r>
          <w:fldChar w:fldCharType="begin"/>
        </w:r>
        <w:r>
          <w:instrText>PAGE   \* MERGEFORMAT</w:instrText>
        </w:r>
        <w:r>
          <w:fldChar w:fldCharType="separate"/>
        </w:r>
        <w:r w:rsidR="008B48DE" w:rsidRPr="008B48DE">
          <w:rPr>
            <w:noProof/>
            <w:lang w:val="uk-UA"/>
          </w:rPr>
          <w:t>2</w:t>
        </w:r>
        <w:r>
          <w:fldChar w:fldCharType="end"/>
        </w:r>
      </w:p>
    </w:sdtContent>
  </w:sdt>
  <w:p w:rsidR="009B7441" w:rsidRDefault="009B744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535"/>
    <w:multiLevelType w:val="hybridMultilevel"/>
    <w:tmpl w:val="484291AE"/>
    <w:lvl w:ilvl="0" w:tplc="AE0C9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4134C8"/>
    <w:multiLevelType w:val="hybridMultilevel"/>
    <w:tmpl w:val="57024AD0"/>
    <w:lvl w:ilvl="0" w:tplc="102E2E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BF13B9"/>
    <w:multiLevelType w:val="hybridMultilevel"/>
    <w:tmpl w:val="9BA4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8C02D2"/>
    <w:multiLevelType w:val="multilevel"/>
    <w:tmpl w:val="A9082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5D56A6"/>
    <w:multiLevelType w:val="multilevel"/>
    <w:tmpl w:val="CC020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DD31FE"/>
    <w:multiLevelType w:val="hybridMultilevel"/>
    <w:tmpl w:val="532A0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D30A2E"/>
    <w:multiLevelType w:val="multilevel"/>
    <w:tmpl w:val="531A9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5D72AB"/>
    <w:multiLevelType w:val="hybridMultilevel"/>
    <w:tmpl w:val="A280B04E"/>
    <w:lvl w:ilvl="0" w:tplc="D3620978">
      <w:start w:val="5"/>
      <w:numFmt w:val="bullet"/>
      <w:lvlText w:val="-"/>
      <w:lvlJc w:val="left"/>
      <w:pPr>
        <w:ind w:left="1996" w:hanging="360"/>
      </w:pPr>
      <w:rPr>
        <w:rFonts w:ascii="Times New Roman" w:eastAsia="Times New Roman"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52"/>
    <w:rsid w:val="00000070"/>
    <w:rsid w:val="00017B14"/>
    <w:rsid w:val="00034B6C"/>
    <w:rsid w:val="00050C58"/>
    <w:rsid w:val="0006266F"/>
    <w:rsid w:val="00073ECA"/>
    <w:rsid w:val="00076655"/>
    <w:rsid w:val="00085CA4"/>
    <w:rsid w:val="0009560F"/>
    <w:rsid w:val="00097B22"/>
    <w:rsid w:val="000B23BE"/>
    <w:rsid w:val="000C1159"/>
    <w:rsid w:val="000C574E"/>
    <w:rsid w:val="000E1634"/>
    <w:rsid w:val="000F252D"/>
    <w:rsid w:val="00105568"/>
    <w:rsid w:val="001073F9"/>
    <w:rsid w:val="00112522"/>
    <w:rsid w:val="00152A14"/>
    <w:rsid w:val="001577DF"/>
    <w:rsid w:val="00184756"/>
    <w:rsid w:val="001A354D"/>
    <w:rsid w:val="001B1872"/>
    <w:rsid w:val="001B71E5"/>
    <w:rsid w:val="001C2646"/>
    <w:rsid w:val="001C2D58"/>
    <w:rsid w:val="00234DBA"/>
    <w:rsid w:val="00284F98"/>
    <w:rsid w:val="002B1596"/>
    <w:rsid w:val="002B28F9"/>
    <w:rsid w:val="002D71DD"/>
    <w:rsid w:val="002E35B8"/>
    <w:rsid w:val="002F3DAA"/>
    <w:rsid w:val="00313883"/>
    <w:rsid w:val="00355003"/>
    <w:rsid w:val="00380068"/>
    <w:rsid w:val="003971DC"/>
    <w:rsid w:val="003A4A71"/>
    <w:rsid w:val="003C2C67"/>
    <w:rsid w:val="003E5CFC"/>
    <w:rsid w:val="003F17BA"/>
    <w:rsid w:val="003F686B"/>
    <w:rsid w:val="00402F5F"/>
    <w:rsid w:val="00413C18"/>
    <w:rsid w:val="0042755C"/>
    <w:rsid w:val="004715AB"/>
    <w:rsid w:val="00476BD8"/>
    <w:rsid w:val="0049367D"/>
    <w:rsid w:val="00494E84"/>
    <w:rsid w:val="004C3AF2"/>
    <w:rsid w:val="004C699B"/>
    <w:rsid w:val="004D02DD"/>
    <w:rsid w:val="00502E8E"/>
    <w:rsid w:val="005279C6"/>
    <w:rsid w:val="00541652"/>
    <w:rsid w:val="005575EB"/>
    <w:rsid w:val="005577F8"/>
    <w:rsid w:val="00561EB1"/>
    <w:rsid w:val="005638CF"/>
    <w:rsid w:val="00571B00"/>
    <w:rsid w:val="00582569"/>
    <w:rsid w:val="005E174B"/>
    <w:rsid w:val="005F5CA3"/>
    <w:rsid w:val="00602832"/>
    <w:rsid w:val="006053D1"/>
    <w:rsid w:val="00613E5E"/>
    <w:rsid w:val="00632661"/>
    <w:rsid w:val="0069076A"/>
    <w:rsid w:val="00694689"/>
    <w:rsid w:val="006B1215"/>
    <w:rsid w:val="006B641F"/>
    <w:rsid w:val="00735798"/>
    <w:rsid w:val="00743402"/>
    <w:rsid w:val="00745F6E"/>
    <w:rsid w:val="00787A7F"/>
    <w:rsid w:val="007D7E45"/>
    <w:rsid w:val="007E4BFA"/>
    <w:rsid w:val="007F1B2C"/>
    <w:rsid w:val="007F69E6"/>
    <w:rsid w:val="00810C07"/>
    <w:rsid w:val="00853B67"/>
    <w:rsid w:val="00866942"/>
    <w:rsid w:val="008860A6"/>
    <w:rsid w:val="008B48DE"/>
    <w:rsid w:val="00903B98"/>
    <w:rsid w:val="009122F0"/>
    <w:rsid w:val="009353A1"/>
    <w:rsid w:val="009700C1"/>
    <w:rsid w:val="00980392"/>
    <w:rsid w:val="009835E3"/>
    <w:rsid w:val="009A0A21"/>
    <w:rsid w:val="009B7441"/>
    <w:rsid w:val="00A1104B"/>
    <w:rsid w:val="00A133E8"/>
    <w:rsid w:val="00A3335F"/>
    <w:rsid w:val="00A659A2"/>
    <w:rsid w:val="00A80C32"/>
    <w:rsid w:val="00A8193A"/>
    <w:rsid w:val="00A94152"/>
    <w:rsid w:val="00AA746C"/>
    <w:rsid w:val="00AA7B3F"/>
    <w:rsid w:val="00AC0231"/>
    <w:rsid w:val="00AC125B"/>
    <w:rsid w:val="00AE3D99"/>
    <w:rsid w:val="00AF2D7D"/>
    <w:rsid w:val="00B12119"/>
    <w:rsid w:val="00B1765D"/>
    <w:rsid w:val="00B1769D"/>
    <w:rsid w:val="00B21B31"/>
    <w:rsid w:val="00B31269"/>
    <w:rsid w:val="00B336B3"/>
    <w:rsid w:val="00B37B72"/>
    <w:rsid w:val="00B433BD"/>
    <w:rsid w:val="00B854E8"/>
    <w:rsid w:val="00B86C8C"/>
    <w:rsid w:val="00BF24E5"/>
    <w:rsid w:val="00C22C59"/>
    <w:rsid w:val="00C52D18"/>
    <w:rsid w:val="00C76A6C"/>
    <w:rsid w:val="00C82BA7"/>
    <w:rsid w:val="00C82E70"/>
    <w:rsid w:val="00CA4303"/>
    <w:rsid w:val="00CA50B3"/>
    <w:rsid w:val="00CF444E"/>
    <w:rsid w:val="00D0155C"/>
    <w:rsid w:val="00D776BE"/>
    <w:rsid w:val="00DB5848"/>
    <w:rsid w:val="00DC0F38"/>
    <w:rsid w:val="00DC2DA2"/>
    <w:rsid w:val="00E004F5"/>
    <w:rsid w:val="00E012B4"/>
    <w:rsid w:val="00E239A2"/>
    <w:rsid w:val="00E313EC"/>
    <w:rsid w:val="00E354A9"/>
    <w:rsid w:val="00E55159"/>
    <w:rsid w:val="00E735EC"/>
    <w:rsid w:val="00EA03C6"/>
    <w:rsid w:val="00EC7BCF"/>
    <w:rsid w:val="00EE3969"/>
    <w:rsid w:val="00F311E9"/>
    <w:rsid w:val="00F34BC5"/>
    <w:rsid w:val="00F4073A"/>
    <w:rsid w:val="00F47857"/>
    <w:rsid w:val="00F64B67"/>
    <w:rsid w:val="00F67BBE"/>
    <w:rsid w:val="00F747DC"/>
    <w:rsid w:val="00FA0442"/>
    <w:rsid w:val="00FB7D25"/>
    <w:rsid w:val="00FC15CE"/>
    <w:rsid w:val="00FC6420"/>
    <w:rsid w:val="00FD05AF"/>
    <w:rsid w:val="00FE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7E7B"/>
  <w15:docId w15:val="{FA11EAFB-B23E-417E-8535-100E7218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2F5F"/>
    <w:pPr>
      <w:ind w:left="720"/>
      <w:contextualSpacing/>
    </w:pPr>
  </w:style>
  <w:style w:type="paragraph" w:styleId="a5">
    <w:name w:val="Balloon Text"/>
    <w:basedOn w:val="a"/>
    <w:link w:val="a6"/>
    <w:uiPriority w:val="99"/>
    <w:semiHidden/>
    <w:unhideWhenUsed/>
    <w:rsid w:val="00BF24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24E5"/>
    <w:rPr>
      <w:rFonts w:ascii="Tahoma" w:hAnsi="Tahoma" w:cs="Tahoma"/>
      <w:sz w:val="16"/>
      <w:szCs w:val="16"/>
    </w:rPr>
  </w:style>
  <w:style w:type="character" w:styleId="a7">
    <w:name w:val="Hyperlink"/>
    <w:basedOn w:val="a0"/>
    <w:uiPriority w:val="99"/>
    <w:unhideWhenUsed/>
    <w:rsid w:val="00BF24E5"/>
    <w:rPr>
      <w:color w:val="0000FF" w:themeColor="hyperlink"/>
      <w:u w:val="single"/>
    </w:rPr>
  </w:style>
  <w:style w:type="character" w:styleId="a8">
    <w:name w:val="FollowedHyperlink"/>
    <w:basedOn w:val="a0"/>
    <w:uiPriority w:val="99"/>
    <w:semiHidden/>
    <w:unhideWhenUsed/>
    <w:rsid w:val="00BF24E5"/>
    <w:rPr>
      <w:color w:val="800080" w:themeColor="followedHyperlink"/>
      <w:u w:val="single"/>
    </w:rPr>
  </w:style>
  <w:style w:type="paragraph" w:customStyle="1" w:styleId="a9">
    <w:name w:val="проект текст Т"/>
    <w:basedOn w:val="a"/>
    <w:link w:val="1"/>
    <w:rsid w:val="009835E3"/>
    <w:pPr>
      <w:suppressAutoHyphens/>
      <w:overflowPunct w:val="0"/>
      <w:autoSpaceDE w:val="0"/>
      <w:autoSpaceDN w:val="0"/>
      <w:adjustRightInd w:val="0"/>
      <w:spacing w:after="60" w:line="240" w:lineRule="auto"/>
      <w:ind w:left="568" w:right="548" w:firstLine="567"/>
      <w:jc w:val="both"/>
      <w:textAlignment w:val="baseline"/>
    </w:pPr>
    <w:rPr>
      <w:rFonts w:ascii="Times New Roman" w:eastAsia="Times New Roman" w:hAnsi="Times New Roman" w:cs="Times New Roman"/>
      <w:color w:val="000000"/>
      <w:sz w:val="24"/>
      <w:szCs w:val="20"/>
      <w:lang w:val="uk-UA" w:eastAsia="x-none"/>
    </w:rPr>
  </w:style>
  <w:style w:type="character" w:customStyle="1" w:styleId="1">
    <w:name w:val="проект текст Т Знак1"/>
    <w:link w:val="a9"/>
    <w:rsid w:val="009835E3"/>
    <w:rPr>
      <w:rFonts w:ascii="Times New Roman" w:eastAsia="Times New Roman" w:hAnsi="Times New Roman" w:cs="Times New Roman"/>
      <w:color w:val="000000"/>
      <w:sz w:val="24"/>
      <w:szCs w:val="20"/>
      <w:lang w:val="uk-UA" w:eastAsia="x-none"/>
    </w:rPr>
  </w:style>
  <w:style w:type="paragraph" w:styleId="aa">
    <w:name w:val="header"/>
    <w:basedOn w:val="a"/>
    <w:link w:val="ab"/>
    <w:uiPriority w:val="99"/>
    <w:unhideWhenUsed/>
    <w:rsid w:val="009B7441"/>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9B7441"/>
  </w:style>
  <w:style w:type="paragraph" w:styleId="ac">
    <w:name w:val="footer"/>
    <w:basedOn w:val="a"/>
    <w:link w:val="ad"/>
    <w:uiPriority w:val="99"/>
    <w:unhideWhenUsed/>
    <w:rsid w:val="009B744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9B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{E673CB51-A7A6-438B-9105-CF9B98AC1ED7}</b:Guid>
    <b:URL>http://svoboda.te.ua/u-pochayevi-vidkryly-novi-ochysni-sporudy/</b:URL>
    <b:RefOrder>2</b:RefOrder>
  </b:Source>
  <b:Source>
    <b:Tag>kov</b:Tag>
    <b:SourceType>InternetSite</b:SourceType>
    <b:Guid>{986D0013-D1BD-40DB-87CC-9F2633423D99}</b:Guid>
    <b:URL>http://svoboda.te.ua/u-pochayevi-vidkryly-novi-ochysni-sporudy/</b:URL>
    <b:Author>
      <b:Author>
        <b:NameList>
          <b:Person>
            <b:Last>kovaljova-sv</b:Last>
          </b:Person>
        </b:NameList>
      </b:Author>
    </b:Author>
    <b:RefOrder>1</b:RefOrder>
  </b:Source>
</b:Sources>
</file>

<file path=customXml/itemProps1.xml><?xml version="1.0" encoding="utf-8"?>
<ds:datastoreItem xmlns:ds="http://schemas.openxmlformats.org/officeDocument/2006/customXml" ds:itemID="{6C2C4E7D-9E8E-4FF2-B86D-DAC3B3E8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11</Pages>
  <Words>8446</Words>
  <Characters>4815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d14-Zaharchuk</cp:lastModifiedBy>
  <cp:revision>135</cp:revision>
  <dcterms:created xsi:type="dcterms:W3CDTF">2019-08-01T17:01:00Z</dcterms:created>
  <dcterms:modified xsi:type="dcterms:W3CDTF">2022-11-15T09:05:00Z</dcterms:modified>
</cp:coreProperties>
</file>