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FC" w:rsidRPr="00FC53FB" w:rsidRDefault="00AA33FC" w:rsidP="00EC05C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53FB">
        <w:rPr>
          <w:rFonts w:ascii="Times New Roman" w:hAnsi="Times New Roman" w:cs="Times New Roman"/>
          <w:color w:val="000000"/>
          <w:sz w:val="28"/>
          <w:szCs w:val="28"/>
        </w:rPr>
        <w:t>Аналіз регуляторного впливу</w:t>
      </w:r>
    </w:p>
    <w:p w:rsidR="00AA33FC" w:rsidRPr="00FC53FB" w:rsidRDefault="00AA33FC" w:rsidP="00EC05C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53FB">
        <w:rPr>
          <w:rFonts w:ascii="Times New Roman" w:hAnsi="Times New Roman" w:cs="Times New Roman"/>
          <w:color w:val="000000"/>
          <w:sz w:val="28"/>
          <w:szCs w:val="28"/>
        </w:rPr>
        <w:t>до проекту рішення виконавчого комітету Тернопільської міської ради</w:t>
      </w:r>
    </w:p>
    <w:p w:rsidR="00AA33FC" w:rsidRPr="00FC53FB" w:rsidRDefault="00864DD7" w:rsidP="00864DD7">
      <w:pPr>
        <w:pStyle w:val="31"/>
        <w:jc w:val="center"/>
        <w:rPr>
          <w:bCs w:val="0"/>
          <w:szCs w:val="28"/>
        </w:rPr>
      </w:pPr>
      <w:r w:rsidRPr="00FC53FB">
        <w:rPr>
          <w:bCs w:val="0"/>
          <w:szCs w:val="28"/>
        </w:rPr>
        <w:t>«Про забезпечення роботи міського електричного транспорту»</w:t>
      </w:r>
    </w:p>
    <w:p w:rsidR="00864DD7" w:rsidRPr="0069669D" w:rsidRDefault="00AA33FC" w:rsidP="00864DD7">
      <w:pPr>
        <w:pStyle w:val="31"/>
        <w:rPr>
          <w:b w:val="0"/>
          <w:bCs w:val="0"/>
          <w:sz w:val="24"/>
        </w:rPr>
      </w:pPr>
      <w:r w:rsidRPr="00FC53FB">
        <w:rPr>
          <w:bCs w:val="0"/>
          <w:sz w:val="24"/>
        </w:rPr>
        <w:t>Назва регуляторного акта:</w:t>
      </w:r>
      <w:r w:rsidRPr="0069669D">
        <w:rPr>
          <w:b w:val="0"/>
          <w:sz w:val="24"/>
        </w:rPr>
        <w:t xml:space="preserve"> </w:t>
      </w:r>
      <w:r w:rsidR="00864DD7" w:rsidRPr="0069669D">
        <w:rPr>
          <w:b w:val="0"/>
          <w:sz w:val="24"/>
        </w:rPr>
        <w:t>«Про забезпечення роботи міського електричного транспорту»</w:t>
      </w:r>
    </w:p>
    <w:p w:rsidR="00AA33FC" w:rsidRPr="00C31BE9" w:rsidRDefault="00AA33FC" w:rsidP="00864DD7">
      <w:pPr>
        <w:pStyle w:val="a4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FC53FB">
        <w:rPr>
          <w:rFonts w:ascii="Times New Roman" w:hAnsi="Times New Roman"/>
          <w:b/>
          <w:bCs/>
          <w:szCs w:val="24"/>
        </w:rPr>
        <w:t>Регуляторний</w:t>
      </w:r>
      <w:proofErr w:type="spellEnd"/>
      <w:r w:rsidRPr="00FC53FB">
        <w:rPr>
          <w:rFonts w:ascii="Times New Roman" w:hAnsi="Times New Roman"/>
          <w:b/>
          <w:bCs/>
          <w:szCs w:val="24"/>
        </w:rPr>
        <w:t xml:space="preserve"> орган:</w:t>
      </w:r>
      <w:r w:rsidRPr="0069669D">
        <w:rPr>
          <w:rFonts w:ascii="Times New Roman" w:hAnsi="Times New Roman"/>
          <w:szCs w:val="24"/>
        </w:rPr>
        <w:t xml:space="preserve"> </w:t>
      </w:r>
      <w:r w:rsidR="00FC53FB">
        <w:rPr>
          <w:rFonts w:ascii="Times New Roman" w:hAnsi="Times New Roman"/>
          <w:szCs w:val="24"/>
          <w:lang w:val="uk-UA"/>
        </w:rPr>
        <w:t>В</w:t>
      </w:r>
      <w:proofErr w:type="spellStart"/>
      <w:r w:rsidRPr="0069669D">
        <w:rPr>
          <w:rFonts w:ascii="Times New Roman" w:hAnsi="Times New Roman"/>
          <w:szCs w:val="24"/>
        </w:rPr>
        <w:t>иконавчий</w:t>
      </w:r>
      <w:proofErr w:type="spellEnd"/>
      <w:r w:rsidRPr="0069669D">
        <w:rPr>
          <w:rFonts w:ascii="Times New Roman" w:hAnsi="Times New Roman"/>
          <w:szCs w:val="24"/>
        </w:rPr>
        <w:t xml:space="preserve"> </w:t>
      </w:r>
      <w:proofErr w:type="spellStart"/>
      <w:r w:rsidRPr="0069669D">
        <w:rPr>
          <w:rFonts w:ascii="Times New Roman" w:hAnsi="Times New Roman"/>
          <w:szCs w:val="24"/>
        </w:rPr>
        <w:t>комітет</w:t>
      </w:r>
      <w:proofErr w:type="spellEnd"/>
      <w:r w:rsidRPr="0069669D">
        <w:rPr>
          <w:rFonts w:ascii="Times New Roman" w:hAnsi="Times New Roman"/>
          <w:szCs w:val="24"/>
        </w:rPr>
        <w:t xml:space="preserve"> </w:t>
      </w:r>
      <w:proofErr w:type="spellStart"/>
      <w:r w:rsidRPr="0069669D">
        <w:rPr>
          <w:rFonts w:ascii="Times New Roman" w:hAnsi="Times New Roman"/>
          <w:szCs w:val="24"/>
        </w:rPr>
        <w:t>Тернопільської</w:t>
      </w:r>
      <w:proofErr w:type="spellEnd"/>
      <w:r w:rsidRPr="0069669D">
        <w:rPr>
          <w:rFonts w:ascii="Times New Roman" w:hAnsi="Times New Roman"/>
          <w:szCs w:val="24"/>
        </w:rPr>
        <w:t xml:space="preserve"> </w:t>
      </w:r>
      <w:proofErr w:type="spellStart"/>
      <w:r w:rsidRPr="0069669D">
        <w:rPr>
          <w:rFonts w:ascii="Times New Roman" w:hAnsi="Times New Roman"/>
          <w:szCs w:val="24"/>
        </w:rPr>
        <w:t>міської</w:t>
      </w:r>
      <w:proofErr w:type="spellEnd"/>
      <w:r w:rsidRPr="0069669D">
        <w:rPr>
          <w:rFonts w:ascii="Times New Roman" w:hAnsi="Times New Roman"/>
          <w:szCs w:val="24"/>
        </w:rPr>
        <w:t xml:space="preserve"> </w:t>
      </w:r>
      <w:r w:rsidR="00C31BE9">
        <w:rPr>
          <w:rFonts w:ascii="Times New Roman" w:hAnsi="Times New Roman"/>
          <w:szCs w:val="24"/>
          <w:lang w:val="uk-UA"/>
        </w:rPr>
        <w:t>територіальної громади</w:t>
      </w:r>
    </w:p>
    <w:p w:rsidR="00AA33FC" w:rsidRPr="0069669D" w:rsidRDefault="00AA33FC" w:rsidP="00864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3FB">
        <w:rPr>
          <w:rFonts w:ascii="Times New Roman" w:hAnsi="Times New Roman" w:cs="Times New Roman"/>
          <w:b/>
          <w:bCs/>
          <w:sz w:val="24"/>
          <w:szCs w:val="24"/>
        </w:rPr>
        <w:t>Розробник документа:</w:t>
      </w:r>
      <w:r w:rsidRPr="0069669D">
        <w:rPr>
          <w:rFonts w:ascii="Times New Roman" w:hAnsi="Times New Roman" w:cs="Times New Roman"/>
          <w:sz w:val="24"/>
          <w:szCs w:val="24"/>
        </w:rPr>
        <w:t xml:space="preserve"> </w:t>
      </w:r>
      <w:r w:rsidR="00FC53FB">
        <w:rPr>
          <w:rFonts w:ascii="Times New Roman" w:hAnsi="Times New Roman" w:cs="Times New Roman"/>
          <w:sz w:val="24"/>
          <w:szCs w:val="24"/>
        </w:rPr>
        <w:t>У</w:t>
      </w:r>
      <w:r w:rsidRPr="0069669D">
        <w:rPr>
          <w:rFonts w:ascii="Times New Roman" w:hAnsi="Times New Roman" w:cs="Times New Roman"/>
          <w:sz w:val="24"/>
          <w:szCs w:val="24"/>
        </w:rPr>
        <w:t>правління транспорт</w:t>
      </w:r>
      <w:r w:rsidR="00697A3E">
        <w:rPr>
          <w:rFonts w:ascii="Times New Roman" w:hAnsi="Times New Roman" w:cs="Times New Roman"/>
          <w:sz w:val="24"/>
          <w:szCs w:val="24"/>
        </w:rPr>
        <w:t>них мереж</w:t>
      </w:r>
      <w:r w:rsidRPr="0069669D">
        <w:rPr>
          <w:rFonts w:ascii="Times New Roman" w:hAnsi="Times New Roman" w:cs="Times New Roman"/>
          <w:sz w:val="24"/>
          <w:szCs w:val="24"/>
        </w:rPr>
        <w:t xml:space="preserve"> та зв’язку Тернопільської </w:t>
      </w:r>
      <w:r w:rsidR="00FC53FB">
        <w:rPr>
          <w:rFonts w:ascii="Times New Roman" w:hAnsi="Times New Roman" w:cs="Times New Roman"/>
          <w:sz w:val="24"/>
          <w:szCs w:val="24"/>
        </w:rPr>
        <w:t xml:space="preserve"> </w:t>
      </w:r>
      <w:r w:rsidRPr="0069669D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6B1926">
        <w:rPr>
          <w:rFonts w:ascii="Times New Roman" w:hAnsi="Times New Roman"/>
          <w:szCs w:val="24"/>
        </w:rPr>
        <w:t>ради</w:t>
      </w:r>
      <w:r w:rsidR="00FC53FB">
        <w:rPr>
          <w:rFonts w:ascii="Times New Roman" w:hAnsi="Times New Roman" w:cs="Times New Roman"/>
          <w:sz w:val="24"/>
          <w:szCs w:val="24"/>
        </w:rPr>
        <w:t xml:space="preserve">. </w:t>
      </w:r>
      <w:r w:rsidRPr="0069669D">
        <w:rPr>
          <w:rFonts w:ascii="Times New Roman" w:hAnsi="Times New Roman" w:cs="Times New Roman"/>
          <w:sz w:val="24"/>
          <w:szCs w:val="24"/>
        </w:rPr>
        <w:t xml:space="preserve">Контактний телефон: </w:t>
      </w:r>
      <w:r w:rsidR="00C373B8" w:rsidRPr="0069669D">
        <w:rPr>
          <w:rFonts w:ascii="Times New Roman" w:hAnsi="Times New Roman" w:cs="Times New Roman"/>
          <w:sz w:val="24"/>
          <w:szCs w:val="24"/>
        </w:rPr>
        <w:t>0352</w:t>
      </w:r>
      <w:r w:rsidRPr="0069669D">
        <w:rPr>
          <w:rFonts w:ascii="Times New Roman" w:hAnsi="Times New Roman" w:cs="Times New Roman"/>
          <w:sz w:val="24"/>
          <w:szCs w:val="24"/>
        </w:rPr>
        <w:t>521514</w:t>
      </w:r>
    </w:p>
    <w:p w:rsidR="00894D22" w:rsidRPr="00FC53FB" w:rsidRDefault="00827451" w:rsidP="00864D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66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53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Визначення проблеми </w:t>
      </w:r>
    </w:p>
    <w:p w:rsidR="00740BB0" w:rsidRPr="00FC53FB" w:rsidRDefault="003C18ED" w:rsidP="002B2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6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C53FB">
        <w:rPr>
          <w:rFonts w:ascii="Times New Roman" w:hAnsi="Times New Roman" w:cs="Times New Roman"/>
          <w:sz w:val="26"/>
          <w:szCs w:val="26"/>
        </w:rPr>
        <w:t>На сьогодні</w:t>
      </w:r>
      <w:r w:rsidR="00310089" w:rsidRPr="00FC53FB">
        <w:rPr>
          <w:rFonts w:ascii="Times New Roman" w:hAnsi="Times New Roman" w:cs="Times New Roman"/>
          <w:sz w:val="26"/>
          <w:szCs w:val="26"/>
        </w:rPr>
        <w:t xml:space="preserve">шній день </w:t>
      </w:r>
      <w:r w:rsidR="00B665A7">
        <w:rPr>
          <w:rFonts w:ascii="Times New Roman" w:hAnsi="Times New Roman" w:cs="Times New Roman"/>
          <w:sz w:val="26"/>
          <w:szCs w:val="26"/>
        </w:rPr>
        <w:t xml:space="preserve">є актуальним </w:t>
      </w:r>
      <w:r w:rsidR="00310089" w:rsidRPr="00FC53FB">
        <w:rPr>
          <w:rFonts w:ascii="Times New Roman" w:hAnsi="Times New Roman" w:cs="Times New Roman"/>
          <w:sz w:val="26"/>
          <w:szCs w:val="26"/>
        </w:rPr>
        <w:t>рішення №</w:t>
      </w:r>
      <w:r w:rsidR="00B665A7">
        <w:rPr>
          <w:rFonts w:ascii="Times New Roman" w:hAnsi="Times New Roman" w:cs="Times New Roman"/>
          <w:sz w:val="26"/>
          <w:szCs w:val="26"/>
        </w:rPr>
        <w:t>35</w:t>
      </w:r>
      <w:r w:rsidR="00066D61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310089" w:rsidRPr="00FC53FB">
        <w:rPr>
          <w:rFonts w:ascii="Times New Roman" w:hAnsi="Times New Roman" w:cs="Times New Roman"/>
          <w:sz w:val="26"/>
          <w:szCs w:val="26"/>
        </w:rPr>
        <w:t>від 2</w:t>
      </w:r>
      <w:r w:rsidR="00B665A7">
        <w:rPr>
          <w:rFonts w:ascii="Times New Roman" w:hAnsi="Times New Roman" w:cs="Times New Roman"/>
          <w:sz w:val="26"/>
          <w:szCs w:val="26"/>
        </w:rPr>
        <w:t>9</w:t>
      </w:r>
      <w:r w:rsidR="00310089" w:rsidRPr="00FC53FB">
        <w:rPr>
          <w:rFonts w:ascii="Times New Roman" w:hAnsi="Times New Roman" w:cs="Times New Roman"/>
          <w:sz w:val="26"/>
          <w:szCs w:val="26"/>
        </w:rPr>
        <w:t>/</w:t>
      </w:r>
      <w:r w:rsidR="00B665A7">
        <w:rPr>
          <w:rFonts w:ascii="Times New Roman" w:hAnsi="Times New Roman" w:cs="Times New Roman"/>
          <w:sz w:val="26"/>
          <w:szCs w:val="26"/>
        </w:rPr>
        <w:t>01</w:t>
      </w:r>
      <w:r w:rsidR="00310089" w:rsidRPr="00FC53FB">
        <w:rPr>
          <w:rFonts w:ascii="Times New Roman" w:hAnsi="Times New Roman" w:cs="Times New Roman"/>
          <w:sz w:val="26"/>
          <w:szCs w:val="26"/>
        </w:rPr>
        <w:t>/20</w:t>
      </w:r>
      <w:r w:rsidR="00B665A7">
        <w:rPr>
          <w:rFonts w:ascii="Times New Roman" w:hAnsi="Times New Roman" w:cs="Times New Roman"/>
          <w:sz w:val="26"/>
          <w:szCs w:val="26"/>
        </w:rPr>
        <w:t>20</w:t>
      </w:r>
      <w:r w:rsidR="00310089" w:rsidRPr="00FC53FB">
        <w:rPr>
          <w:rFonts w:ascii="Times New Roman" w:hAnsi="Times New Roman" w:cs="Times New Roman"/>
          <w:sz w:val="26"/>
          <w:szCs w:val="26"/>
        </w:rPr>
        <w:t xml:space="preserve"> року згідно якого вартість </w:t>
      </w:r>
      <w:r w:rsidR="005E72EC" w:rsidRPr="00FC53FB">
        <w:rPr>
          <w:rFonts w:ascii="Times New Roman" w:hAnsi="Times New Roman" w:cs="Times New Roman"/>
          <w:sz w:val="26"/>
          <w:szCs w:val="26"/>
        </w:rPr>
        <w:t>проїзд</w:t>
      </w:r>
      <w:r w:rsidR="00310089" w:rsidRPr="00FC53FB">
        <w:rPr>
          <w:rFonts w:ascii="Times New Roman" w:hAnsi="Times New Roman" w:cs="Times New Roman"/>
          <w:sz w:val="26"/>
          <w:szCs w:val="26"/>
        </w:rPr>
        <w:t>у</w:t>
      </w:r>
      <w:r w:rsidR="005E72EC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066D61" w:rsidRPr="00FC53FB">
        <w:rPr>
          <w:rFonts w:ascii="Times New Roman" w:hAnsi="Times New Roman" w:cs="Times New Roman"/>
          <w:sz w:val="26"/>
          <w:szCs w:val="26"/>
        </w:rPr>
        <w:t>тролейбусами</w:t>
      </w:r>
      <w:r w:rsidR="00310089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FB62E0" w:rsidRPr="00FC53FB">
        <w:rPr>
          <w:rFonts w:ascii="Times New Roman" w:hAnsi="Times New Roman" w:cs="Times New Roman"/>
          <w:sz w:val="26"/>
          <w:szCs w:val="26"/>
        </w:rPr>
        <w:t xml:space="preserve">становить </w:t>
      </w:r>
      <w:r w:rsidR="00B665A7">
        <w:rPr>
          <w:rFonts w:ascii="Times New Roman" w:hAnsi="Times New Roman" w:cs="Times New Roman"/>
          <w:sz w:val="26"/>
          <w:szCs w:val="26"/>
        </w:rPr>
        <w:t>5-6</w:t>
      </w:r>
      <w:r w:rsidR="00FB62E0" w:rsidRPr="00FC53FB">
        <w:rPr>
          <w:rFonts w:ascii="Times New Roman" w:hAnsi="Times New Roman" w:cs="Times New Roman"/>
          <w:sz w:val="26"/>
          <w:szCs w:val="26"/>
        </w:rPr>
        <w:t xml:space="preserve">,00грн. </w:t>
      </w:r>
      <w:r w:rsidR="00310089" w:rsidRPr="00FC53FB">
        <w:rPr>
          <w:rFonts w:ascii="Times New Roman" w:hAnsi="Times New Roman" w:cs="Times New Roman"/>
          <w:sz w:val="26"/>
          <w:szCs w:val="26"/>
        </w:rPr>
        <w:t>за одну поїздку.</w:t>
      </w:r>
      <w:r w:rsidR="00FB62E0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740BB0" w:rsidRPr="00FC5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020" w:rsidRPr="00FC53FB" w:rsidRDefault="00F21F90" w:rsidP="00FF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3FB">
        <w:rPr>
          <w:rFonts w:ascii="Times New Roman" w:hAnsi="Times New Roman" w:cs="Times New Roman"/>
          <w:sz w:val="26"/>
          <w:szCs w:val="26"/>
        </w:rPr>
        <w:t>Комунальне підприємство «</w:t>
      </w:r>
      <w:proofErr w:type="spellStart"/>
      <w:r w:rsidRPr="00FC53FB">
        <w:rPr>
          <w:rFonts w:ascii="Times New Roman" w:hAnsi="Times New Roman" w:cs="Times New Roman"/>
          <w:sz w:val="26"/>
          <w:szCs w:val="26"/>
        </w:rPr>
        <w:t>Тернопільелектротранс</w:t>
      </w:r>
      <w:proofErr w:type="spellEnd"/>
      <w:r w:rsidRPr="00FC53FB">
        <w:rPr>
          <w:rFonts w:ascii="Times New Roman" w:hAnsi="Times New Roman" w:cs="Times New Roman"/>
          <w:sz w:val="26"/>
          <w:szCs w:val="26"/>
        </w:rPr>
        <w:t>»</w:t>
      </w:r>
      <w:r w:rsidR="006B1926">
        <w:rPr>
          <w:rFonts w:ascii="Times New Roman" w:hAnsi="Times New Roman" w:cs="Times New Roman"/>
          <w:sz w:val="26"/>
          <w:szCs w:val="26"/>
        </w:rPr>
        <w:t xml:space="preserve"> </w:t>
      </w:r>
      <w:r w:rsidR="006B1926" w:rsidRPr="0069669D">
        <w:rPr>
          <w:rFonts w:ascii="Times New Roman" w:hAnsi="Times New Roman" w:cs="Times New Roman"/>
          <w:sz w:val="24"/>
          <w:szCs w:val="24"/>
        </w:rPr>
        <w:t xml:space="preserve">Тернопільської </w:t>
      </w:r>
      <w:r w:rsidR="006B1926">
        <w:rPr>
          <w:rFonts w:ascii="Times New Roman" w:hAnsi="Times New Roman" w:cs="Times New Roman"/>
          <w:sz w:val="24"/>
          <w:szCs w:val="24"/>
        </w:rPr>
        <w:t xml:space="preserve"> </w:t>
      </w:r>
      <w:r w:rsidR="006B1926" w:rsidRPr="0069669D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6B1926">
        <w:rPr>
          <w:rFonts w:ascii="Times New Roman" w:hAnsi="Times New Roman"/>
          <w:szCs w:val="24"/>
        </w:rPr>
        <w:t>ради</w:t>
      </w:r>
      <w:r w:rsidRPr="00FC53FB">
        <w:rPr>
          <w:rFonts w:ascii="Times New Roman" w:hAnsi="Times New Roman" w:cs="Times New Roman"/>
          <w:sz w:val="26"/>
          <w:szCs w:val="26"/>
        </w:rPr>
        <w:t xml:space="preserve"> є єдиним перевізником</w:t>
      </w:r>
      <w:r w:rsidR="006B1926">
        <w:rPr>
          <w:rFonts w:ascii="Times New Roman" w:hAnsi="Times New Roman" w:cs="Times New Roman"/>
          <w:sz w:val="26"/>
          <w:szCs w:val="26"/>
        </w:rPr>
        <w:t>,</w:t>
      </w:r>
      <w:r w:rsidRPr="00FC53FB">
        <w:rPr>
          <w:rFonts w:ascii="Times New Roman" w:hAnsi="Times New Roman" w:cs="Times New Roman"/>
          <w:sz w:val="26"/>
          <w:szCs w:val="26"/>
        </w:rPr>
        <w:t xml:space="preserve"> який обслуговує маршрути електричним транспортом. </w:t>
      </w:r>
    </w:p>
    <w:p w:rsidR="00570020" w:rsidRPr="00FC53FB" w:rsidRDefault="003C18ED" w:rsidP="00FF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3FB">
        <w:rPr>
          <w:rFonts w:ascii="Times New Roman" w:hAnsi="Times New Roman" w:cs="Times New Roman"/>
          <w:sz w:val="26"/>
          <w:szCs w:val="26"/>
        </w:rPr>
        <w:t xml:space="preserve">Механізм формування тарифів на послуги з перевезення пасажирів </w:t>
      </w:r>
      <w:r w:rsidR="00066D61" w:rsidRPr="00FC53FB">
        <w:rPr>
          <w:rFonts w:ascii="Times New Roman" w:hAnsi="Times New Roman" w:cs="Times New Roman"/>
          <w:sz w:val="26"/>
          <w:szCs w:val="26"/>
        </w:rPr>
        <w:t xml:space="preserve">електричним транспортом базується опираючись на </w:t>
      </w:r>
      <w:r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066D61" w:rsidRPr="00FC53FB">
        <w:rPr>
          <w:rFonts w:ascii="Times New Roman" w:hAnsi="Times New Roman" w:cs="Times New Roman"/>
          <w:sz w:val="26"/>
          <w:szCs w:val="26"/>
        </w:rPr>
        <w:t>наказ Міністерства інфраструктури України від 25.11.13р. № 940 «Про затвердження Порядку формування тарифів на послуги міського електричного транспорту (трамвай , тролейбус)»</w:t>
      </w:r>
      <w:r w:rsidR="00FF2532" w:rsidRPr="00FC53FB">
        <w:rPr>
          <w:rFonts w:ascii="Times New Roman" w:hAnsi="Times New Roman" w:cs="Times New Roman"/>
          <w:sz w:val="26"/>
          <w:szCs w:val="26"/>
        </w:rPr>
        <w:t xml:space="preserve"> (далі – Порядок), як</w:t>
      </w:r>
      <w:r w:rsidR="006B1926">
        <w:rPr>
          <w:rFonts w:ascii="Times New Roman" w:hAnsi="Times New Roman" w:cs="Times New Roman"/>
          <w:sz w:val="26"/>
          <w:szCs w:val="26"/>
        </w:rPr>
        <w:t>ий</w:t>
      </w:r>
      <w:r w:rsidR="00FF2532" w:rsidRPr="00FC53FB">
        <w:rPr>
          <w:rFonts w:ascii="Times New Roman" w:hAnsi="Times New Roman" w:cs="Times New Roman"/>
          <w:sz w:val="26"/>
          <w:szCs w:val="26"/>
        </w:rPr>
        <w:t xml:space="preserve"> застосовується органами місцевого самоврядування під час встановлення зазначених тарифів для підприємств міського електричного транспорту. </w:t>
      </w:r>
    </w:p>
    <w:p w:rsidR="00FF2532" w:rsidRPr="007047C7" w:rsidRDefault="00FF2532" w:rsidP="00FF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3FB">
        <w:rPr>
          <w:rFonts w:ascii="Times New Roman" w:hAnsi="Times New Roman" w:cs="Times New Roman"/>
          <w:sz w:val="26"/>
          <w:szCs w:val="26"/>
        </w:rPr>
        <w:t xml:space="preserve">Порядком встановлено, що у разі зміни ставок податків і зборів (обов'язкових платежів), мінімального рівня заробітної плати, ставок орендної плати, цін і тарифів на паливно-енергетичні та матеріальні ресурси, які не залежать від господарської діяльності підприємств, але впливають на рівень повної собівартості з операційної </w:t>
      </w:r>
      <w:r w:rsidRPr="007047C7">
        <w:rPr>
          <w:rFonts w:ascii="Times New Roman" w:hAnsi="Times New Roman" w:cs="Times New Roman"/>
          <w:sz w:val="26"/>
          <w:szCs w:val="26"/>
        </w:rPr>
        <w:t>діяльності підприємств, тарифи на послуги міського електричного транспорту переглядаються в установленому законодавством порядку.</w:t>
      </w:r>
    </w:p>
    <w:p w:rsidR="00FF2532" w:rsidRPr="007047C7" w:rsidRDefault="00FF2532" w:rsidP="00FF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 xml:space="preserve"> Впродовж дії зазначеного тарифу збільшилися основні складові собівартості послуги з перевезення пасажирів тролейбусами:</w:t>
      </w:r>
    </w:p>
    <w:p w:rsidR="00DE2C25" w:rsidRPr="007047C7" w:rsidRDefault="00DE2C25" w:rsidP="00DE2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C7">
        <w:rPr>
          <w:rFonts w:ascii="Times New Roman" w:hAnsi="Times New Roman" w:cs="Times New Roman"/>
          <w:sz w:val="24"/>
          <w:szCs w:val="24"/>
        </w:rPr>
        <w:t xml:space="preserve"> 01.01.2020 року рівень мінімальної заробітної плати </w:t>
      </w:r>
      <w:r w:rsidR="006D019B">
        <w:rPr>
          <w:rFonts w:ascii="Times New Roman" w:hAnsi="Times New Roman" w:cs="Times New Roman"/>
          <w:sz w:val="24"/>
          <w:szCs w:val="24"/>
        </w:rPr>
        <w:t xml:space="preserve">становив </w:t>
      </w:r>
      <w:r w:rsidRPr="007047C7">
        <w:rPr>
          <w:rFonts w:ascii="Times New Roman" w:hAnsi="Times New Roman" w:cs="Times New Roman"/>
          <w:sz w:val="24"/>
          <w:szCs w:val="24"/>
        </w:rPr>
        <w:t>4723 грн.</w:t>
      </w:r>
      <w:r w:rsidR="006D019B">
        <w:rPr>
          <w:rFonts w:ascii="Times New Roman" w:hAnsi="Times New Roman" w:cs="Times New Roman"/>
          <w:sz w:val="24"/>
          <w:szCs w:val="24"/>
        </w:rPr>
        <w:t xml:space="preserve">, станом на 01.12.2021р. становитиме </w:t>
      </w:r>
      <w:r w:rsidRPr="007047C7">
        <w:rPr>
          <w:rFonts w:ascii="Times New Roman" w:hAnsi="Times New Roman" w:cs="Times New Roman"/>
          <w:sz w:val="24"/>
          <w:szCs w:val="24"/>
        </w:rPr>
        <w:t xml:space="preserve"> 6500,00грн,  тобто збільши</w:t>
      </w:r>
      <w:r w:rsidR="006D019B">
        <w:rPr>
          <w:rFonts w:ascii="Times New Roman" w:hAnsi="Times New Roman" w:cs="Times New Roman"/>
          <w:sz w:val="24"/>
          <w:szCs w:val="24"/>
        </w:rPr>
        <w:t>ться</w:t>
      </w:r>
      <w:r w:rsidRPr="007047C7">
        <w:rPr>
          <w:rFonts w:ascii="Times New Roman" w:hAnsi="Times New Roman" w:cs="Times New Roman"/>
          <w:sz w:val="24"/>
          <w:szCs w:val="24"/>
        </w:rPr>
        <w:t xml:space="preserve"> на 37%. </w:t>
      </w:r>
    </w:p>
    <w:p w:rsidR="00AB1775" w:rsidRPr="007047C7" w:rsidRDefault="009E0D77" w:rsidP="00FB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>Станом на 0</w:t>
      </w:r>
      <w:r w:rsidR="003C18ED" w:rsidRPr="007047C7">
        <w:rPr>
          <w:rFonts w:ascii="Times New Roman" w:hAnsi="Times New Roman" w:cs="Times New Roman"/>
          <w:sz w:val="26"/>
          <w:szCs w:val="26"/>
        </w:rPr>
        <w:t>1.01.20</w:t>
      </w:r>
      <w:r w:rsidR="00F056F8" w:rsidRPr="007047C7">
        <w:rPr>
          <w:rFonts w:ascii="Times New Roman" w:hAnsi="Times New Roman" w:cs="Times New Roman"/>
          <w:sz w:val="26"/>
          <w:szCs w:val="26"/>
        </w:rPr>
        <w:t>20</w:t>
      </w:r>
      <w:r w:rsidRPr="007047C7">
        <w:rPr>
          <w:rFonts w:ascii="Times New Roman" w:hAnsi="Times New Roman" w:cs="Times New Roman"/>
          <w:sz w:val="26"/>
          <w:szCs w:val="26"/>
        </w:rPr>
        <w:t xml:space="preserve">р. </w:t>
      </w:r>
      <w:r w:rsidR="00AB1775" w:rsidRPr="007047C7">
        <w:rPr>
          <w:rFonts w:ascii="Times New Roman" w:hAnsi="Times New Roman" w:cs="Times New Roman"/>
          <w:sz w:val="26"/>
          <w:szCs w:val="26"/>
        </w:rPr>
        <w:t xml:space="preserve">вартість </w:t>
      </w:r>
      <w:r w:rsidR="00B51428" w:rsidRPr="007047C7">
        <w:rPr>
          <w:rFonts w:ascii="Times New Roman" w:hAnsi="Times New Roman" w:cs="Times New Roman"/>
          <w:sz w:val="26"/>
          <w:szCs w:val="26"/>
        </w:rPr>
        <w:t xml:space="preserve">електроенергії </w:t>
      </w:r>
      <w:r w:rsidR="00AB1775" w:rsidRPr="007047C7">
        <w:rPr>
          <w:rFonts w:ascii="Times New Roman" w:hAnsi="Times New Roman" w:cs="Times New Roman"/>
          <w:sz w:val="26"/>
          <w:szCs w:val="26"/>
        </w:rPr>
        <w:t xml:space="preserve"> становила </w:t>
      </w:r>
      <w:r w:rsidR="00B51428" w:rsidRPr="007047C7">
        <w:rPr>
          <w:rFonts w:ascii="Times New Roman" w:hAnsi="Times New Roman" w:cs="Times New Roman"/>
          <w:sz w:val="26"/>
          <w:szCs w:val="26"/>
        </w:rPr>
        <w:t>2,</w:t>
      </w:r>
      <w:r w:rsidR="00F056F8" w:rsidRPr="007047C7">
        <w:rPr>
          <w:rFonts w:ascii="Times New Roman" w:hAnsi="Times New Roman" w:cs="Times New Roman"/>
          <w:sz w:val="26"/>
          <w:szCs w:val="26"/>
        </w:rPr>
        <w:t>01</w:t>
      </w:r>
      <w:r w:rsidR="00AB1775" w:rsidRPr="00704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1775" w:rsidRPr="007047C7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B51428" w:rsidRPr="007047C7">
        <w:rPr>
          <w:rFonts w:ascii="Times New Roman" w:hAnsi="Times New Roman" w:cs="Times New Roman"/>
          <w:sz w:val="26"/>
          <w:szCs w:val="26"/>
        </w:rPr>
        <w:t xml:space="preserve"> за 1КВт</w:t>
      </w:r>
      <w:r w:rsidR="00AB1775" w:rsidRPr="007047C7">
        <w:rPr>
          <w:rFonts w:ascii="Times New Roman" w:hAnsi="Times New Roman" w:cs="Times New Roman"/>
          <w:sz w:val="26"/>
          <w:szCs w:val="26"/>
        </w:rPr>
        <w:t xml:space="preserve">., станом на сьогодні </w:t>
      </w:r>
      <w:r w:rsidR="00B51428" w:rsidRPr="007047C7">
        <w:rPr>
          <w:rFonts w:ascii="Times New Roman" w:hAnsi="Times New Roman" w:cs="Times New Roman"/>
          <w:sz w:val="26"/>
          <w:szCs w:val="26"/>
        </w:rPr>
        <w:t xml:space="preserve">вартість електроенергії становить </w:t>
      </w:r>
      <w:r w:rsidR="00F056F8" w:rsidRPr="007047C7">
        <w:rPr>
          <w:rFonts w:ascii="Times New Roman" w:hAnsi="Times New Roman" w:cs="Times New Roman"/>
          <w:sz w:val="26"/>
          <w:szCs w:val="26"/>
        </w:rPr>
        <w:t>1</w:t>
      </w:r>
      <w:r w:rsidR="00B51428" w:rsidRPr="007047C7">
        <w:rPr>
          <w:rFonts w:ascii="Times New Roman" w:hAnsi="Times New Roman" w:cs="Times New Roman"/>
          <w:sz w:val="26"/>
          <w:szCs w:val="26"/>
        </w:rPr>
        <w:t>,</w:t>
      </w:r>
      <w:r w:rsidR="00F056F8" w:rsidRPr="007047C7">
        <w:rPr>
          <w:rFonts w:ascii="Times New Roman" w:hAnsi="Times New Roman" w:cs="Times New Roman"/>
          <w:sz w:val="26"/>
          <w:szCs w:val="26"/>
        </w:rPr>
        <w:t>95</w:t>
      </w:r>
      <w:r w:rsidR="00B51428" w:rsidRPr="007047C7">
        <w:rPr>
          <w:rFonts w:ascii="Times New Roman" w:hAnsi="Times New Roman" w:cs="Times New Roman"/>
          <w:sz w:val="26"/>
          <w:szCs w:val="26"/>
        </w:rPr>
        <w:t xml:space="preserve"> грн. за 1КВт</w:t>
      </w:r>
      <w:r w:rsidRPr="007047C7">
        <w:rPr>
          <w:rFonts w:ascii="Times New Roman" w:hAnsi="Times New Roman" w:cs="Times New Roman"/>
          <w:sz w:val="26"/>
          <w:szCs w:val="26"/>
        </w:rPr>
        <w:t xml:space="preserve">, спостерігається спад по ціні, </w:t>
      </w:r>
      <w:r w:rsidR="00F056F8" w:rsidRPr="007047C7">
        <w:rPr>
          <w:rFonts w:ascii="Times New Roman" w:hAnsi="Times New Roman" w:cs="Times New Roman"/>
          <w:sz w:val="26"/>
          <w:szCs w:val="26"/>
        </w:rPr>
        <w:t>про</w:t>
      </w:r>
      <w:r w:rsidRPr="007047C7">
        <w:rPr>
          <w:rFonts w:ascii="Times New Roman" w:hAnsi="Times New Roman" w:cs="Times New Roman"/>
          <w:sz w:val="26"/>
          <w:szCs w:val="26"/>
        </w:rPr>
        <w:t>т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е </w:t>
      </w:r>
      <w:r w:rsidRPr="007047C7">
        <w:rPr>
          <w:rFonts w:ascii="Times New Roman" w:hAnsi="Times New Roman" w:cs="Times New Roman"/>
          <w:sz w:val="26"/>
          <w:szCs w:val="26"/>
        </w:rPr>
        <w:t xml:space="preserve">вартість за </w:t>
      </w:r>
      <w:r w:rsidR="00F056F8" w:rsidRPr="007047C7">
        <w:rPr>
          <w:rFonts w:ascii="Times New Roman" w:hAnsi="Times New Roman" w:cs="Times New Roman"/>
          <w:sz w:val="26"/>
          <w:szCs w:val="26"/>
        </w:rPr>
        <w:t>розподіл електроене</w:t>
      </w:r>
      <w:r w:rsidRPr="007047C7">
        <w:rPr>
          <w:rFonts w:ascii="Times New Roman" w:hAnsi="Times New Roman" w:cs="Times New Roman"/>
          <w:sz w:val="26"/>
          <w:szCs w:val="26"/>
        </w:rPr>
        <w:t>р</w:t>
      </w:r>
      <w:r w:rsidR="00F056F8" w:rsidRPr="007047C7">
        <w:rPr>
          <w:rFonts w:ascii="Times New Roman" w:hAnsi="Times New Roman" w:cs="Times New Roman"/>
          <w:sz w:val="26"/>
          <w:szCs w:val="26"/>
        </w:rPr>
        <w:t>гі</w:t>
      </w:r>
      <w:r w:rsidR="006B1926">
        <w:rPr>
          <w:rFonts w:ascii="Times New Roman" w:hAnsi="Times New Roman" w:cs="Times New Roman"/>
          <w:sz w:val="26"/>
          <w:szCs w:val="26"/>
        </w:rPr>
        <w:t>ї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</w:t>
      </w:r>
      <w:r w:rsidRPr="007047C7">
        <w:rPr>
          <w:rFonts w:ascii="Times New Roman" w:hAnsi="Times New Roman" w:cs="Times New Roman"/>
          <w:sz w:val="26"/>
          <w:szCs w:val="26"/>
        </w:rPr>
        <w:t xml:space="preserve">зросла на 31% , з </w:t>
      </w:r>
      <w:r w:rsidR="00F056F8" w:rsidRPr="007047C7">
        <w:rPr>
          <w:rFonts w:ascii="Times New Roman" w:hAnsi="Times New Roman" w:cs="Times New Roman"/>
          <w:sz w:val="26"/>
          <w:szCs w:val="26"/>
        </w:rPr>
        <w:t>1,10</w:t>
      </w:r>
      <w:r w:rsidRPr="007047C7">
        <w:rPr>
          <w:rFonts w:ascii="Times New Roman" w:hAnsi="Times New Roman" w:cs="Times New Roman"/>
          <w:sz w:val="26"/>
          <w:szCs w:val="26"/>
        </w:rPr>
        <w:t xml:space="preserve">грн за 1КВт до 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1,45</w:t>
      </w:r>
      <w:r w:rsidRPr="007047C7">
        <w:rPr>
          <w:rFonts w:ascii="Times New Roman" w:hAnsi="Times New Roman" w:cs="Times New Roman"/>
          <w:sz w:val="26"/>
          <w:szCs w:val="26"/>
        </w:rPr>
        <w:t>грн за 1 КВт.</w:t>
      </w:r>
    </w:p>
    <w:p w:rsidR="00F056F8" w:rsidRPr="007047C7" w:rsidRDefault="00D25A91" w:rsidP="00FB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 xml:space="preserve">Зросли ціни на мастильні матеріали, наприклад вартість </w:t>
      </w:r>
      <w:r w:rsidR="00F056F8" w:rsidRPr="007047C7">
        <w:rPr>
          <w:rFonts w:ascii="Times New Roman" w:hAnsi="Times New Roman" w:cs="Times New Roman"/>
          <w:sz w:val="26"/>
          <w:szCs w:val="26"/>
        </w:rPr>
        <w:t>масл</w:t>
      </w:r>
      <w:r w:rsidRPr="007047C7">
        <w:rPr>
          <w:rFonts w:ascii="Times New Roman" w:hAnsi="Times New Roman" w:cs="Times New Roman"/>
          <w:sz w:val="26"/>
          <w:szCs w:val="26"/>
        </w:rPr>
        <w:t>а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6F8" w:rsidRPr="007047C7">
        <w:rPr>
          <w:rFonts w:ascii="Times New Roman" w:hAnsi="Times New Roman" w:cs="Times New Roman"/>
          <w:sz w:val="26"/>
          <w:szCs w:val="26"/>
        </w:rPr>
        <w:t>ТАД</w:t>
      </w:r>
      <w:proofErr w:type="spellEnd"/>
      <w:r w:rsidR="00F056F8" w:rsidRPr="007047C7">
        <w:rPr>
          <w:rFonts w:ascii="Times New Roman" w:hAnsi="Times New Roman" w:cs="Times New Roman"/>
          <w:sz w:val="26"/>
          <w:szCs w:val="26"/>
        </w:rPr>
        <w:t xml:space="preserve"> </w:t>
      </w:r>
      <w:r w:rsidRPr="007047C7">
        <w:rPr>
          <w:rFonts w:ascii="Times New Roman" w:hAnsi="Times New Roman" w:cs="Times New Roman"/>
          <w:sz w:val="26"/>
          <w:szCs w:val="26"/>
        </w:rPr>
        <w:t xml:space="preserve">зросло на 61% , 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з 43,22</w:t>
      </w:r>
      <w:r w:rsidRPr="007047C7">
        <w:rPr>
          <w:rFonts w:ascii="Times New Roman" w:hAnsi="Times New Roman" w:cs="Times New Roman"/>
          <w:sz w:val="26"/>
          <w:szCs w:val="26"/>
        </w:rPr>
        <w:t>грн.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до 70,0 </w:t>
      </w:r>
      <w:proofErr w:type="spellStart"/>
      <w:r w:rsidR="00F056F8" w:rsidRPr="007047C7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F056F8" w:rsidRPr="007047C7">
        <w:rPr>
          <w:rFonts w:ascii="Times New Roman" w:hAnsi="Times New Roman" w:cs="Times New Roman"/>
          <w:sz w:val="26"/>
          <w:szCs w:val="26"/>
        </w:rPr>
        <w:t xml:space="preserve"> , </w:t>
      </w:r>
      <w:r w:rsidRPr="007047C7">
        <w:rPr>
          <w:rFonts w:ascii="Times New Roman" w:hAnsi="Times New Roman" w:cs="Times New Roman"/>
          <w:sz w:val="26"/>
          <w:szCs w:val="26"/>
        </w:rPr>
        <w:t xml:space="preserve">вартість </w:t>
      </w:r>
      <w:proofErr w:type="spellStart"/>
      <w:r w:rsidRPr="007047C7">
        <w:rPr>
          <w:rFonts w:ascii="Times New Roman" w:hAnsi="Times New Roman" w:cs="Times New Roman"/>
          <w:sz w:val="26"/>
          <w:szCs w:val="26"/>
        </w:rPr>
        <w:t>автошин</w:t>
      </w:r>
      <w:proofErr w:type="spellEnd"/>
      <w:r w:rsidRPr="007047C7">
        <w:rPr>
          <w:rFonts w:ascii="Times New Roman" w:hAnsi="Times New Roman" w:cs="Times New Roman"/>
          <w:sz w:val="26"/>
          <w:szCs w:val="26"/>
        </w:rPr>
        <w:t xml:space="preserve"> зросла на 25%, а саме :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з 5800</w:t>
      </w:r>
      <w:r w:rsidRPr="007047C7">
        <w:rPr>
          <w:rFonts w:ascii="Times New Roman" w:hAnsi="Times New Roman" w:cs="Times New Roman"/>
          <w:sz w:val="26"/>
          <w:szCs w:val="26"/>
        </w:rPr>
        <w:t>грн.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 </w:t>
      </w:r>
      <w:r w:rsidRPr="007047C7">
        <w:rPr>
          <w:rFonts w:ascii="Times New Roman" w:hAnsi="Times New Roman" w:cs="Times New Roman"/>
          <w:sz w:val="26"/>
          <w:szCs w:val="26"/>
        </w:rPr>
        <w:t xml:space="preserve">до </w:t>
      </w:r>
      <w:r w:rsidR="00F056F8" w:rsidRPr="007047C7">
        <w:rPr>
          <w:rFonts w:ascii="Times New Roman" w:hAnsi="Times New Roman" w:cs="Times New Roman"/>
          <w:sz w:val="26"/>
          <w:szCs w:val="26"/>
        </w:rPr>
        <w:t>7284</w:t>
      </w:r>
      <w:r w:rsidRPr="007047C7">
        <w:rPr>
          <w:rFonts w:ascii="Times New Roman" w:hAnsi="Times New Roman" w:cs="Times New Roman"/>
          <w:sz w:val="26"/>
          <w:szCs w:val="26"/>
        </w:rPr>
        <w:t xml:space="preserve"> грн.</w:t>
      </w:r>
      <w:r w:rsidR="00F056F8" w:rsidRPr="007047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774" w:rsidRPr="007047C7" w:rsidRDefault="00AB1775" w:rsidP="00B5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>З</w:t>
      </w:r>
      <w:r w:rsidR="003C18ED" w:rsidRPr="007047C7">
        <w:rPr>
          <w:rFonts w:ascii="Times New Roman" w:hAnsi="Times New Roman" w:cs="Times New Roman"/>
          <w:sz w:val="26"/>
          <w:szCs w:val="26"/>
        </w:rPr>
        <w:t xml:space="preserve">росли </w:t>
      </w:r>
      <w:r w:rsidRPr="007047C7">
        <w:rPr>
          <w:rFonts w:ascii="Times New Roman" w:hAnsi="Times New Roman" w:cs="Times New Roman"/>
          <w:sz w:val="26"/>
          <w:szCs w:val="26"/>
        </w:rPr>
        <w:t>і інші витрати</w:t>
      </w:r>
      <w:r w:rsidR="003C18ED" w:rsidRPr="007047C7">
        <w:rPr>
          <w:rFonts w:ascii="Times New Roman" w:hAnsi="Times New Roman" w:cs="Times New Roman"/>
          <w:sz w:val="26"/>
          <w:szCs w:val="26"/>
        </w:rPr>
        <w:t>, що безпосередньо впливають на формування собівартості тарифу на проїзд в міському транспорті</w:t>
      </w:r>
      <w:r w:rsidR="00B17C7B" w:rsidRPr="007047C7">
        <w:rPr>
          <w:rFonts w:ascii="Times New Roman" w:hAnsi="Times New Roman" w:cs="Times New Roman"/>
          <w:sz w:val="26"/>
          <w:szCs w:val="26"/>
        </w:rPr>
        <w:t>, наприклад усі ремонтні роботи та запчастини</w:t>
      </w:r>
      <w:r w:rsidR="00B51428" w:rsidRPr="007047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56F8" w:rsidRPr="007047C7" w:rsidRDefault="00F056F8" w:rsidP="00F05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C7">
        <w:rPr>
          <w:rFonts w:ascii="Times New Roman" w:hAnsi="Times New Roman" w:cs="Times New Roman"/>
          <w:sz w:val="24"/>
          <w:szCs w:val="24"/>
        </w:rPr>
        <w:t xml:space="preserve">Окрім того, ситуація з перевезеннями була суттєво ускладнена різного роду заборонами та обмеженнями під час пандемії </w:t>
      </w:r>
      <w:proofErr w:type="spellStart"/>
      <w:r w:rsidRPr="007047C7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7047C7">
        <w:rPr>
          <w:rFonts w:ascii="Times New Roman" w:hAnsi="Times New Roman" w:cs="Times New Roman"/>
          <w:sz w:val="24"/>
          <w:szCs w:val="24"/>
          <w:lang w:val="ru-RU"/>
        </w:rPr>
        <w:t xml:space="preserve"> 19.</w:t>
      </w:r>
      <w:r w:rsidRPr="007047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5EA8" w:rsidRPr="007047C7" w:rsidRDefault="00E65EA8" w:rsidP="006B1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C7">
        <w:rPr>
          <w:rFonts w:ascii="Times New Roman" w:hAnsi="Times New Roman" w:cs="Times New Roman"/>
          <w:sz w:val="24"/>
          <w:szCs w:val="24"/>
        </w:rPr>
        <w:t xml:space="preserve">За 2020 рік збиток від пасажирських перевезень міським електричним транспортом становив   </w:t>
      </w:r>
      <w:r w:rsidR="00616F62" w:rsidRPr="007047C7">
        <w:rPr>
          <w:rFonts w:ascii="Times New Roman" w:hAnsi="Times New Roman" w:cs="Times New Roman"/>
          <w:sz w:val="24"/>
          <w:szCs w:val="24"/>
        </w:rPr>
        <w:t xml:space="preserve">31993 </w:t>
      </w:r>
      <w:proofErr w:type="spellStart"/>
      <w:r w:rsidRPr="007047C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7047C7">
        <w:rPr>
          <w:rFonts w:ascii="Times New Roman" w:hAnsi="Times New Roman" w:cs="Times New Roman"/>
          <w:sz w:val="24"/>
          <w:szCs w:val="24"/>
        </w:rPr>
        <w:t>.</w:t>
      </w:r>
    </w:p>
    <w:p w:rsidR="00570020" w:rsidRPr="007047C7" w:rsidRDefault="00570020" w:rsidP="00570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>У зв'язку з вищевикладеним діючий тариф на даний час не відшкодовує економічно обґрунтованих витрат підприємства з надання послуги і не забезпечує доходів, необхідних для безперебійного та безаварійного перевезення пасажирів.</w:t>
      </w:r>
    </w:p>
    <w:p w:rsidR="00514894" w:rsidRPr="00FC53FB" w:rsidRDefault="003C18ED" w:rsidP="002A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7C7">
        <w:rPr>
          <w:rFonts w:ascii="Times New Roman" w:hAnsi="Times New Roman" w:cs="Times New Roman"/>
          <w:sz w:val="26"/>
          <w:szCs w:val="26"/>
        </w:rPr>
        <w:t>Утримання тарифів на міському</w:t>
      </w:r>
      <w:r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B51428" w:rsidRPr="00FC53FB">
        <w:rPr>
          <w:rFonts w:ascii="Times New Roman" w:hAnsi="Times New Roman" w:cs="Times New Roman"/>
          <w:sz w:val="26"/>
          <w:szCs w:val="26"/>
        </w:rPr>
        <w:t xml:space="preserve">електричному </w:t>
      </w:r>
      <w:r w:rsidRPr="00FC53FB">
        <w:rPr>
          <w:rFonts w:ascii="Times New Roman" w:hAnsi="Times New Roman" w:cs="Times New Roman"/>
          <w:sz w:val="26"/>
          <w:szCs w:val="26"/>
        </w:rPr>
        <w:t xml:space="preserve">транспорті на рівні </w:t>
      </w:r>
      <w:r w:rsidR="003E2F90">
        <w:rPr>
          <w:rFonts w:ascii="Times New Roman" w:hAnsi="Times New Roman" w:cs="Times New Roman"/>
          <w:sz w:val="26"/>
          <w:szCs w:val="26"/>
        </w:rPr>
        <w:t xml:space="preserve">початку </w:t>
      </w:r>
      <w:r w:rsidR="00855E0F" w:rsidRPr="00FC53FB">
        <w:rPr>
          <w:rFonts w:ascii="Times New Roman" w:hAnsi="Times New Roman" w:cs="Times New Roman"/>
          <w:sz w:val="26"/>
          <w:szCs w:val="26"/>
        </w:rPr>
        <w:t>20</w:t>
      </w:r>
      <w:r w:rsidR="003E2F90">
        <w:rPr>
          <w:rFonts w:ascii="Times New Roman" w:hAnsi="Times New Roman" w:cs="Times New Roman"/>
          <w:sz w:val="26"/>
          <w:szCs w:val="26"/>
        </w:rPr>
        <w:t>20</w:t>
      </w:r>
      <w:r w:rsidR="00855E0F" w:rsidRPr="00FC53FB">
        <w:rPr>
          <w:rFonts w:ascii="Times New Roman" w:hAnsi="Times New Roman" w:cs="Times New Roman"/>
          <w:sz w:val="26"/>
          <w:szCs w:val="26"/>
        </w:rPr>
        <w:t xml:space="preserve"> року </w:t>
      </w:r>
      <w:r w:rsidR="00516AF0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Pr="00FC53FB">
        <w:rPr>
          <w:rFonts w:ascii="Times New Roman" w:hAnsi="Times New Roman" w:cs="Times New Roman"/>
          <w:sz w:val="26"/>
          <w:szCs w:val="26"/>
        </w:rPr>
        <w:t>призв</w:t>
      </w:r>
      <w:r w:rsidR="00516AF0" w:rsidRPr="00FC53FB">
        <w:rPr>
          <w:rFonts w:ascii="Times New Roman" w:hAnsi="Times New Roman" w:cs="Times New Roman"/>
          <w:sz w:val="26"/>
          <w:szCs w:val="26"/>
        </w:rPr>
        <w:t xml:space="preserve">еде </w:t>
      </w:r>
      <w:r w:rsidRPr="00FC53FB">
        <w:rPr>
          <w:rFonts w:ascii="Times New Roman" w:hAnsi="Times New Roman" w:cs="Times New Roman"/>
          <w:sz w:val="26"/>
          <w:szCs w:val="26"/>
        </w:rPr>
        <w:t xml:space="preserve">до погіршення фінансового стану </w:t>
      </w:r>
      <w:r w:rsidR="006B1926">
        <w:rPr>
          <w:rFonts w:ascii="Times New Roman" w:hAnsi="Times New Roman" w:cs="Times New Roman"/>
          <w:sz w:val="26"/>
          <w:szCs w:val="26"/>
        </w:rPr>
        <w:t>підприєм</w:t>
      </w:r>
      <w:r w:rsidR="00B17C7B" w:rsidRPr="00FC53FB">
        <w:rPr>
          <w:rFonts w:ascii="Times New Roman" w:hAnsi="Times New Roman" w:cs="Times New Roman"/>
          <w:sz w:val="26"/>
          <w:szCs w:val="26"/>
        </w:rPr>
        <w:t>с</w:t>
      </w:r>
      <w:r w:rsidR="006B1926">
        <w:rPr>
          <w:rFonts w:ascii="Times New Roman" w:hAnsi="Times New Roman" w:cs="Times New Roman"/>
          <w:sz w:val="26"/>
          <w:szCs w:val="26"/>
        </w:rPr>
        <w:t>т</w:t>
      </w:r>
      <w:r w:rsidR="00B17C7B" w:rsidRPr="00FC53FB">
        <w:rPr>
          <w:rFonts w:ascii="Times New Roman" w:hAnsi="Times New Roman" w:cs="Times New Roman"/>
          <w:sz w:val="26"/>
          <w:szCs w:val="26"/>
        </w:rPr>
        <w:t>ва</w:t>
      </w:r>
      <w:r w:rsidR="00516AF0" w:rsidRPr="00FC53FB">
        <w:rPr>
          <w:rFonts w:ascii="Times New Roman" w:hAnsi="Times New Roman" w:cs="Times New Roman"/>
          <w:sz w:val="26"/>
          <w:szCs w:val="26"/>
        </w:rPr>
        <w:t>,</w:t>
      </w:r>
      <w:r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="00B17C7B" w:rsidRPr="00FC53FB">
        <w:rPr>
          <w:rFonts w:ascii="Times New Roman" w:hAnsi="Times New Roman" w:cs="Times New Roman"/>
          <w:sz w:val="26"/>
          <w:szCs w:val="26"/>
        </w:rPr>
        <w:t xml:space="preserve">а також знизить </w:t>
      </w:r>
      <w:r w:rsidRPr="00FC53FB">
        <w:rPr>
          <w:rFonts w:ascii="Times New Roman" w:hAnsi="Times New Roman" w:cs="Times New Roman"/>
          <w:sz w:val="26"/>
          <w:szCs w:val="26"/>
        </w:rPr>
        <w:t>як</w:t>
      </w:r>
      <w:r w:rsidR="00B17C7B" w:rsidRPr="00FC53FB">
        <w:rPr>
          <w:rFonts w:ascii="Times New Roman" w:hAnsi="Times New Roman" w:cs="Times New Roman"/>
          <w:sz w:val="26"/>
          <w:szCs w:val="26"/>
        </w:rPr>
        <w:t>і</w:t>
      </w:r>
      <w:r w:rsidRPr="00FC53FB">
        <w:rPr>
          <w:rFonts w:ascii="Times New Roman" w:hAnsi="Times New Roman" w:cs="Times New Roman"/>
          <w:sz w:val="26"/>
          <w:szCs w:val="26"/>
        </w:rPr>
        <w:t>ст</w:t>
      </w:r>
      <w:r w:rsidR="00B17C7B" w:rsidRPr="00FC53FB">
        <w:rPr>
          <w:rFonts w:ascii="Times New Roman" w:hAnsi="Times New Roman" w:cs="Times New Roman"/>
          <w:sz w:val="26"/>
          <w:szCs w:val="26"/>
        </w:rPr>
        <w:t>ь</w:t>
      </w:r>
      <w:r w:rsidRPr="00FC53FB">
        <w:rPr>
          <w:rFonts w:ascii="Times New Roman" w:hAnsi="Times New Roman" w:cs="Times New Roman"/>
          <w:sz w:val="26"/>
          <w:szCs w:val="26"/>
        </w:rPr>
        <w:t xml:space="preserve"> надання пасажирських послуг громадянам</w:t>
      </w:r>
      <w:r w:rsidR="00516AF0" w:rsidRPr="00FC53FB">
        <w:rPr>
          <w:rFonts w:ascii="Times New Roman" w:hAnsi="Times New Roman" w:cs="Times New Roman"/>
          <w:sz w:val="26"/>
          <w:szCs w:val="26"/>
        </w:rPr>
        <w:t>, і до повної зупинки транспорту</w:t>
      </w:r>
      <w:r w:rsidRPr="00FC53FB">
        <w:rPr>
          <w:rFonts w:ascii="Times New Roman" w:hAnsi="Times New Roman" w:cs="Times New Roman"/>
          <w:sz w:val="26"/>
          <w:szCs w:val="26"/>
        </w:rPr>
        <w:t xml:space="preserve">. </w:t>
      </w:r>
      <w:r w:rsidR="005505D2" w:rsidRPr="00FC53FB">
        <w:rPr>
          <w:rFonts w:ascii="Times New Roman" w:hAnsi="Times New Roman" w:cs="Times New Roman"/>
          <w:sz w:val="26"/>
          <w:szCs w:val="26"/>
        </w:rPr>
        <w:t xml:space="preserve">Усе це </w:t>
      </w:r>
      <w:r w:rsidR="005505D2" w:rsidRPr="00FC53FB">
        <w:rPr>
          <w:rFonts w:ascii="Times New Roman" w:hAnsi="Times New Roman" w:cs="Times New Roman"/>
          <w:sz w:val="26"/>
          <w:szCs w:val="26"/>
        </w:rPr>
        <w:lastRenderedPageBreak/>
        <w:t xml:space="preserve">посилить соціальну напругу. </w:t>
      </w:r>
      <w:r w:rsidR="00514894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Такі обставини є неприйнятними для всіх сторін, які беруть участь в міських пасажирських перевезеннях – Замовника перевезень (Тернопільська міська рада), Виконавця (</w:t>
      </w:r>
      <w:proofErr w:type="spellStart"/>
      <w:r w:rsidR="005A10B9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КП</w:t>
      </w:r>
      <w:proofErr w:type="spellEnd"/>
      <w:r w:rsidR="005A10B9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5A10B9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Тернопільелектротранс</w:t>
      </w:r>
      <w:proofErr w:type="spellEnd"/>
      <w:r w:rsidR="005A10B9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514894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та Користувача (мешканці міста). </w:t>
      </w:r>
      <w:r w:rsidR="00514894" w:rsidRPr="00FC53FB">
        <w:rPr>
          <w:rFonts w:ascii="Times New Roman" w:hAnsi="Times New Roman" w:cs="Times New Roman"/>
          <w:sz w:val="26"/>
          <w:szCs w:val="26"/>
        </w:rPr>
        <w:t>В</w:t>
      </w:r>
      <w:r w:rsidRPr="00FC53FB">
        <w:rPr>
          <w:rFonts w:ascii="Times New Roman" w:hAnsi="Times New Roman" w:cs="Times New Roman"/>
          <w:sz w:val="26"/>
          <w:szCs w:val="26"/>
        </w:rPr>
        <w:t xml:space="preserve">раховуючи вищевикладене, на підставі звернення </w:t>
      </w:r>
      <w:proofErr w:type="spellStart"/>
      <w:r w:rsidR="00570020" w:rsidRPr="00FC53FB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="00570020" w:rsidRPr="00FC53F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70020" w:rsidRPr="00FC53FB">
        <w:rPr>
          <w:rFonts w:ascii="Times New Roman" w:hAnsi="Times New Roman" w:cs="Times New Roman"/>
          <w:sz w:val="26"/>
          <w:szCs w:val="26"/>
        </w:rPr>
        <w:t>Тернопільелектротранс</w:t>
      </w:r>
      <w:proofErr w:type="spellEnd"/>
      <w:r w:rsidR="00570020" w:rsidRPr="00FC53FB">
        <w:rPr>
          <w:rFonts w:ascii="Times New Roman" w:hAnsi="Times New Roman" w:cs="Times New Roman"/>
          <w:sz w:val="26"/>
          <w:szCs w:val="26"/>
        </w:rPr>
        <w:t>»</w:t>
      </w:r>
      <w:r w:rsidRPr="00FC53FB">
        <w:rPr>
          <w:rFonts w:ascii="Times New Roman" w:hAnsi="Times New Roman" w:cs="Times New Roman"/>
          <w:sz w:val="26"/>
          <w:szCs w:val="26"/>
        </w:rPr>
        <w:t xml:space="preserve"> виникла необхідність перегляду тарифу на перевезення пасажирів у міському </w:t>
      </w:r>
      <w:r w:rsidR="005A10B9" w:rsidRPr="00FC53FB">
        <w:rPr>
          <w:rFonts w:ascii="Times New Roman" w:hAnsi="Times New Roman" w:cs="Times New Roman"/>
          <w:sz w:val="26"/>
          <w:szCs w:val="26"/>
        </w:rPr>
        <w:t>електричному</w:t>
      </w:r>
      <w:r w:rsidR="00514894" w:rsidRPr="00FC53FB">
        <w:rPr>
          <w:rFonts w:ascii="Times New Roman" w:hAnsi="Times New Roman" w:cs="Times New Roman"/>
          <w:sz w:val="26"/>
          <w:szCs w:val="26"/>
        </w:rPr>
        <w:t xml:space="preserve"> </w:t>
      </w:r>
      <w:r w:rsidRPr="00FC53FB">
        <w:rPr>
          <w:rFonts w:ascii="Times New Roman" w:hAnsi="Times New Roman" w:cs="Times New Roman"/>
          <w:sz w:val="26"/>
          <w:szCs w:val="26"/>
        </w:rPr>
        <w:t>транспорті.</w:t>
      </w:r>
    </w:p>
    <w:p w:rsidR="004E7502" w:rsidRPr="00FC53FB" w:rsidRDefault="004E7502" w:rsidP="002A7B8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E7502" w:rsidRPr="00FC53FB" w:rsidRDefault="004E7502" w:rsidP="002A7B8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E7502" w:rsidRDefault="004E7502" w:rsidP="002A7B89">
      <w:pPr>
        <w:spacing w:after="0" w:line="240" w:lineRule="auto"/>
        <w:ind w:firstLine="709"/>
        <w:jc w:val="both"/>
      </w:pPr>
    </w:p>
    <w:p w:rsidR="004E7502" w:rsidRDefault="004E7502" w:rsidP="002A7B89">
      <w:pPr>
        <w:spacing w:after="0" w:line="240" w:lineRule="auto"/>
        <w:ind w:firstLine="709"/>
        <w:jc w:val="both"/>
      </w:pPr>
    </w:p>
    <w:p w:rsidR="004E7502" w:rsidRPr="0069669D" w:rsidRDefault="004E7502" w:rsidP="002A7B89">
      <w:pPr>
        <w:spacing w:after="0" w:line="240" w:lineRule="auto"/>
        <w:ind w:firstLine="709"/>
        <w:jc w:val="both"/>
      </w:pPr>
    </w:p>
    <w:p w:rsidR="00566987" w:rsidRPr="000765E4" w:rsidRDefault="00566987" w:rsidP="005669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Визначення основних груп (підгруп), на які проблема справляє вплив:</w:t>
      </w:r>
      <w:r w:rsidRPr="000765E4">
        <w:rPr>
          <w:rFonts w:ascii="Times New Roman" w:hAnsi="Times New Roman" w:cs="Times New Roman"/>
          <w:sz w:val="26"/>
          <w:szCs w:val="26"/>
        </w:rPr>
        <w:tab/>
      </w:r>
    </w:p>
    <w:p w:rsidR="000765E4" w:rsidRPr="0069669D" w:rsidRDefault="000765E4" w:rsidP="005669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4385"/>
        <w:gridCol w:w="2825"/>
        <w:gridCol w:w="2435"/>
      </w:tblGrid>
      <w:tr w:rsidR="00566987" w:rsidRPr="0069669D" w:rsidTr="005A5441">
        <w:tc>
          <w:tcPr>
            <w:tcW w:w="4252" w:type="dxa"/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2740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62" w:type="dxa"/>
            <w:tcBorders>
              <w:left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566987" w:rsidRPr="0069669D" w:rsidTr="005A5441">
        <w:tc>
          <w:tcPr>
            <w:tcW w:w="4252" w:type="dxa"/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2740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62" w:type="dxa"/>
            <w:tcBorders>
              <w:left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987" w:rsidRPr="0069669D" w:rsidTr="005A5441">
        <w:tc>
          <w:tcPr>
            <w:tcW w:w="4252" w:type="dxa"/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2740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62" w:type="dxa"/>
            <w:tcBorders>
              <w:left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987" w:rsidRPr="0069669D" w:rsidTr="005A5441">
        <w:tc>
          <w:tcPr>
            <w:tcW w:w="4252" w:type="dxa"/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господарювання,</w:t>
            </w:r>
          </w:p>
        </w:tc>
        <w:tc>
          <w:tcPr>
            <w:tcW w:w="2740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62" w:type="dxa"/>
            <w:tcBorders>
              <w:left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566987" w:rsidRPr="0069669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987" w:rsidRPr="0069669D" w:rsidTr="005A5441">
        <w:tc>
          <w:tcPr>
            <w:tcW w:w="4252" w:type="dxa"/>
            <w:tcMar>
              <w:left w:w="-2" w:type="dxa"/>
            </w:tcMar>
          </w:tcPr>
          <w:p w:rsidR="00566987" w:rsidRPr="00DE37A8" w:rsidRDefault="00566987" w:rsidP="005A5441">
            <w:pPr>
              <w:pStyle w:val="a3"/>
              <w:spacing w:before="150" w:after="15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37A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 тому числі суб’єкти малого підприємництва*</w:t>
            </w:r>
          </w:p>
        </w:tc>
        <w:tc>
          <w:tcPr>
            <w:tcW w:w="2740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566987" w:rsidRPr="00DE37A8" w:rsidRDefault="00372D5D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E37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362" w:type="dxa"/>
            <w:tcBorders>
              <w:left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566987" w:rsidRPr="002E3D7D" w:rsidRDefault="00566987" w:rsidP="005A5441">
            <w:pPr>
              <w:pStyle w:val="a3"/>
              <w:spacing w:before="150" w:after="15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</w:tr>
    </w:tbl>
    <w:p w:rsidR="00566987" w:rsidRPr="0069669D" w:rsidRDefault="00566987" w:rsidP="008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E75" w:rsidRPr="000765E4" w:rsidRDefault="00761E75" w:rsidP="0076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5E4">
        <w:rPr>
          <w:rFonts w:ascii="Times New Roman" w:eastAsia="Times New Roman" w:hAnsi="Times New Roman" w:cs="Times New Roman"/>
          <w:sz w:val="26"/>
          <w:szCs w:val="26"/>
        </w:rPr>
        <w:t xml:space="preserve">Проблема  підвищення  рівня  тарифів  на  перевезення  пасажирів  </w:t>
      </w:r>
      <w:r w:rsidR="005A10B9" w:rsidRPr="000765E4">
        <w:rPr>
          <w:rFonts w:ascii="Times New Roman" w:eastAsia="Times New Roman" w:hAnsi="Times New Roman" w:cs="Times New Roman"/>
          <w:sz w:val="26"/>
          <w:szCs w:val="26"/>
        </w:rPr>
        <w:t xml:space="preserve">електричним транспортом в </w:t>
      </w:r>
      <w:r w:rsidRPr="000765E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6B19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1D6" w:rsidRPr="000765E4">
        <w:rPr>
          <w:rFonts w:ascii="Times New Roman" w:eastAsia="Times New Roman" w:hAnsi="Times New Roman" w:cs="Times New Roman"/>
          <w:sz w:val="26"/>
          <w:szCs w:val="26"/>
        </w:rPr>
        <w:t>Тернопол</w:t>
      </w:r>
      <w:r w:rsidR="005A10B9" w:rsidRPr="000765E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0765E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765E4">
        <w:rPr>
          <w:rFonts w:ascii="Times New Roman" w:eastAsia="Times New Roman" w:hAnsi="Times New Roman" w:cs="Times New Roman"/>
          <w:sz w:val="26"/>
          <w:szCs w:val="26"/>
        </w:rPr>
        <w:t xml:space="preserve"> не  може бути  розв’язана  за  допомогою  ринкових  механізмів  у  зв’язку  з  тим,  що державою  прийнята  низка  законів  та  інших  нормативних  документів,  які регламентують  діяльність  виконавчих  органів  місцевого  самоврядування  в цьому напрямку, зокрема: </w:t>
      </w:r>
    </w:p>
    <w:p w:rsidR="00761E75" w:rsidRPr="000765E4" w:rsidRDefault="00761E75" w:rsidP="0076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5E4">
        <w:rPr>
          <w:rFonts w:ascii="Times New Roman" w:eastAsia="Times New Roman" w:hAnsi="Times New Roman" w:cs="Times New Roman"/>
          <w:sz w:val="26"/>
          <w:szCs w:val="26"/>
        </w:rPr>
        <w:t>-  відповідно до  підпункту  2  п.  «а»  ст.  28  Закону  України  «Про  місцеве самоврядування в Україні» виконавчі органи міських  рад мають повноваження встановлювати тарифи на транспортні послуги;</w:t>
      </w:r>
    </w:p>
    <w:p w:rsidR="00761E75" w:rsidRPr="000765E4" w:rsidRDefault="00761E75" w:rsidP="006271AC">
      <w:pPr>
        <w:pStyle w:val="HTML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-  </w:t>
      </w:r>
      <w:r w:rsidR="0000134A" w:rsidRPr="000765E4">
        <w:rPr>
          <w:rFonts w:ascii="Times New Roman" w:hAnsi="Times New Roman" w:cs="Times New Roman"/>
          <w:sz w:val="26"/>
          <w:szCs w:val="26"/>
        </w:rPr>
        <w:t>згідно</w:t>
      </w:r>
      <w:r w:rsidRPr="000765E4">
        <w:rPr>
          <w:rFonts w:ascii="Times New Roman" w:hAnsi="Times New Roman" w:cs="Times New Roman"/>
          <w:sz w:val="26"/>
          <w:szCs w:val="26"/>
        </w:rPr>
        <w:t xml:space="preserve">  Закону  України  «Про </w:t>
      </w:r>
      <w:r w:rsidR="006271AC" w:rsidRPr="000765E4">
        <w:rPr>
          <w:rFonts w:ascii="Times New Roman" w:hAnsi="Times New Roman" w:cs="Times New Roman"/>
          <w:sz w:val="26"/>
          <w:szCs w:val="26"/>
        </w:rPr>
        <w:t>міський електричний транспорт</w:t>
      </w:r>
      <w:r w:rsidRPr="000765E4">
        <w:rPr>
          <w:rFonts w:ascii="Times New Roman" w:hAnsi="Times New Roman" w:cs="Times New Roman"/>
          <w:sz w:val="26"/>
          <w:szCs w:val="26"/>
        </w:rPr>
        <w:t xml:space="preserve">» </w:t>
      </w:r>
      <w:r w:rsidR="006271AC" w:rsidRPr="000765E4">
        <w:rPr>
          <w:rFonts w:ascii="Times New Roman" w:hAnsi="Times New Roman" w:cs="Times New Roman"/>
          <w:sz w:val="26"/>
          <w:szCs w:val="26"/>
        </w:rPr>
        <w:t>р</w:t>
      </w:r>
      <w:r w:rsidR="006271AC" w:rsidRPr="000765E4">
        <w:rPr>
          <w:rFonts w:ascii="Times New Roman" w:hAnsi="Times New Roman" w:cs="Times New Roman"/>
          <w:color w:val="292B2C"/>
          <w:sz w:val="26"/>
          <w:szCs w:val="26"/>
        </w:rPr>
        <w:t>озрахунки тарифів на проїзд  здійснюються  відповідно  до Порядку формування  тарифів  на  послуги   міського  електричного транспорту.</w:t>
      </w:r>
      <w:r w:rsidRPr="000765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E75" w:rsidRPr="0069669D" w:rsidRDefault="00761E75" w:rsidP="008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451" w:rsidRPr="000765E4" w:rsidRDefault="00827451" w:rsidP="00FF2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Ціль </w:t>
      </w:r>
      <w:r w:rsidR="00FF2773" w:rsidRPr="00076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державного регулювання</w:t>
      </w:r>
    </w:p>
    <w:p w:rsidR="00FF2773" w:rsidRPr="0069669D" w:rsidRDefault="00FF2773" w:rsidP="00FF277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FF2773" w:rsidRPr="000765E4" w:rsidRDefault="00FF2773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765E4">
        <w:rPr>
          <w:sz w:val="26"/>
          <w:szCs w:val="26"/>
          <w:lang w:val="uk-UA"/>
        </w:rPr>
        <w:t>- забезпечення  балансу  інтересів  перевізник</w:t>
      </w:r>
      <w:r w:rsidR="00FC5CE6" w:rsidRPr="000765E4">
        <w:rPr>
          <w:sz w:val="26"/>
          <w:szCs w:val="26"/>
          <w:lang w:val="uk-UA"/>
        </w:rPr>
        <w:t>а</w:t>
      </w:r>
      <w:r w:rsidRPr="000765E4">
        <w:rPr>
          <w:sz w:val="26"/>
          <w:szCs w:val="26"/>
          <w:lang w:val="uk-UA"/>
        </w:rPr>
        <w:t>,  що  обслугову</w:t>
      </w:r>
      <w:r w:rsidR="00FC5CE6" w:rsidRPr="000765E4">
        <w:rPr>
          <w:sz w:val="26"/>
          <w:szCs w:val="26"/>
          <w:lang w:val="uk-UA"/>
        </w:rPr>
        <w:t>є</w:t>
      </w:r>
      <w:r w:rsidRPr="000765E4">
        <w:rPr>
          <w:sz w:val="26"/>
          <w:szCs w:val="26"/>
          <w:lang w:val="uk-UA"/>
        </w:rPr>
        <w:t xml:space="preserve">  міські </w:t>
      </w:r>
      <w:r w:rsidR="0000134A" w:rsidRPr="000765E4">
        <w:rPr>
          <w:sz w:val="26"/>
          <w:szCs w:val="26"/>
          <w:lang w:val="uk-UA"/>
        </w:rPr>
        <w:t xml:space="preserve">тролейбусні </w:t>
      </w:r>
      <w:r w:rsidRPr="000765E4">
        <w:rPr>
          <w:sz w:val="26"/>
          <w:szCs w:val="26"/>
          <w:lang w:val="uk-UA"/>
        </w:rPr>
        <w:t>маршрути</w:t>
      </w:r>
      <w:r w:rsidR="0000134A" w:rsidRPr="000765E4">
        <w:rPr>
          <w:sz w:val="26"/>
          <w:szCs w:val="26"/>
          <w:lang w:val="uk-UA"/>
        </w:rPr>
        <w:t xml:space="preserve"> </w:t>
      </w:r>
      <w:r w:rsidRPr="000765E4">
        <w:rPr>
          <w:sz w:val="26"/>
          <w:szCs w:val="26"/>
          <w:lang w:val="uk-UA"/>
        </w:rPr>
        <w:t xml:space="preserve"> та пасажирів; </w:t>
      </w:r>
    </w:p>
    <w:p w:rsidR="00FF2773" w:rsidRPr="000765E4" w:rsidRDefault="00FF2773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765E4">
        <w:rPr>
          <w:sz w:val="26"/>
          <w:szCs w:val="26"/>
          <w:lang w:val="uk-UA"/>
        </w:rPr>
        <w:t xml:space="preserve">- приведення  тарифу  на  перевезення  пасажирів  у  міському </w:t>
      </w:r>
      <w:r w:rsidR="0000134A" w:rsidRPr="000765E4">
        <w:rPr>
          <w:sz w:val="26"/>
          <w:szCs w:val="26"/>
          <w:lang w:val="uk-UA"/>
        </w:rPr>
        <w:t>електротранспорті</w:t>
      </w:r>
      <w:r w:rsidRPr="000765E4">
        <w:rPr>
          <w:sz w:val="26"/>
          <w:szCs w:val="26"/>
          <w:lang w:val="uk-UA"/>
        </w:rPr>
        <w:t xml:space="preserve">  до економічно обґрунтованого рівня; </w:t>
      </w:r>
    </w:p>
    <w:p w:rsidR="00FF2773" w:rsidRPr="000765E4" w:rsidRDefault="00FF2773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765E4">
        <w:rPr>
          <w:sz w:val="26"/>
          <w:szCs w:val="26"/>
          <w:lang w:val="uk-UA"/>
        </w:rPr>
        <w:t xml:space="preserve">- збереження ринку соціально важливої послуги пасажирських перевезень на міських </w:t>
      </w:r>
      <w:r w:rsidR="0000134A" w:rsidRPr="000765E4">
        <w:rPr>
          <w:sz w:val="26"/>
          <w:szCs w:val="26"/>
          <w:lang w:val="uk-UA"/>
        </w:rPr>
        <w:t>електричних</w:t>
      </w:r>
      <w:r w:rsidRPr="000765E4">
        <w:rPr>
          <w:sz w:val="26"/>
          <w:szCs w:val="26"/>
          <w:lang w:val="uk-UA"/>
        </w:rPr>
        <w:t xml:space="preserve"> маршрутах; </w:t>
      </w:r>
    </w:p>
    <w:p w:rsidR="00FF2773" w:rsidRPr="000765E4" w:rsidRDefault="006B1926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забезпечення </w:t>
      </w:r>
      <w:r w:rsidR="00FF2773" w:rsidRPr="000765E4">
        <w:rPr>
          <w:sz w:val="26"/>
          <w:szCs w:val="26"/>
          <w:lang w:val="uk-UA"/>
        </w:rPr>
        <w:t xml:space="preserve">безпечного функціонування </w:t>
      </w:r>
      <w:r w:rsidR="0000134A" w:rsidRPr="000765E4">
        <w:rPr>
          <w:sz w:val="26"/>
          <w:szCs w:val="26"/>
          <w:lang w:val="uk-UA"/>
        </w:rPr>
        <w:t>електротранспорту</w:t>
      </w:r>
      <w:r w:rsidR="00FF2773" w:rsidRPr="000765E4">
        <w:rPr>
          <w:sz w:val="26"/>
          <w:szCs w:val="26"/>
          <w:lang w:val="uk-UA"/>
        </w:rPr>
        <w:t xml:space="preserve"> загального користування; </w:t>
      </w:r>
    </w:p>
    <w:p w:rsidR="00FF2773" w:rsidRPr="000765E4" w:rsidRDefault="00FF2773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765E4">
        <w:rPr>
          <w:sz w:val="26"/>
          <w:szCs w:val="26"/>
          <w:lang w:val="uk-UA"/>
        </w:rPr>
        <w:t xml:space="preserve">-  підтримання  рівня  обслуговування  пасажирів,  фінансового  стану </w:t>
      </w:r>
      <w:r w:rsidR="0000134A" w:rsidRPr="000765E4">
        <w:rPr>
          <w:sz w:val="26"/>
          <w:szCs w:val="26"/>
          <w:lang w:val="uk-UA"/>
        </w:rPr>
        <w:t xml:space="preserve">комунального </w:t>
      </w:r>
      <w:r w:rsidRPr="000765E4">
        <w:rPr>
          <w:sz w:val="26"/>
          <w:szCs w:val="26"/>
          <w:lang w:val="uk-UA"/>
        </w:rPr>
        <w:t>підприємств</w:t>
      </w:r>
      <w:r w:rsidR="0000134A" w:rsidRPr="000765E4">
        <w:rPr>
          <w:sz w:val="26"/>
          <w:szCs w:val="26"/>
          <w:lang w:val="uk-UA"/>
        </w:rPr>
        <w:t>а</w:t>
      </w:r>
      <w:r w:rsidRPr="000765E4">
        <w:rPr>
          <w:sz w:val="26"/>
          <w:szCs w:val="26"/>
          <w:lang w:val="uk-UA"/>
        </w:rPr>
        <w:t xml:space="preserve">; </w:t>
      </w:r>
    </w:p>
    <w:p w:rsidR="000217B4" w:rsidRPr="000765E4" w:rsidRDefault="00FF2773" w:rsidP="006A7BC6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765E4">
        <w:rPr>
          <w:sz w:val="26"/>
          <w:szCs w:val="26"/>
          <w:lang w:val="uk-UA"/>
        </w:rPr>
        <w:t>- збільшення ефективності використання рухомого складу.</w:t>
      </w:r>
    </w:p>
    <w:p w:rsidR="00AA5831" w:rsidRPr="000765E4" w:rsidRDefault="00AA5831" w:rsidP="00076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23167659"/>
      <w:r w:rsidRPr="00076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Визначення та оцінка альтернативних способів досягнення цілей</w:t>
      </w:r>
    </w:p>
    <w:p w:rsidR="00AA5831" w:rsidRDefault="00AA5831" w:rsidP="00AA583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451" w:rsidRPr="000765E4" w:rsidRDefault="006A7BC6" w:rsidP="000765E4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Визначення альтернативних способів.</w:t>
      </w:r>
    </w:p>
    <w:p w:rsidR="006A7BC6" w:rsidRPr="000765E4" w:rsidRDefault="006A7BC6" w:rsidP="0007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9"/>
        <w:gridCol w:w="6330"/>
      </w:tblGrid>
      <w:tr w:rsidR="00827451" w:rsidRPr="0069669D" w:rsidTr="00AB5553">
        <w:trPr>
          <w:tblCellSpacing w:w="15" w:type="dxa"/>
        </w:trPr>
        <w:tc>
          <w:tcPr>
            <w:tcW w:w="1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451" w:rsidRPr="0069669D" w:rsidRDefault="006A7BC6" w:rsidP="0082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альтернативи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451" w:rsidRPr="0069669D" w:rsidRDefault="006A7BC6" w:rsidP="0082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 альтернативи</w:t>
            </w:r>
          </w:p>
        </w:tc>
      </w:tr>
      <w:tr w:rsidR="00827451" w:rsidRPr="00FA5161" w:rsidTr="00AB5553">
        <w:trPr>
          <w:tblCellSpacing w:w="15" w:type="dxa"/>
        </w:trPr>
        <w:tc>
          <w:tcPr>
            <w:tcW w:w="1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BC6" w:rsidRPr="0069669D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Альтернатива </w:t>
            </w:r>
            <w:r w:rsidR="00827451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7451" w:rsidRPr="0069669D" w:rsidRDefault="00383963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Збереження діючого тарифу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D24" w:rsidRPr="00FA5161" w:rsidRDefault="00827451" w:rsidP="00E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Альтернатива є неприйнятною з точки зору складної </w:t>
            </w:r>
            <w:r w:rsidR="00E72D24" w:rsidRP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економічної </w:t>
            </w:r>
            <w:r w:rsidRP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ситуації, що склалась на ринку міських пасажирських перевезень</w:t>
            </w:r>
            <w:r w:rsidR="00E72D24" w:rsidRP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D24" w:rsidRPr="00FA5161" w:rsidRDefault="00E72D24" w:rsidP="00E72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Єдиною перевагою стануть незмінні витрати громадян на проїзд, проте, це п</w:t>
            </w:r>
            <w:r w:rsidRP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ризведе до </w:t>
            </w: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невпинн</w:t>
            </w:r>
            <w:r w:rsidR="004515A6" w:rsidRPr="00FA516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погіршення якості обслуговування, часткової або повної зупинки громадського транспорту</w:t>
            </w:r>
            <w:r w:rsidR="00BE686E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через збитковість </w:t>
            </w:r>
            <w:proofErr w:type="spellStart"/>
            <w:r w:rsidR="00BE686E" w:rsidRPr="00FA5161">
              <w:rPr>
                <w:rFonts w:ascii="Times New Roman" w:hAnsi="Times New Roman" w:cs="Times New Roman"/>
                <w:sz w:val="24"/>
                <w:szCs w:val="24"/>
              </w:rPr>
              <w:t>пасажироперевезень</w:t>
            </w:r>
            <w:proofErr w:type="spellEnd"/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3D7D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 За 20</w:t>
            </w:r>
            <w:r w:rsidR="003E2F90" w:rsidRPr="00FA5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D7D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рік збиток від пасажирських перевезень міським електричним транспортом становив  </w:t>
            </w:r>
            <w:r w:rsidR="00A3655C" w:rsidRPr="00FA5161">
              <w:rPr>
                <w:rFonts w:ascii="Times New Roman" w:hAnsi="Times New Roman" w:cs="Times New Roman"/>
                <w:sz w:val="24"/>
                <w:szCs w:val="24"/>
              </w:rPr>
              <w:t>31993</w:t>
            </w:r>
            <w:r w:rsidR="002E3D7D" w:rsidRPr="00FA5161">
              <w:rPr>
                <w:rFonts w:ascii="Times New Roman" w:hAnsi="Times New Roman" w:cs="Times New Roman"/>
                <w:sz w:val="24"/>
                <w:szCs w:val="24"/>
              </w:rPr>
              <w:t>тис.грн.</w:t>
            </w:r>
          </w:p>
          <w:p w:rsidR="00E72D24" w:rsidRPr="00FA5161" w:rsidRDefault="004515A6" w:rsidP="00BE6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Це, в свою чергу стане причиною </w:t>
            </w:r>
            <w:r w:rsidR="00E72D24" w:rsidRPr="00FA5161">
              <w:rPr>
                <w:rFonts w:ascii="Times New Roman" w:hAnsi="Times New Roman" w:cs="Times New Roman"/>
                <w:sz w:val="24"/>
                <w:szCs w:val="24"/>
              </w:rPr>
              <w:t>зростання невдоволення населення</w:t>
            </w:r>
            <w:r w:rsidR="00BE686E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та підвищенням </w:t>
            </w:r>
            <w:r w:rsidR="00E72D24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напруги</w:t>
            </w:r>
            <w:r w:rsidR="00BE686E" w:rsidRPr="00FA5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D24"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451" w:rsidRPr="0069669D" w:rsidTr="00AB5553">
        <w:trPr>
          <w:tblCellSpacing w:w="15" w:type="dxa"/>
        </w:trPr>
        <w:tc>
          <w:tcPr>
            <w:tcW w:w="1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BC6" w:rsidRPr="0069669D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Альтернатива </w:t>
            </w:r>
            <w:r w:rsidR="00827451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27451" w:rsidRPr="0069669D" w:rsidRDefault="00DB61E8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Компенсація з міського бюджету різниці між економічним розрахунковим тарифом та діючим</w:t>
            </w: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451" w:rsidRPr="0069669D" w:rsidRDefault="00D06DE1" w:rsidP="00EF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Перевагою стане задоволення потреб і перевізник</w:t>
            </w:r>
            <w:r w:rsidR="000A24B1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і пасажирів, проте </w:t>
            </w:r>
            <w:r w:rsidR="00C4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міського бюджету компенсація витрат </w:t>
            </w:r>
            <w:r w:rsidR="00C44395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різниці між економічним розрахунковим тарифом та діючим </w:t>
            </w:r>
            <w:r w:rsidR="00C4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становитиме </w:t>
            </w:r>
            <w:r w:rsidR="00E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FA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  <w:r w:rsidR="00C44395" w:rsidRPr="00EF4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4395" w:rsidRPr="00EF4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тис.грн</w:t>
            </w:r>
            <w:proofErr w:type="spellEnd"/>
            <w:r w:rsidR="002E3D7D" w:rsidRPr="00EF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1E8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Міський бюджет</w:t>
            </w:r>
            <w:r w:rsidR="000A24B1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="00DB61E8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спроможний компенс</w:t>
            </w:r>
            <w:r w:rsidR="006A7BC6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B61E8"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вати витрати на різницю в тарифі. </w:t>
            </w:r>
          </w:p>
        </w:tc>
      </w:tr>
      <w:tr w:rsidR="003176DC" w:rsidRPr="0069669D" w:rsidTr="00AB5553">
        <w:trPr>
          <w:tblCellSpacing w:w="15" w:type="dxa"/>
        </w:trPr>
        <w:tc>
          <w:tcPr>
            <w:tcW w:w="1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6DC" w:rsidRPr="00CB489D" w:rsidRDefault="003176DC" w:rsidP="0031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Альтернатива </w:t>
            </w:r>
            <w:r w:rsidR="00AB5553" w:rsidRPr="00CB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176DC" w:rsidRPr="00CB489D" w:rsidRDefault="003176DC" w:rsidP="0031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 регуляторного акту</w:t>
            </w:r>
          </w:p>
          <w:p w:rsidR="003176DC" w:rsidRPr="003176DC" w:rsidRDefault="003176DC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обслуговує  міські тролейбусні маршрути  та пасажирів; </w:t>
            </w:r>
          </w:p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приведення  тарифу  на  перевезення  пасажирів  у  міському електротранспорті  до економічно обґрунтованого рівня; </w:t>
            </w:r>
          </w:p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збереження ринку соціально важливої послуги пасажирських перевезень на міських електричних маршрутах; </w:t>
            </w:r>
          </w:p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забезпечення  безпечного  функціонування  електротранспорту  транспорту загального користування; </w:t>
            </w:r>
          </w:p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підтримання  рівня  обслуговування  пасажирів,  фінансового  стану комунального підприємства; </w:t>
            </w:r>
          </w:p>
          <w:p w:rsidR="00F21F90" w:rsidRPr="0069669D" w:rsidRDefault="00F21F90" w:rsidP="00F21F9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збільшення ефективності використання рухомого складу.</w:t>
            </w:r>
          </w:p>
          <w:p w:rsidR="003176DC" w:rsidRPr="0069669D" w:rsidRDefault="003176DC" w:rsidP="00DB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42F" w:rsidRDefault="00F2542F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21EEA" w:rsidRPr="0069669D" w:rsidRDefault="00B21EEA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18EB" w:rsidRPr="000765E4" w:rsidRDefault="00F618EB" w:rsidP="000765E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765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Оцінка вибраних альтернативних способів досягнення цілей</w:t>
      </w:r>
    </w:p>
    <w:p w:rsidR="00E671A2" w:rsidRPr="000765E4" w:rsidRDefault="00E671A2" w:rsidP="00076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E671A2" w:rsidRPr="000765E4" w:rsidRDefault="00E671A2" w:rsidP="00E67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Оцінка впливу на сферу інтересів держави </w:t>
      </w:r>
    </w:p>
    <w:p w:rsidR="00F618EB" w:rsidRPr="0069669D" w:rsidRDefault="00F618EB" w:rsidP="00F6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F618EB" w:rsidRPr="0069669D" w:rsidTr="00F618EB">
        <w:tc>
          <w:tcPr>
            <w:tcW w:w="3285" w:type="dxa"/>
          </w:tcPr>
          <w:p w:rsidR="00F618EB" w:rsidRPr="0069669D" w:rsidRDefault="00F618EB" w:rsidP="00F618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 альтернативи</w:t>
            </w:r>
          </w:p>
        </w:tc>
        <w:tc>
          <w:tcPr>
            <w:tcW w:w="3285" w:type="dxa"/>
          </w:tcPr>
          <w:p w:rsidR="00F618EB" w:rsidRPr="0069669D" w:rsidRDefault="00F618EB" w:rsidP="00F618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Вигоди</w:t>
            </w:r>
          </w:p>
        </w:tc>
        <w:tc>
          <w:tcPr>
            <w:tcW w:w="3285" w:type="dxa"/>
          </w:tcPr>
          <w:p w:rsidR="00F618EB" w:rsidRPr="0069669D" w:rsidRDefault="00F618EB" w:rsidP="00F618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</w:tr>
      <w:tr w:rsidR="00F618EB" w:rsidRPr="0069669D" w:rsidTr="00F618EB">
        <w:tc>
          <w:tcPr>
            <w:tcW w:w="3285" w:type="dxa"/>
          </w:tcPr>
          <w:p w:rsidR="00F618EB" w:rsidRPr="0069669D" w:rsidRDefault="00F618EB" w:rsidP="00F618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1</w:t>
            </w:r>
          </w:p>
        </w:tc>
        <w:tc>
          <w:tcPr>
            <w:tcW w:w="3285" w:type="dxa"/>
          </w:tcPr>
          <w:p w:rsidR="00F618EB" w:rsidRPr="0069669D" w:rsidRDefault="006644B1" w:rsidP="006F73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Тимчасова в</w:t>
            </w:r>
            <w:r w:rsidR="00F618EB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ідсутність соціальної напруги в суспільстві</w:t>
            </w:r>
          </w:p>
        </w:tc>
        <w:tc>
          <w:tcPr>
            <w:tcW w:w="3285" w:type="dxa"/>
          </w:tcPr>
          <w:p w:rsidR="00F618EB" w:rsidRPr="00F27596" w:rsidRDefault="00B21EEA" w:rsidP="00F27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="006644B1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запобіганн</w:t>
            </w:r>
            <w:r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6644B1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транспортного колапсу </w:t>
            </w:r>
            <w:r w:rsidR="00496CF0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7528B2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передбачаючи його</w:t>
            </w:r>
            <w:r w:rsidR="00496CF0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зупинк</w:t>
            </w:r>
            <w:r w:rsidR="007528B2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96CF0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виникне</w:t>
            </w:r>
            <w:r w:rsidR="007528B2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6CF0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необхідність у </w:t>
            </w:r>
            <w:r w:rsidR="00304FC8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залученн</w:t>
            </w:r>
            <w:r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="00304FC8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коштів міського бюджету </w:t>
            </w:r>
            <w:r w:rsidR="002E3D7D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сумі </w:t>
            </w:r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27 272,4 </w:t>
            </w:r>
            <w:proofErr w:type="spellStart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</w:t>
            </w:r>
            <w:r w:rsidR="002E3D7D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с.грн</w:t>
            </w:r>
            <w:proofErr w:type="spellEnd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(9090,8 </w:t>
            </w:r>
            <w:proofErr w:type="spellStart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тис.пас</w:t>
            </w:r>
            <w:proofErr w:type="spellEnd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планових х 3,0 </w:t>
            </w:r>
            <w:proofErr w:type="spellStart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–різниця</w:t>
            </w:r>
            <w:proofErr w:type="spellEnd"/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між діючим тарифом та </w:t>
            </w:r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очікуваним)</w:t>
            </w:r>
            <w:r w:rsidR="002E3D7D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компенсації затрат.</w:t>
            </w:r>
            <w:r w:rsidR="00304FC8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18EB" w:rsidRPr="0069669D" w:rsidTr="00F618EB">
        <w:tc>
          <w:tcPr>
            <w:tcW w:w="3285" w:type="dxa"/>
          </w:tcPr>
          <w:p w:rsidR="00F618EB" w:rsidRPr="0069669D" w:rsidRDefault="00FC33BC" w:rsidP="00F618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3285" w:type="dxa"/>
          </w:tcPr>
          <w:p w:rsidR="00F618EB" w:rsidRPr="0069669D" w:rsidRDefault="00FC33BC" w:rsidP="00FC33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Задоволення потреб  перевізників  та пасажирів</w:t>
            </w:r>
          </w:p>
        </w:tc>
        <w:tc>
          <w:tcPr>
            <w:tcW w:w="3285" w:type="dxa"/>
          </w:tcPr>
          <w:p w:rsidR="00F618EB" w:rsidRPr="00F27596" w:rsidRDefault="00916D01" w:rsidP="00F27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Додаткове навантаження на міський </w:t>
            </w:r>
            <w:r w:rsidR="00B21EEA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</w:t>
            </w:r>
            <w:r w:rsidR="002E3D7D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сумі </w:t>
            </w:r>
            <w:r w:rsidR="00C44395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27596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27272,4 </w:t>
            </w:r>
            <w:proofErr w:type="spellStart"/>
            <w:r w:rsidR="00C44395"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</w:tr>
      <w:tr w:rsidR="005A5441" w:rsidRPr="0069669D" w:rsidTr="00F618EB">
        <w:tc>
          <w:tcPr>
            <w:tcW w:w="3285" w:type="dxa"/>
          </w:tcPr>
          <w:p w:rsidR="005A5441" w:rsidRPr="00CB489D" w:rsidRDefault="005A5441" w:rsidP="005A5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Альтернатива </w:t>
            </w:r>
            <w:r w:rsidR="00AB5553" w:rsidRPr="00CB48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A5441" w:rsidRPr="00CB489D" w:rsidRDefault="005A5441" w:rsidP="005A5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регуляторного акту</w:t>
            </w:r>
          </w:p>
          <w:p w:rsidR="005A5441" w:rsidRPr="0069669D" w:rsidRDefault="005A5441" w:rsidP="00F618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обслуговує  міські тролейбусні маршрути  та пасажирів;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приведення  тарифу  на  перевезення  пасажирів  у  міському електротранспорті  до економічно обґрунтованого рівня;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збереження ринку соціально важливої послуги пасажирських перевезень на міських електричних маршрутах;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забезпечення  безпечного  функціонування  електротранспорту  загального користування;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підтримання  рівня  обслуговування  пасажирів,  фінансового  стану комунального підприємства; </w:t>
            </w:r>
          </w:p>
          <w:p w:rsidR="005A5441" w:rsidRPr="0069669D" w:rsidRDefault="005A5441" w:rsidP="00B21EEA">
            <w:pPr>
              <w:pStyle w:val="a6"/>
              <w:spacing w:before="0" w:beforeAutospacing="0" w:after="0" w:afterAutospacing="0"/>
              <w:jc w:val="both"/>
            </w:pPr>
            <w:r w:rsidRPr="0069669D">
              <w:rPr>
                <w:lang w:val="uk-UA"/>
              </w:rPr>
              <w:t>- збільшення ефективності використання рухомого складу.</w:t>
            </w:r>
          </w:p>
        </w:tc>
        <w:tc>
          <w:tcPr>
            <w:tcW w:w="3285" w:type="dxa"/>
          </w:tcPr>
          <w:p w:rsidR="005A5441" w:rsidRPr="00F27596" w:rsidRDefault="00384EFD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27596">
              <w:rPr>
                <w:lang w:val="uk-UA"/>
              </w:rPr>
              <w:t>866,64</w:t>
            </w:r>
            <w:r w:rsidR="004C1F3A" w:rsidRPr="00F27596">
              <w:rPr>
                <w:lang w:val="uk-UA"/>
              </w:rPr>
              <w:t xml:space="preserve"> </w:t>
            </w:r>
          </w:p>
        </w:tc>
      </w:tr>
    </w:tbl>
    <w:p w:rsidR="00F618EB" w:rsidRPr="0069669D" w:rsidRDefault="00F618EB" w:rsidP="00F6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18EB" w:rsidRPr="000765E4" w:rsidRDefault="00E671A2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Оцінка впливу на сферу інтересів громадян</w:t>
      </w:r>
    </w:p>
    <w:p w:rsidR="00E671A2" w:rsidRPr="000765E4" w:rsidRDefault="00E671A2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E671A2" w:rsidRPr="0069669D" w:rsidTr="00E671A2">
        <w:tc>
          <w:tcPr>
            <w:tcW w:w="3285" w:type="dxa"/>
          </w:tcPr>
          <w:p w:rsidR="00E671A2" w:rsidRPr="0069669D" w:rsidRDefault="00E671A2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 альтернативи</w:t>
            </w:r>
          </w:p>
        </w:tc>
        <w:tc>
          <w:tcPr>
            <w:tcW w:w="3285" w:type="dxa"/>
          </w:tcPr>
          <w:p w:rsidR="00E671A2" w:rsidRPr="0069669D" w:rsidRDefault="00E671A2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Вигоди</w:t>
            </w:r>
          </w:p>
        </w:tc>
        <w:tc>
          <w:tcPr>
            <w:tcW w:w="3285" w:type="dxa"/>
          </w:tcPr>
          <w:p w:rsidR="00E671A2" w:rsidRPr="0069669D" w:rsidRDefault="00E671A2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</w:tr>
      <w:tr w:rsidR="00E671A2" w:rsidRPr="0069669D" w:rsidTr="00E671A2">
        <w:tc>
          <w:tcPr>
            <w:tcW w:w="3285" w:type="dxa"/>
          </w:tcPr>
          <w:p w:rsidR="00E671A2" w:rsidRPr="0069669D" w:rsidRDefault="00E671A2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1</w:t>
            </w:r>
          </w:p>
        </w:tc>
        <w:tc>
          <w:tcPr>
            <w:tcW w:w="3285" w:type="dxa"/>
          </w:tcPr>
          <w:p w:rsidR="00E671A2" w:rsidRPr="0069669D" w:rsidRDefault="00E671A2" w:rsidP="00E671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збереження діючих тарифів, </w:t>
            </w:r>
          </w:p>
          <w:p w:rsidR="00E671A2" w:rsidRPr="0069669D" w:rsidRDefault="00E671A2" w:rsidP="00E671A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тобто витрати на проїзд залишаються незмінними</w:t>
            </w:r>
          </w:p>
        </w:tc>
        <w:tc>
          <w:tcPr>
            <w:tcW w:w="3285" w:type="dxa"/>
          </w:tcPr>
          <w:p w:rsidR="00E671A2" w:rsidRPr="0069669D" w:rsidRDefault="00E671A2" w:rsidP="00667B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Погіршення  якості</w:t>
            </w:r>
            <w:r w:rsidR="00B21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безпеки </w:t>
            </w:r>
          </w:p>
          <w:p w:rsidR="00E671A2" w:rsidRPr="0069669D" w:rsidRDefault="00E671A2" w:rsidP="00B21E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перевезень,  зменшення кількості  транспорту,  що призведе  до  недостатньої кількості  транспортних засобів  у  місті  для </w:t>
            </w:r>
            <w:r w:rsidR="00B21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забезпечення  потреб населення. 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Зниження заробітної  плати  </w:t>
            </w:r>
            <w:r w:rsidR="00346D10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 скорочення робочих місць у комунальному 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підприємств</w:t>
            </w:r>
            <w:r w:rsidR="00B21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A41C3" w:rsidRPr="0069669D" w:rsidTr="00E671A2">
        <w:tc>
          <w:tcPr>
            <w:tcW w:w="3285" w:type="dxa"/>
          </w:tcPr>
          <w:p w:rsidR="007A41C3" w:rsidRPr="0069669D" w:rsidRDefault="007A41C3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2</w:t>
            </w:r>
          </w:p>
        </w:tc>
        <w:tc>
          <w:tcPr>
            <w:tcW w:w="3285" w:type="dxa"/>
          </w:tcPr>
          <w:p w:rsidR="007A41C3" w:rsidRPr="0069669D" w:rsidRDefault="007A41C3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збереження діючих тарифів, </w:t>
            </w:r>
          </w:p>
          <w:p w:rsidR="007A41C3" w:rsidRPr="0069669D" w:rsidRDefault="007A41C3" w:rsidP="004319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тобто витрати на проїзд залишаються незмінними</w:t>
            </w:r>
            <w:r w:rsidR="00431945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втрати перевізника будуть повністю відшкодовані </w:t>
            </w:r>
          </w:p>
        </w:tc>
        <w:tc>
          <w:tcPr>
            <w:tcW w:w="3285" w:type="dxa"/>
          </w:tcPr>
          <w:p w:rsidR="007A41C3" w:rsidRPr="0069669D" w:rsidRDefault="00707739" w:rsidP="007077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Відсутні</w:t>
            </w:r>
          </w:p>
        </w:tc>
      </w:tr>
      <w:tr w:rsidR="005A5441" w:rsidRPr="0069669D" w:rsidTr="00E671A2">
        <w:tc>
          <w:tcPr>
            <w:tcW w:w="3285" w:type="dxa"/>
          </w:tcPr>
          <w:p w:rsidR="005A5441" w:rsidRPr="0069669D" w:rsidRDefault="005A5441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Альтернатива </w:t>
            </w:r>
            <w:r w:rsid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</w:t>
            </w:r>
            <w:r w:rsidRPr="0069669D">
              <w:rPr>
                <w:lang w:val="uk-UA"/>
              </w:rPr>
              <w:lastRenderedPageBreak/>
              <w:t xml:space="preserve">обслуговує  міські тролейбусні маршрути  та пасажирів;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</w:t>
            </w:r>
            <w:r w:rsidR="002246F2">
              <w:rPr>
                <w:lang w:val="uk-UA"/>
              </w:rPr>
              <w:t>отримання</w:t>
            </w:r>
            <w:r w:rsidRPr="0069669D">
              <w:rPr>
                <w:lang w:val="uk-UA"/>
              </w:rPr>
              <w:t xml:space="preserve">  безпечного</w:t>
            </w:r>
            <w:r w:rsidR="002246F2">
              <w:rPr>
                <w:lang w:val="uk-UA"/>
              </w:rPr>
              <w:t>, безперебійного</w:t>
            </w:r>
            <w:r w:rsidRPr="0069669D">
              <w:rPr>
                <w:lang w:val="uk-UA"/>
              </w:rPr>
              <w:t xml:space="preserve">  функціонування  електротранспорту  загального користування; </w:t>
            </w:r>
          </w:p>
          <w:p w:rsidR="005A5441" w:rsidRPr="002246F2" w:rsidRDefault="005A5441" w:rsidP="00B21EEA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</w:t>
            </w:r>
            <w:r w:rsidR="002246F2">
              <w:rPr>
                <w:lang w:val="uk-UA"/>
              </w:rPr>
              <w:t>отримання якісних послуг з перевезення</w:t>
            </w:r>
            <w:r w:rsidRPr="0069669D">
              <w:rPr>
                <w:lang w:val="uk-UA"/>
              </w:rPr>
              <w:t xml:space="preserve">; </w:t>
            </w:r>
          </w:p>
        </w:tc>
        <w:tc>
          <w:tcPr>
            <w:tcW w:w="3285" w:type="dxa"/>
          </w:tcPr>
          <w:p w:rsidR="002246F2" w:rsidRPr="0069669D" w:rsidRDefault="002246F2" w:rsidP="002246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Збільшення витрат на проїзд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A5441" w:rsidRPr="0069669D" w:rsidRDefault="005A5441" w:rsidP="002246F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671A2" w:rsidRPr="0069669D" w:rsidRDefault="00E671A2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70B9D" w:rsidRPr="000765E4" w:rsidRDefault="00C70B9D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Оцінка впливу на сферу інтересів суб’єктів господарювання</w:t>
      </w:r>
    </w:p>
    <w:p w:rsidR="00C70B9D" w:rsidRPr="0069669D" w:rsidRDefault="00C70B9D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65"/>
        <w:gridCol w:w="1581"/>
        <w:gridCol w:w="1591"/>
        <w:gridCol w:w="1566"/>
        <w:gridCol w:w="1577"/>
        <w:gridCol w:w="1575"/>
      </w:tblGrid>
      <w:tr w:rsidR="00C70B9D" w:rsidRPr="0069669D" w:rsidTr="00C70B9D">
        <w:tc>
          <w:tcPr>
            <w:tcW w:w="1965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Показник</w:t>
            </w:r>
          </w:p>
        </w:tc>
        <w:tc>
          <w:tcPr>
            <w:tcW w:w="1581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Великі</w:t>
            </w:r>
          </w:p>
        </w:tc>
        <w:tc>
          <w:tcPr>
            <w:tcW w:w="1591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Середні</w:t>
            </w:r>
          </w:p>
        </w:tc>
        <w:tc>
          <w:tcPr>
            <w:tcW w:w="1566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Малі</w:t>
            </w:r>
          </w:p>
        </w:tc>
        <w:tc>
          <w:tcPr>
            <w:tcW w:w="1577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Мікро</w:t>
            </w:r>
          </w:p>
        </w:tc>
        <w:tc>
          <w:tcPr>
            <w:tcW w:w="1575" w:type="dxa"/>
          </w:tcPr>
          <w:p w:rsidR="00C70B9D" w:rsidRPr="0069669D" w:rsidRDefault="00C70B9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Разом</w:t>
            </w:r>
          </w:p>
        </w:tc>
      </w:tr>
      <w:tr w:rsidR="00693E47" w:rsidRPr="0069669D" w:rsidTr="00C70B9D">
        <w:tc>
          <w:tcPr>
            <w:tcW w:w="1965" w:type="dxa"/>
          </w:tcPr>
          <w:p w:rsidR="00693E47" w:rsidRPr="0069669D" w:rsidRDefault="00693E47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581" w:type="dxa"/>
          </w:tcPr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2B9E" w:rsidRDefault="00D82B9E" w:rsidP="00A845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D82B9E" w:rsidP="00A845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372D5D" w:rsidP="00D82B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8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93E47" w:rsidRPr="0069669D" w:rsidTr="00C70B9D">
        <w:tc>
          <w:tcPr>
            <w:tcW w:w="1965" w:type="dxa"/>
          </w:tcPr>
          <w:p w:rsidR="00693E47" w:rsidRPr="0069669D" w:rsidRDefault="00693E47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Питома вага групи у загальній кількості, %</w:t>
            </w:r>
          </w:p>
        </w:tc>
        <w:tc>
          <w:tcPr>
            <w:tcW w:w="1581" w:type="dxa"/>
          </w:tcPr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693E47" w:rsidRPr="0069669D" w:rsidRDefault="00693E47" w:rsidP="00C70B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72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:rsidR="00693E47" w:rsidRPr="0069669D" w:rsidRDefault="00693E47" w:rsidP="00E149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AA5831" w:rsidP="00E149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577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3E47" w:rsidRPr="0069669D" w:rsidRDefault="00693E47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70B9D" w:rsidRDefault="00C70B9D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Pr="0069669D" w:rsidRDefault="00A3248E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837E2D" w:rsidRPr="0069669D" w:rsidTr="00837E2D">
        <w:tc>
          <w:tcPr>
            <w:tcW w:w="3285" w:type="dxa"/>
          </w:tcPr>
          <w:p w:rsidR="00837E2D" w:rsidRPr="0069669D" w:rsidRDefault="00837E2D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 альтернативи</w:t>
            </w:r>
          </w:p>
        </w:tc>
        <w:tc>
          <w:tcPr>
            <w:tcW w:w="3285" w:type="dxa"/>
          </w:tcPr>
          <w:p w:rsidR="00837E2D" w:rsidRPr="0069669D" w:rsidRDefault="00837E2D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Вигоди</w:t>
            </w:r>
          </w:p>
        </w:tc>
        <w:tc>
          <w:tcPr>
            <w:tcW w:w="3285" w:type="dxa"/>
          </w:tcPr>
          <w:p w:rsidR="00837E2D" w:rsidRPr="0069669D" w:rsidRDefault="00837E2D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</w:tr>
      <w:tr w:rsidR="00837E2D" w:rsidRPr="0069669D" w:rsidTr="00837E2D">
        <w:tc>
          <w:tcPr>
            <w:tcW w:w="3285" w:type="dxa"/>
          </w:tcPr>
          <w:p w:rsidR="00837E2D" w:rsidRPr="0069669D" w:rsidRDefault="00837E2D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22731128"/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1</w:t>
            </w:r>
          </w:p>
        </w:tc>
        <w:tc>
          <w:tcPr>
            <w:tcW w:w="3285" w:type="dxa"/>
          </w:tcPr>
          <w:p w:rsidR="00837E2D" w:rsidRPr="0069669D" w:rsidRDefault="00837E2D" w:rsidP="00837E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224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береж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ення пасажиропотоку на існуючому рівні</w:t>
            </w:r>
          </w:p>
        </w:tc>
        <w:tc>
          <w:tcPr>
            <w:tcW w:w="3285" w:type="dxa"/>
          </w:tcPr>
          <w:p w:rsidR="00837E2D" w:rsidRPr="0069669D" w:rsidRDefault="00B261E1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37E2D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корочення ведення господарської діяльності або взагалі закриття</w:t>
            </w:r>
          </w:p>
        </w:tc>
      </w:tr>
      <w:tr w:rsidR="00837E2D" w:rsidRPr="0069669D" w:rsidTr="00837E2D">
        <w:tc>
          <w:tcPr>
            <w:tcW w:w="3285" w:type="dxa"/>
          </w:tcPr>
          <w:p w:rsidR="00837E2D" w:rsidRPr="0069669D" w:rsidRDefault="00837E2D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2</w:t>
            </w:r>
          </w:p>
        </w:tc>
        <w:tc>
          <w:tcPr>
            <w:tcW w:w="3285" w:type="dxa"/>
          </w:tcPr>
          <w:p w:rsidR="00837E2D" w:rsidRPr="0069669D" w:rsidRDefault="00837E2D" w:rsidP="00837E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Отримання  максимального </w:t>
            </w:r>
          </w:p>
          <w:p w:rsidR="00837E2D" w:rsidRPr="0069669D" w:rsidRDefault="00837E2D" w:rsidP="00837E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прибутку,  підвищення </w:t>
            </w:r>
          </w:p>
          <w:p w:rsidR="00837E2D" w:rsidRPr="0069669D" w:rsidRDefault="00837E2D" w:rsidP="00837E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рентабельності, розширення  парку  транспортних засобів.</w:t>
            </w:r>
          </w:p>
        </w:tc>
        <w:tc>
          <w:tcPr>
            <w:tcW w:w="3285" w:type="dxa"/>
          </w:tcPr>
          <w:p w:rsidR="00837E2D" w:rsidRPr="0069669D" w:rsidRDefault="00837E2D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Відсутні</w:t>
            </w:r>
          </w:p>
        </w:tc>
      </w:tr>
      <w:tr w:rsidR="005A5441" w:rsidRPr="0069669D" w:rsidTr="00837E2D">
        <w:tc>
          <w:tcPr>
            <w:tcW w:w="3285" w:type="dxa"/>
          </w:tcPr>
          <w:p w:rsidR="005A5441" w:rsidRPr="0069669D" w:rsidRDefault="005A5441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Альтернатива </w:t>
            </w:r>
            <w:r w:rsid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обслуговує  міські тролейбусні маршрути  та пасажирів;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приведення  тарифу  на  перевезення  пасажирів  у  міському електротранспорті  до економічно обґрунтованого рівня;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збереження ринку соціально важливої послуги пасажирських перевезень на міських електричних маршрутах;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lastRenderedPageBreak/>
              <w:t xml:space="preserve">- забезпечення  безпечного  функціонування  електротранспорту  загального користування;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підтримання  рівня  обслуговування  пасажирів,  фінансового  стану комунального підприємства; </w:t>
            </w:r>
          </w:p>
          <w:p w:rsidR="005A5441" w:rsidRPr="0069669D" w:rsidRDefault="005A5441" w:rsidP="005A544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збільшення ефективності використання рухомого складу.</w:t>
            </w:r>
          </w:p>
          <w:p w:rsidR="005A5441" w:rsidRPr="0069669D" w:rsidRDefault="005A5441" w:rsidP="005A54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5A5441" w:rsidRPr="0069669D" w:rsidRDefault="00EE43D7" w:rsidP="008274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7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lastRenderedPageBreak/>
              <w:t>349524,62</w:t>
            </w:r>
            <w:r w:rsidR="004C1F3A" w:rsidRPr="00BE7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грн.</w:t>
            </w:r>
          </w:p>
        </w:tc>
      </w:tr>
      <w:bookmarkEnd w:id="1"/>
    </w:tbl>
    <w:p w:rsidR="009C3F62" w:rsidRPr="0069669D" w:rsidRDefault="009C3F62" w:rsidP="009C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3F62" w:rsidRDefault="009C3F62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B261E1" w:rsidTr="00B261E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>Сумарні витрати за альтернативами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 xml:space="preserve"> Сума витрат, гривень</w:t>
            </w:r>
          </w:p>
        </w:tc>
      </w:tr>
      <w:tr w:rsidR="00B261E1" w:rsidTr="00B261E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>Альтернатива 1    Сумарні витрати для суб’єктів господарювання великого і середнього підприємництва  згідно з додатком 2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підприємництва, які виникають внаслідок дії регуляторного акта)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C4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1E1" w:rsidTr="00B261E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>Альтернатива 2 Сумарні витрати для суб’єктів господарювання великого і середнього підприємництва  згідно з додатком 2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підприємництва, які виникають внаслідок дії регуляторного акта)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1E1" w:rsidTr="00B261E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1E1">
              <w:rPr>
                <w:rFonts w:ascii="Times New Roman" w:hAnsi="Times New Roman" w:cs="Times New Roman"/>
                <w:sz w:val="24"/>
                <w:szCs w:val="24"/>
              </w:rPr>
              <w:t xml:space="preserve">    Сумарні витрати для суб’єктів господарювання великого і середнього підприємництва  згідно з додатком 2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підприємництва, які виникають внаслідок дії регуляторного акта)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1" w:rsidRPr="00B261E1" w:rsidRDefault="00B2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  <w:r w:rsidR="004C1F3A" w:rsidRPr="00BE79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грн.</w:t>
            </w:r>
            <w:r w:rsidR="004C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61E1" w:rsidRDefault="00B261E1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A7B89" w:rsidRDefault="002A7B89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A7B89" w:rsidRDefault="002A7B89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A7B89" w:rsidRDefault="002A7B89" w:rsidP="0082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F2542F" w:rsidRPr="000765E4" w:rsidRDefault="009C3F62" w:rsidP="00AA583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 найбільш оптимального альтернативного способу досягнення цілей</w:t>
      </w:r>
    </w:p>
    <w:p w:rsidR="009C3F62" w:rsidRPr="000765E4" w:rsidRDefault="009C3F62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9C3F62" w:rsidRPr="0069669D" w:rsidTr="009C3F62">
        <w:tc>
          <w:tcPr>
            <w:tcW w:w="3285" w:type="dxa"/>
          </w:tcPr>
          <w:p w:rsidR="009C3F62" w:rsidRPr="0069669D" w:rsidRDefault="009C3F62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Рейтинг результативності 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(досягнення цілей під час вирішення проблеми)</w:t>
            </w:r>
          </w:p>
        </w:tc>
        <w:tc>
          <w:tcPr>
            <w:tcW w:w="3285" w:type="dxa"/>
          </w:tcPr>
          <w:p w:rsidR="009C3F62" w:rsidRPr="0069669D" w:rsidRDefault="008B7FD5" w:rsidP="008B7F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Бал результативності (за 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чотирибальною системою оцінки)</w:t>
            </w:r>
          </w:p>
        </w:tc>
        <w:tc>
          <w:tcPr>
            <w:tcW w:w="3285" w:type="dxa"/>
          </w:tcPr>
          <w:p w:rsidR="009C3F62" w:rsidRPr="0069669D" w:rsidRDefault="008B7FD5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Коментарі щодо присвоєння 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відповідного бала</w:t>
            </w:r>
          </w:p>
        </w:tc>
      </w:tr>
      <w:tr w:rsidR="009C3F62" w:rsidRPr="0069669D" w:rsidTr="009C3F62">
        <w:tc>
          <w:tcPr>
            <w:tcW w:w="3285" w:type="dxa"/>
          </w:tcPr>
          <w:p w:rsidR="009C3F62" w:rsidRPr="0069669D" w:rsidRDefault="0018243F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Альтернатива 1</w:t>
            </w:r>
          </w:p>
        </w:tc>
        <w:tc>
          <w:tcPr>
            <w:tcW w:w="3285" w:type="dxa"/>
          </w:tcPr>
          <w:p w:rsidR="009C3F62" w:rsidRPr="0069669D" w:rsidRDefault="00067AD2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9C3F62" w:rsidRPr="0069669D" w:rsidRDefault="00067AD2" w:rsidP="009444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Отримання збитку від основного виду діяльності, що призведе до скорочення ведення господарської діяльності або взагалі закриття, але забезпечить пасажиропотік на існуючому рівні</w:t>
            </w:r>
            <w:r w:rsidR="009444FA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 часткову  задоволеність пасажирів</w:t>
            </w:r>
          </w:p>
        </w:tc>
      </w:tr>
      <w:tr w:rsidR="009C3F62" w:rsidRPr="0069669D" w:rsidTr="009C3F62">
        <w:tc>
          <w:tcPr>
            <w:tcW w:w="3285" w:type="dxa"/>
          </w:tcPr>
          <w:p w:rsidR="009C3F62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2</w:t>
            </w:r>
          </w:p>
        </w:tc>
        <w:tc>
          <w:tcPr>
            <w:tcW w:w="3285" w:type="dxa"/>
          </w:tcPr>
          <w:p w:rsidR="009C3F62" w:rsidRPr="0069669D" w:rsidRDefault="00F90313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9C3F62" w:rsidRPr="0069669D" w:rsidRDefault="009444FA" w:rsidP="00693E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Задовільнить як перевізників так і пасажирів. Проте </w:t>
            </w:r>
            <w:r w:rsidR="00693E47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є не підйомним для</w:t>
            </w: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міського бюджету  </w:t>
            </w:r>
          </w:p>
        </w:tc>
      </w:tr>
      <w:tr w:rsidR="005A5441" w:rsidRPr="0069669D" w:rsidTr="009C3F62">
        <w:tc>
          <w:tcPr>
            <w:tcW w:w="3285" w:type="dxa"/>
          </w:tcPr>
          <w:p w:rsidR="005A5441" w:rsidRPr="0069669D" w:rsidRDefault="005A5441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Альтернатива </w:t>
            </w:r>
            <w:r w:rsid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5A5441" w:rsidRPr="0069669D" w:rsidRDefault="000A188E" w:rsidP="009C3F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обслуговує  міські тролейбусні маршрути  та пасажирів; </w:t>
            </w:r>
          </w:p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приведення  тарифу  на  перевезення  пасажирів  у  міському електротранспорті  до економічно обґрунтованого рівня; </w:t>
            </w:r>
          </w:p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збереження ринку соціально важливої послуги пасажирських перевезень на міських електричних маршрутах; </w:t>
            </w:r>
          </w:p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забезпечення  безпечного  функціонування  електротранспорту  загального користування; </w:t>
            </w:r>
          </w:p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підтримання  рівня  обслуговування  пасажирів,  фінансового  стану комунального підприємства; </w:t>
            </w:r>
          </w:p>
          <w:p w:rsidR="000A188E" w:rsidRPr="0069669D" w:rsidRDefault="000A188E" w:rsidP="000A188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збільшення ефективності використання рухомого складу.</w:t>
            </w:r>
          </w:p>
          <w:p w:rsidR="005A5441" w:rsidRPr="0069669D" w:rsidRDefault="005A5441" w:rsidP="00F903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C3F62" w:rsidRDefault="009C3F62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bookmarkEnd w:id="0"/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248E" w:rsidRPr="0069669D" w:rsidRDefault="00A3248E" w:rsidP="009C3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26"/>
        <w:gridCol w:w="2380"/>
        <w:gridCol w:w="2380"/>
        <w:gridCol w:w="2443"/>
      </w:tblGrid>
      <w:tr w:rsidR="0018243F" w:rsidRPr="0069669D" w:rsidTr="00C00FF7">
        <w:tc>
          <w:tcPr>
            <w:tcW w:w="2426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2380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Вигоди (підсумок)</w:t>
            </w:r>
          </w:p>
        </w:tc>
        <w:tc>
          <w:tcPr>
            <w:tcW w:w="2380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Витрати (підсумок)</w:t>
            </w:r>
          </w:p>
        </w:tc>
        <w:tc>
          <w:tcPr>
            <w:tcW w:w="2443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C00FF7" w:rsidRPr="0069669D" w:rsidTr="00C00FF7">
        <w:tc>
          <w:tcPr>
            <w:tcW w:w="2426" w:type="dxa"/>
          </w:tcPr>
          <w:p w:rsidR="00C00FF7" w:rsidRPr="0069669D" w:rsidRDefault="00C00FF7" w:rsidP="00C00F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Альтернатива 1</w:t>
            </w:r>
          </w:p>
        </w:tc>
        <w:tc>
          <w:tcPr>
            <w:tcW w:w="2380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Забезпечення пасажиропотоку на існуючому рівні</w:t>
            </w:r>
          </w:p>
        </w:tc>
        <w:tc>
          <w:tcPr>
            <w:tcW w:w="2380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Отримання збитку від основного виду діяльності, що призведе до скорочення ведення господарської діяльності або взагалі закриття</w:t>
            </w:r>
          </w:p>
        </w:tc>
        <w:tc>
          <w:tcPr>
            <w:tcW w:w="2443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Отримання збитку від основного виду діяльності, що призведе до скорочення ведення господарської діяльності або взагалі закриття, але забезпечить пасажиропотік на існуючому рівні та часткову  задоволеність пасажирів</w:t>
            </w:r>
          </w:p>
        </w:tc>
      </w:tr>
      <w:tr w:rsidR="00C00FF7" w:rsidRPr="0069669D" w:rsidTr="00C00FF7">
        <w:tc>
          <w:tcPr>
            <w:tcW w:w="2426" w:type="dxa"/>
          </w:tcPr>
          <w:p w:rsidR="00C00FF7" w:rsidRPr="0069669D" w:rsidRDefault="00C00FF7" w:rsidP="00C00F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2</w:t>
            </w:r>
          </w:p>
        </w:tc>
        <w:tc>
          <w:tcPr>
            <w:tcW w:w="2380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Отримання  максимального </w:t>
            </w:r>
          </w:p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прибутку,  підвищення </w:t>
            </w:r>
          </w:p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рентабельності, розширення  парку  транспортних засобів.</w:t>
            </w:r>
          </w:p>
        </w:tc>
        <w:tc>
          <w:tcPr>
            <w:tcW w:w="2380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Відсутні</w:t>
            </w:r>
          </w:p>
        </w:tc>
        <w:tc>
          <w:tcPr>
            <w:tcW w:w="2443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Задовільнить як перевізників так і пасажирів. Проте ляже тяжким тягарем на плечі міського бюджету  </w:t>
            </w:r>
          </w:p>
        </w:tc>
      </w:tr>
      <w:tr w:rsidR="00C00FF7" w:rsidRPr="0069669D" w:rsidTr="00C00FF7">
        <w:tc>
          <w:tcPr>
            <w:tcW w:w="2426" w:type="dxa"/>
          </w:tcPr>
          <w:p w:rsidR="00C00FF7" w:rsidRPr="0069669D" w:rsidRDefault="00C00FF7" w:rsidP="00C00F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забезпечення  балансу  інтересів  перевізника,  що  обслуговує  міські тролейбусні маршрути  та пасажирів;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приведення  тарифу  на  перевезення  пасажирів  у  міському електротранспорті  до економічно обґрунтованого рівня;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збереження ринку соціально важливої послуги пасажирських перевезень на міських електричних маршрутах;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забезпечення  безпечного  функціонування  електротранспорту  загального користування;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 підтримання  рівня  обслуговування  пасажирів,  </w:t>
            </w:r>
            <w:r w:rsidRPr="0069669D">
              <w:rPr>
                <w:lang w:val="uk-UA"/>
              </w:rPr>
              <w:lastRenderedPageBreak/>
              <w:t xml:space="preserve">фінансового  стану комунального підприємства;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збільшення ефективності використання рухомого складу.</w:t>
            </w:r>
          </w:p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0FF7" w:rsidRPr="0069669D" w:rsidRDefault="00C00FF7" w:rsidP="00C00F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Відсутні</w:t>
            </w:r>
          </w:p>
        </w:tc>
        <w:tc>
          <w:tcPr>
            <w:tcW w:w="2443" w:type="dxa"/>
          </w:tcPr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забезпеч</w:t>
            </w:r>
            <w:r>
              <w:rPr>
                <w:lang w:val="uk-UA"/>
              </w:rPr>
              <w:t>ить</w:t>
            </w:r>
            <w:r w:rsidRPr="0069669D">
              <w:rPr>
                <w:lang w:val="uk-UA"/>
              </w:rPr>
              <w:t xml:space="preserve">  баланс  інтересів  перевізника,  що  обслуговує  міські тролейбусні маршрути  та пасажирів;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 xml:space="preserve">- приведе  тариф  на  перевезення  пасажирів  у  міському електротранспорті  до економічно обґрунтованого рівня;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збереже рин</w:t>
            </w:r>
            <w:r>
              <w:rPr>
                <w:lang w:val="uk-UA"/>
              </w:rPr>
              <w:t>о</w:t>
            </w:r>
            <w:r w:rsidRPr="0069669D">
              <w:rPr>
                <w:lang w:val="uk-UA"/>
              </w:rPr>
              <w:t xml:space="preserve">к соціально важливої послуги пасажирських перевезень на міських електричних маршрутах;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забезпеч</w:t>
            </w:r>
            <w:r>
              <w:rPr>
                <w:lang w:val="uk-UA"/>
              </w:rPr>
              <w:t>ить</w:t>
            </w:r>
            <w:r w:rsidRPr="0069669D">
              <w:rPr>
                <w:lang w:val="uk-UA"/>
              </w:rPr>
              <w:t xml:space="preserve">  безпечного  функціонування  електротранспорту  загального користування;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 підтрима</w:t>
            </w:r>
            <w:r>
              <w:rPr>
                <w:lang w:val="uk-UA"/>
              </w:rPr>
              <w:t>є</w:t>
            </w:r>
            <w:r w:rsidRPr="0069669D">
              <w:rPr>
                <w:lang w:val="uk-UA"/>
              </w:rPr>
              <w:t xml:space="preserve">  рів</w:t>
            </w:r>
            <w:r>
              <w:rPr>
                <w:lang w:val="uk-UA"/>
              </w:rPr>
              <w:t>е</w:t>
            </w:r>
            <w:r w:rsidRPr="0069669D">
              <w:rPr>
                <w:lang w:val="uk-UA"/>
              </w:rPr>
              <w:t>н</w:t>
            </w:r>
            <w:r>
              <w:rPr>
                <w:lang w:val="uk-UA"/>
              </w:rPr>
              <w:t>ь</w:t>
            </w:r>
            <w:r w:rsidRPr="0069669D">
              <w:rPr>
                <w:lang w:val="uk-UA"/>
              </w:rPr>
              <w:t xml:space="preserve">  обслуговування  пасажирів,  фінансового  стану </w:t>
            </w:r>
            <w:r w:rsidRPr="0069669D">
              <w:rPr>
                <w:lang w:val="uk-UA"/>
              </w:rPr>
              <w:lastRenderedPageBreak/>
              <w:t xml:space="preserve">комунального підприємства; </w:t>
            </w:r>
          </w:p>
          <w:p w:rsidR="00C00FF7" w:rsidRPr="0069669D" w:rsidRDefault="00C00FF7" w:rsidP="00C00FF7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69669D">
              <w:rPr>
                <w:lang w:val="uk-UA"/>
              </w:rPr>
              <w:t>- збільш</w:t>
            </w:r>
            <w:r>
              <w:rPr>
                <w:lang w:val="uk-UA"/>
              </w:rPr>
              <w:t xml:space="preserve">ить </w:t>
            </w:r>
            <w:r w:rsidRPr="0069669D">
              <w:rPr>
                <w:lang w:val="uk-UA"/>
              </w:rPr>
              <w:t>ефективні</w:t>
            </w:r>
            <w:r>
              <w:rPr>
                <w:lang w:val="uk-UA"/>
              </w:rPr>
              <w:t>сть</w:t>
            </w:r>
            <w:r w:rsidRPr="0069669D">
              <w:rPr>
                <w:lang w:val="uk-UA"/>
              </w:rPr>
              <w:t xml:space="preserve"> використання рухомого складу.</w:t>
            </w:r>
          </w:p>
          <w:p w:rsidR="00C00FF7" w:rsidRPr="0069669D" w:rsidRDefault="00C00FF7" w:rsidP="00C00F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243F" w:rsidRPr="0069669D" w:rsidRDefault="0018243F" w:rsidP="0018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18243F" w:rsidRPr="0069669D" w:rsidTr="0018243F">
        <w:tc>
          <w:tcPr>
            <w:tcW w:w="3285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3285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85" w:type="dxa"/>
          </w:tcPr>
          <w:p w:rsidR="0018243F" w:rsidRPr="0069669D" w:rsidRDefault="0018243F" w:rsidP="001824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8243F" w:rsidRPr="0069669D" w:rsidTr="0018243F">
        <w:tc>
          <w:tcPr>
            <w:tcW w:w="3285" w:type="dxa"/>
          </w:tcPr>
          <w:p w:rsidR="0018243F" w:rsidRPr="0069669D" w:rsidRDefault="0018243F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1</w:t>
            </w:r>
          </w:p>
        </w:tc>
        <w:tc>
          <w:tcPr>
            <w:tcW w:w="3285" w:type="dxa"/>
          </w:tcPr>
          <w:p w:rsidR="0018243F" w:rsidRPr="0069669D" w:rsidRDefault="006D7B86" w:rsidP="009313D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Відмова</w:t>
            </w:r>
            <w:r w:rsidR="00E80A9E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 Даний варіант призведе до </w:t>
            </w:r>
            <w:r w:rsidR="009313D4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збитковості підприємства та </w:t>
            </w:r>
            <w:r w:rsidR="00E80A9E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зупинки електричного транспорту </w:t>
            </w:r>
          </w:p>
        </w:tc>
        <w:tc>
          <w:tcPr>
            <w:tcW w:w="3285" w:type="dxa"/>
          </w:tcPr>
          <w:p w:rsidR="0018243F" w:rsidRPr="0069669D" w:rsidRDefault="0018243F" w:rsidP="001824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B86" w:rsidRPr="0069669D" w:rsidTr="0018243F">
        <w:tc>
          <w:tcPr>
            <w:tcW w:w="3285" w:type="dxa"/>
          </w:tcPr>
          <w:p w:rsidR="006D7B86" w:rsidRPr="0069669D" w:rsidRDefault="006D7B86" w:rsidP="005A5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 2</w:t>
            </w:r>
          </w:p>
        </w:tc>
        <w:tc>
          <w:tcPr>
            <w:tcW w:w="3285" w:type="dxa"/>
          </w:tcPr>
          <w:p w:rsidR="006D7B86" w:rsidRPr="0069669D" w:rsidRDefault="006D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Відмова</w:t>
            </w:r>
            <w:r w:rsidR="003216E8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Міський бюджет витрачає суттєві кошти для покриття втрат від перевезення пасажирів </w:t>
            </w:r>
            <w:r w:rsidR="001F2BA5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3216E8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2BA5"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пільговиків та пільгового перевезення учнів/студентів </w:t>
            </w:r>
          </w:p>
        </w:tc>
        <w:tc>
          <w:tcPr>
            <w:tcW w:w="3285" w:type="dxa"/>
          </w:tcPr>
          <w:p w:rsidR="006D7B86" w:rsidRPr="0069669D" w:rsidRDefault="006D7B86" w:rsidP="001824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48A" w:rsidRPr="0069669D" w:rsidTr="0018243F">
        <w:tc>
          <w:tcPr>
            <w:tcW w:w="3285" w:type="dxa"/>
          </w:tcPr>
          <w:p w:rsidR="005F348A" w:rsidRPr="0069669D" w:rsidRDefault="005F348A" w:rsidP="005F34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6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Альтернатива </w:t>
            </w:r>
            <w:r w:rsid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5F348A" w:rsidRPr="0069669D" w:rsidRDefault="005644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Єдиний можливий варіант роботи та розвитку електротранспорту міста</w:t>
            </w:r>
          </w:p>
        </w:tc>
        <w:tc>
          <w:tcPr>
            <w:tcW w:w="3285" w:type="dxa"/>
          </w:tcPr>
          <w:p w:rsidR="00AB5553" w:rsidRPr="00AB5553" w:rsidRDefault="00AB5553" w:rsidP="00AB55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Зміни умов виробничої</w:t>
            </w:r>
          </w:p>
          <w:p w:rsidR="00AB5553" w:rsidRPr="00AB5553" w:rsidRDefault="00AB5553" w:rsidP="00AB55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діяльності та реалізації</w:t>
            </w:r>
          </w:p>
          <w:p w:rsidR="00AB5553" w:rsidRPr="00AB5553" w:rsidRDefault="00AB5553" w:rsidP="00AB55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послуг, що не залежать</w:t>
            </w:r>
          </w:p>
          <w:p w:rsidR="00AB5553" w:rsidRPr="00AB5553" w:rsidRDefault="00AB5553" w:rsidP="00AB55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 господарської</w:t>
            </w:r>
          </w:p>
          <w:p w:rsidR="005F348A" w:rsidRPr="0069669D" w:rsidRDefault="00AB5553" w:rsidP="00AB55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діяльності перевізників</w:t>
            </w:r>
          </w:p>
        </w:tc>
      </w:tr>
    </w:tbl>
    <w:p w:rsidR="000765E4" w:rsidRDefault="000765E4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BD3262" w:rsidP="00BD3262">
      <w:pPr>
        <w:pStyle w:val="a7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0765E4" w:rsidRPr="00BD3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Механізми та заходи, які забезпечать розв’язання визначеної проблеми</w:t>
      </w:r>
    </w:p>
    <w:p w:rsidR="000765E4" w:rsidRDefault="000765E4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63C" w:rsidRPr="000765E4" w:rsidRDefault="00D43F35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="0089663C" w:rsidRPr="000765E4">
        <w:rPr>
          <w:rFonts w:ascii="Times New Roman" w:hAnsi="Times New Roman" w:cs="Times New Roman"/>
          <w:sz w:val="26"/>
          <w:szCs w:val="26"/>
        </w:rPr>
        <w:t xml:space="preserve">Для досягнення цілей, визначених аналізом впливу регуляторного акта, пропонується прийняття виконавчим комітетом </w:t>
      </w:r>
      <w:bookmarkStart w:id="2" w:name="_Hlk22720347"/>
      <w:r w:rsidR="0089663C" w:rsidRPr="000765E4">
        <w:rPr>
          <w:rFonts w:ascii="Times New Roman" w:hAnsi="Times New Roman" w:cs="Times New Roman"/>
          <w:sz w:val="26"/>
          <w:szCs w:val="26"/>
        </w:rPr>
        <w:t>Тернопільської міської  ради рішення «Про забезпечення роботи  міського електричного транспорту»</w:t>
      </w:r>
      <w:bookmarkEnd w:id="2"/>
      <w:r w:rsidR="0089663C" w:rsidRPr="000765E4">
        <w:rPr>
          <w:rFonts w:ascii="Times New Roman" w:hAnsi="Times New Roman" w:cs="Times New Roman"/>
          <w:sz w:val="26"/>
          <w:szCs w:val="26"/>
        </w:rPr>
        <w:t xml:space="preserve">, яким встановлюється тариф на перевезення пасажирів міським електричним транспортом – тролейбусом, що здійснюється </w:t>
      </w:r>
      <w:bookmarkStart w:id="3" w:name="_Hlk22720407"/>
      <w:proofErr w:type="spellStart"/>
      <w:r w:rsidR="0089663C" w:rsidRPr="000765E4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="0089663C" w:rsidRPr="000765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9663C" w:rsidRPr="000765E4">
        <w:rPr>
          <w:rFonts w:ascii="Times New Roman" w:hAnsi="Times New Roman" w:cs="Times New Roman"/>
          <w:sz w:val="26"/>
          <w:szCs w:val="26"/>
        </w:rPr>
        <w:t>Тернопільелектротранс</w:t>
      </w:r>
      <w:proofErr w:type="spellEnd"/>
      <w:r w:rsidR="0089663C" w:rsidRPr="000765E4">
        <w:rPr>
          <w:rFonts w:ascii="Times New Roman" w:hAnsi="Times New Roman" w:cs="Times New Roman"/>
          <w:sz w:val="26"/>
          <w:szCs w:val="26"/>
        </w:rPr>
        <w:t>»</w:t>
      </w:r>
      <w:bookmarkEnd w:id="3"/>
      <w:r w:rsidR="0089663C" w:rsidRPr="000765E4">
        <w:rPr>
          <w:rFonts w:ascii="Times New Roman" w:hAnsi="Times New Roman" w:cs="Times New Roman"/>
          <w:sz w:val="26"/>
          <w:szCs w:val="26"/>
        </w:rPr>
        <w:t>, що забезпечить потребу у якісному та безпечному перевезенні, покращить фінансовий стан підприємства.</w:t>
      </w:r>
    </w:p>
    <w:p w:rsidR="00A3248E" w:rsidRPr="000765E4" w:rsidRDefault="002A7B89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 метою приведення у відповідність з економічно обґрунтованими витратами діючого тарифу на послугу з перевезення пасажирів, комунальним підприємством «</w:t>
      </w:r>
      <w:proofErr w:type="spellStart"/>
      <w:r w:rsidRPr="00076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Тернопільелектротранс</w:t>
      </w:r>
      <w:proofErr w:type="spellEnd"/>
      <w:r w:rsidRPr="000765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 виконані розрахунки тарифу</w:t>
      </w:r>
    </w:p>
    <w:p w:rsidR="00A3248E" w:rsidRPr="000765E4" w:rsidRDefault="00A3248E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550" w:type="dxa"/>
        <w:tblInd w:w="96" w:type="dxa"/>
        <w:tblLook w:val="04A0"/>
      </w:tblPr>
      <w:tblGrid>
        <w:gridCol w:w="3934"/>
        <w:gridCol w:w="972"/>
        <w:gridCol w:w="2677"/>
      </w:tblGrid>
      <w:tr w:rsidR="00CB489D" w:rsidRPr="000765E4" w:rsidTr="00A3248E">
        <w:trPr>
          <w:trHeight w:val="509"/>
        </w:trPr>
        <w:tc>
          <w:tcPr>
            <w:tcW w:w="755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Розрахунок тарифу на надання послуг з перевезення пасажирів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Тернопільелектротранс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на 20</w:t>
            </w:r>
            <w:r w:rsidR="00042A3F"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  <w:p w:rsidR="000765E4" w:rsidRPr="006A65A6" w:rsidRDefault="000765E4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89D" w:rsidRPr="000765E4" w:rsidTr="00A3248E">
        <w:trPr>
          <w:trHeight w:val="509"/>
        </w:trPr>
        <w:tc>
          <w:tcPr>
            <w:tcW w:w="75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89D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од.вим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FF7" w:rsidRPr="006A65A6" w:rsidRDefault="00C00FF7" w:rsidP="0004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До плану 20</w:t>
            </w:r>
            <w:r w:rsidR="00042A3F"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Пробіг рухомого складу(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тис.маш.км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2368,19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Прямі витрати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75348,11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т.ч.електроенергія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21986,8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водії-конд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43738,86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Нарахув.на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праці(22%)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9622,53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прямі витрати (СРС,мех.)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47414,18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т.ч.оплата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рем.персоналу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26073,06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Нарахув.на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праці (22%)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5736,07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5060,4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Витрати на огляд,ремонт)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10544,64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Загальновиробн.витрати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12628,32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-на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утрим.апаратуупр.виробн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.), 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10920,23</w:t>
            </w:r>
          </w:p>
        </w:tc>
      </w:tr>
      <w:tr w:rsidR="00477F30" w:rsidRPr="000765E4" w:rsidTr="00A3248E">
        <w:trPr>
          <w:trHeight w:val="5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-на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обслуг.виробн.процесом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(вода,медогляд,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1708,08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собівартість(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135390,61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Адміністративні витрати (в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т.ч.з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7876,42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збут(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інформ.посл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реаліз.проїз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3112,02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операц.витрати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пільг.пенсії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  <w:tr w:rsidR="00477F30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 собівартість(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30" w:rsidRPr="006A65A6" w:rsidRDefault="00477F30" w:rsidP="00477F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147349,05</w:t>
            </w:r>
          </w:p>
        </w:tc>
      </w:tr>
      <w:tr w:rsidR="00CB489D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Собіварт.перевез.1пасажира (грн.)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477F30" w:rsidP="0047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FF7"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21D2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2721D2" w:rsidRPr="006A65A6" w:rsidRDefault="002721D2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Повна планова собівартість 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D2" w:rsidRPr="006A65A6" w:rsidRDefault="002721D2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D2" w:rsidRPr="006A65A6" w:rsidRDefault="002721D2" w:rsidP="00272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147349,05</w:t>
            </w:r>
          </w:p>
        </w:tc>
      </w:tr>
      <w:tr w:rsidR="002721D2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2721D2" w:rsidRPr="006A65A6" w:rsidRDefault="002721D2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Рентабельність (10%)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D2" w:rsidRPr="006A65A6" w:rsidRDefault="002721D2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D2" w:rsidRPr="006A65A6" w:rsidRDefault="002721D2" w:rsidP="00272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14 734,91</w:t>
            </w:r>
          </w:p>
        </w:tc>
      </w:tr>
      <w:tr w:rsidR="002B5FDE" w:rsidRPr="000765E4" w:rsidTr="00A3248E">
        <w:trPr>
          <w:trHeight w:val="5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2B5FDE" w:rsidRPr="006A65A6" w:rsidRDefault="002B5FDE" w:rsidP="002B5F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Прогнозна </w:t>
            </w:r>
            <w:proofErr w:type="spellStart"/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</w:t>
            </w:r>
            <w:proofErr w:type="spellEnd"/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пасажирів прогнозна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DE" w:rsidRPr="006A65A6" w:rsidRDefault="002B5FDE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DE" w:rsidRPr="006A65A6" w:rsidRDefault="002B5FDE" w:rsidP="00272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9090,80</w:t>
            </w:r>
          </w:p>
        </w:tc>
      </w:tr>
      <w:tr w:rsidR="00CB489D" w:rsidRPr="000765E4" w:rsidTr="00A3248E">
        <w:trPr>
          <w:trHeight w:val="5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Чистий дохід</w:t>
            </w: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інших видів діяльності 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D2" w:rsidRPr="006A65A6" w:rsidRDefault="002721D2" w:rsidP="00272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2535,5</w:t>
            </w:r>
          </w:p>
          <w:p w:rsidR="00C00FF7" w:rsidRPr="006A65A6" w:rsidRDefault="00C00FF7" w:rsidP="00C0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9D" w:rsidRPr="000765E4" w:rsidTr="00A3248E">
        <w:trPr>
          <w:trHeight w:val="5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Інвестиційна складова (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.) (Програми)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89D" w:rsidRPr="000765E4" w:rsidTr="00A3248E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«</w:t>
            </w:r>
            <w:proofErr w:type="spellStart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Електротрансу</w:t>
            </w:r>
            <w:proofErr w:type="spellEnd"/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C00FF7" w:rsidP="00C0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FF7" w:rsidRPr="006A65A6" w:rsidRDefault="002721D2" w:rsidP="0027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FF7"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5A6">
              <w:rPr>
                <w:rFonts w:ascii="Times New Roman" w:eastAsia="Times New Roman" w:hAnsi="Times New Roman" w:cs="Times New Roman"/>
                <w:sz w:val="24"/>
                <w:szCs w:val="24"/>
              </w:rPr>
              <w:t>,83</w:t>
            </w:r>
          </w:p>
        </w:tc>
      </w:tr>
    </w:tbl>
    <w:p w:rsidR="00C00FF7" w:rsidRPr="000765E4" w:rsidRDefault="00C00FF7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Розв’язання проблеми шляхом прийняття регуляторного акта відповідатиме принципам державної регуляторної політики: доцільності, адекватності, ефективності, збалансованості, передбачуваності, прозорості та врахування громадської думки.</w:t>
      </w:r>
    </w:p>
    <w:p w:rsidR="00C00FF7" w:rsidRPr="000765E4" w:rsidRDefault="00C00FF7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Організаційні заходи для впровадження регулювання:</w:t>
      </w: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lastRenderedPageBreak/>
        <w:t>- аналіз розрахунків тарифу на перевезення пасажирів міським електричним</w:t>
      </w: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транспортом – тролейбусом, наданих </w:t>
      </w:r>
      <w:proofErr w:type="spellStart"/>
      <w:r w:rsidRPr="000765E4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0765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765E4">
        <w:rPr>
          <w:rFonts w:ascii="Times New Roman" w:hAnsi="Times New Roman" w:cs="Times New Roman"/>
          <w:sz w:val="26"/>
          <w:szCs w:val="26"/>
        </w:rPr>
        <w:t>Тернопільелектротранс</w:t>
      </w:r>
      <w:proofErr w:type="spellEnd"/>
      <w:r w:rsidRPr="000765E4">
        <w:rPr>
          <w:rFonts w:ascii="Times New Roman" w:hAnsi="Times New Roman" w:cs="Times New Roman"/>
          <w:sz w:val="26"/>
          <w:szCs w:val="26"/>
        </w:rPr>
        <w:t>»;</w:t>
      </w: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- розробка регуляторного акта – проекту рішення виконавчого комітету </w:t>
      </w:r>
      <w:r w:rsidR="00AB5553" w:rsidRPr="000765E4">
        <w:rPr>
          <w:rFonts w:ascii="Times New Roman" w:hAnsi="Times New Roman" w:cs="Times New Roman"/>
          <w:sz w:val="26"/>
          <w:szCs w:val="26"/>
        </w:rPr>
        <w:t>Тернопіль</w:t>
      </w:r>
      <w:r w:rsidRPr="000765E4">
        <w:rPr>
          <w:rFonts w:ascii="Times New Roman" w:hAnsi="Times New Roman" w:cs="Times New Roman"/>
          <w:sz w:val="26"/>
          <w:szCs w:val="26"/>
        </w:rPr>
        <w:t>ської</w:t>
      </w:r>
      <w:r w:rsidR="000765E4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 xml:space="preserve">міської ради «Про </w:t>
      </w:r>
      <w:r w:rsidR="00042A3F">
        <w:rPr>
          <w:rFonts w:ascii="Times New Roman" w:hAnsi="Times New Roman" w:cs="Times New Roman"/>
          <w:sz w:val="26"/>
          <w:szCs w:val="26"/>
        </w:rPr>
        <w:t>забезпечення роботи міського електричного транспорту</w:t>
      </w:r>
      <w:r w:rsidRPr="000765E4">
        <w:rPr>
          <w:rFonts w:ascii="Times New Roman" w:hAnsi="Times New Roman" w:cs="Times New Roman"/>
          <w:sz w:val="26"/>
          <w:szCs w:val="26"/>
        </w:rPr>
        <w:t>» та аналізу впливу регуляторного акта, їх</w:t>
      </w:r>
      <w:r w:rsidR="000765E4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>оприлюднення з метою одержання зауважень і пропозицій у спосіб, передбачений</w:t>
      </w:r>
      <w:r w:rsidR="000765E4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>чинним законодавством;</w:t>
      </w: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- проведення громадського обговорення цього проекту регуляторного акта;</w:t>
      </w:r>
    </w:p>
    <w:p w:rsidR="0089663C" w:rsidRPr="000765E4" w:rsidRDefault="0089663C" w:rsidP="00FF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- прийняття виконавчим комітетом Тернопільської міської  ради рішення </w:t>
      </w:r>
      <w:r w:rsidR="00AB5553" w:rsidRPr="000765E4">
        <w:rPr>
          <w:rFonts w:ascii="Times New Roman" w:hAnsi="Times New Roman" w:cs="Times New Roman"/>
          <w:sz w:val="26"/>
          <w:szCs w:val="26"/>
        </w:rPr>
        <w:t>«Про забезпечення роботи  міського електричного транспорту»</w:t>
      </w:r>
      <w:r w:rsidRPr="000765E4">
        <w:rPr>
          <w:rFonts w:ascii="Times New Roman" w:hAnsi="Times New Roman" w:cs="Times New Roman"/>
          <w:sz w:val="26"/>
          <w:szCs w:val="26"/>
        </w:rPr>
        <w:t>.</w:t>
      </w:r>
    </w:p>
    <w:p w:rsidR="00D43F35" w:rsidRPr="000765E4" w:rsidRDefault="00743D55" w:rsidP="00076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Після проведення громадських слухань/обговорень було з’ясовано фінансову  неспроможність населення сплачувати розрахований тариф. Для недопущення соціальної напруги в і так складний для громадян час було вирішено надавати комунальному підприємству фінансову підтримку (як і в попередні періоди) таким чином понизивши вартість</w:t>
      </w:r>
      <w:r w:rsidR="000765E4">
        <w:rPr>
          <w:rFonts w:ascii="Times New Roman" w:hAnsi="Times New Roman" w:cs="Times New Roman"/>
          <w:sz w:val="26"/>
          <w:szCs w:val="26"/>
        </w:rPr>
        <w:t xml:space="preserve">  </w:t>
      </w:r>
      <w:r w:rsidRPr="000765E4">
        <w:rPr>
          <w:rFonts w:ascii="Times New Roman" w:hAnsi="Times New Roman" w:cs="Times New Roman"/>
          <w:sz w:val="26"/>
          <w:szCs w:val="26"/>
        </w:rPr>
        <w:t xml:space="preserve">тарифу до </w:t>
      </w:r>
      <w:r w:rsidR="00B6251E">
        <w:rPr>
          <w:rFonts w:ascii="Times New Roman" w:hAnsi="Times New Roman" w:cs="Times New Roman"/>
          <w:sz w:val="26"/>
          <w:szCs w:val="26"/>
        </w:rPr>
        <w:t>8-9</w:t>
      </w:r>
      <w:r w:rsidRPr="000765E4">
        <w:rPr>
          <w:rFonts w:ascii="Times New Roman" w:hAnsi="Times New Roman" w:cs="Times New Roman"/>
          <w:sz w:val="26"/>
          <w:szCs w:val="26"/>
        </w:rPr>
        <w:t xml:space="preserve"> грн.</w:t>
      </w:r>
      <w:r w:rsidR="0089663C"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="00D43F35" w:rsidRPr="000765E4">
        <w:rPr>
          <w:rFonts w:ascii="Times New Roman" w:hAnsi="Times New Roman" w:cs="Times New Roman"/>
          <w:sz w:val="26"/>
          <w:szCs w:val="26"/>
        </w:rPr>
        <w:t>Виконавчий комітет Тернопільської міської  ради, враховуючи проведений  аналіз розрахунків вартості проїзду,  розглянувши звернення перевізник</w:t>
      </w:r>
      <w:r w:rsidR="0089663C" w:rsidRPr="000765E4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89663C" w:rsidRPr="000765E4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="0089663C" w:rsidRPr="000765E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9663C" w:rsidRPr="000765E4">
        <w:rPr>
          <w:rFonts w:ascii="Times New Roman" w:hAnsi="Times New Roman" w:cs="Times New Roman"/>
          <w:sz w:val="26"/>
          <w:szCs w:val="26"/>
        </w:rPr>
        <w:t>Тернопільелектротранс</w:t>
      </w:r>
      <w:proofErr w:type="spellEnd"/>
      <w:r w:rsidR="0089663C" w:rsidRPr="000765E4">
        <w:rPr>
          <w:rFonts w:ascii="Times New Roman" w:hAnsi="Times New Roman" w:cs="Times New Roman"/>
          <w:sz w:val="26"/>
          <w:szCs w:val="26"/>
        </w:rPr>
        <w:t>»</w:t>
      </w:r>
      <w:r w:rsidR="00D43F35" w:rsidRPr="000765E4">
        <w:rPr>
          <w:rFonts w:ascii="Times New Roman" w:hAnsi="Times New Roman" w:cs="Times New Roman"/>
          <w:sz w:val="26"/>
          <w:szCs w:val="26"/>
        </w:rPr>
        <w:t xml:space="preserve"> міста Тернопіль, виносить на громадське обговорення питання встановлення тарифу на послуги з перевезення пасажирів  у </w:t>
      </w:r>
      <w:r w:rsidR="00C353E8" w:rsidRPr="000765E4">
        <w:rPr>
          <w:rFonts w:ascii="Times New Roman" w:hAnsi="Times New Roman" w:cs="Times New Roman"/>
          <w:sz w:val="26"/>
          <w:szCs w:val="26"/>
        </w:rPr>
        <w:t xml:space="preserve">електричному транспорті в </w:t>
      </w:r>
      <w:r w:rsidR="00D43F35" w:rsidRPr="000765E4">
        <w:rPr>
          <w:rFonts w:ascii="Times New Roman" w:hAnsi="Times New Roman" w:cs="Times New Roman"/>
          <w:sz w:val="26"/>
          <w:szCs w:val="26"/>
        </w:rPr>
        <w:t xml:space="preserve"> розмірі</w:t>
      </w:r>
      <w:r w:rsidR="00BF690A" w:rsidRPr="000765E4">
        <w:rPr>
          <w:rFonts w:ascii="Times New Roman" w:hAnsi="Times New Roman" w:cs="Times New Roman"/>
          <w:sz w:val="26"/>
          <w:szCs w:val="26"/>
        </w:rPr>
        <w:t>:</w:t>
      </w:r>
    </w:p>
    <w:p w:rsidR="00B6251E" w:rsidRPr="00B6251E" w:rsidRDefault="00B6251E" w:rsidP="00B6251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тариф на послуги з перевезення пасажирів електричним транспортом в місті Тернополі - 9,00 грн. за одну поїздку для громадян, чи за перевезення багажу (одне місце) при розрахунку </w:t>
      </w:r>
      <w:proofErr w:type="spellStart"/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неперсоніфікованим</w:t>
      </w:r>
      <w:proofErr w:type="spellEnd"/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проїзним квитком тривалого користування «Електронний квиток», проїзним квитком тривалого користування (ПКТК), безконтактною банківською карткою, пристроєм з технологією NFC або разовим проїзним квитком - за одну поїздку для громадян, чи за перевезення багажу (одне місце);</w:t>
      </w:r>
    </w:p>
    <w:p w:rsidR="00B6251E" w:rsidRPr="00B6251E" w:rsidRDefault="00B6251E" w:rsidP="00B6251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власників електронного квитка «Соціальна карта </w:t>
      </w:r>
      <w:proofErr w:type="spellStart"/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Тернополянина</w:t>
      </w:r>
      <w:proofErr w:type="spellEnd"/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встановити тариф на послуги з перевезення пасажирів електричним транспортом в місті Тернополі:</w:t>
      </w:r>
      <w:r w:rsidRPr="00B625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- 8,00 грн. за одну поїздку для громадян, чи за перевезення багажу (одне місце);</w:t>
      </w:r>
    </w:p>
    <w:p w:rsidR="000765E4" w:rsidRPr="000765E4" w:rsidRDefault="00BF690A" w:rsidP="004335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Виконавчий комітет, керуючись ст.28 Закону України “Про місцеве самоврядування в Україні”, </w:t>
      </w:r>
      <w:r w:rsidR="003A0BA9" w:rsidRPr="000765E4">
        <w:rPr>
          <w:rFonts w:ascii="Times New Roman" w:hAnsi="Times New Roman" w:cs="Times New Roman"/>
          <w:sz w:val="26"/>
          <w:szCs w:val="26"/>
        </w:rPr>
        <w:t>наказу Міністерства інфраструктури України від 25.11.13р. № 940 «Про затвердження Порядку формування тарифів на послуги міського електричного транспорту (трамвай , тролейбус)»,</w:t>
      </w:r>
      <w:r w:rsidRPr="000765E4">
        <w:rPr>
          <w:rFonts w:ascii="Times New Roman" w:hAnsi="Times New Roman" w:cs="Times New Roman"/>
          <w:sz w:val="26"/>
          <w:szCs w:val="26"/>
        </w:rPr>
        <w:t xml:space="preserve"> враховуючи результати громадських обговорень, зауважень та пропозицій до проекту рішення приймає рішення щодо встановлення тарифу.</w:t>
      </w:r>
      <w:r w:rsidR="004335EF"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>Після прийняття рішення підлягає оприлюдненню.</w:t>
      </w:r>
      <w:r w:rsidR="004335EF"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>Регуляторний акт має місцевий характер впливу.</w:t>
      </w:r>
    </w:p>
    <w:p w:rsidR="004335EF" w:rsidRPr="000765E4" w:rsidRDefault="004335EF" w:rsidP="000765E4">
      <w:pPr>
        <w:pStyle w:val="a7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E4">
        <w:rPr>
          <w:rFonts w:ascii="Times New Roman" w:hAnsi="Times New Roman" w:cs="Times New Roman"/>
          <w:b/>
          <w:bCs/>
          <w:sz w:val="28"/>
          <w:szCs w:val="28"/>
        </w:rPr>
        <w:t>Оцінка виконання вимог регуляторного акту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335EF" w:rsidRPr="000765E4" w:rsidRDefault="004335EF" w:rsidP="004335E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765E4" w:rsidRDefault="00AA5831" w:rsidP="000765E4">
      <w:pPr>
        <w:pStyle w:val="a7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Очікуваними результатами прийняття є досягнення, у повному обсязі, визначених цілей державного регулювання.</w:t>
      </w:r>
    </w:p>
    <w:p w:rsidR="0078056E" w:rsidRPr="000765E4" w:rsidRDefault="00AA5831" w:rsidP="000765E4">
      <w:pPr>
        <w:pStyle w:val="a7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Державне регулювання не передбачає утворення нового структурного підрозділу. </w:t>
      </w:r>
      <w:r w:rsidR="0078056E">
        <w:rPr>
          <w:rFonts w:ascii="Times New Roman" w:hAnsi="Times New Roman" w:cs="Times New Roman"/>
          <w:sz w:val="26"/>
          <w:szCs w:val="26"/>
        </w:rPr>
        <w:t>о</w:t>
      </w:r>
      <w:r w:rsidRPr="000765E4">
        <w:rPr>
          <w:rFonts w:ascii="Times New Roman" w:hAnsi="Times New Roman" w:cs="Times New Roman"/>
          <w:sz w:val="26"/>
          <w:szCs w:val="26"/>
        </w:rPr>
        <w:t>рган який несе витрати, пов</w:t>
      </w:r>
      <w:r w:rsidR="00042A3F">
        <w:rPr>
          <w:rFonts w:ascii="Times New Roman" w:hAnsi="Times New Roman" w:cs="Times New Roman"/>
          <w:sz w:val="26"/>
          <w:szCs w:val="26"/>
        </w:rPr>
        <w:t>’</w:t>
      </w:r>
      <w:r w:rsidRPr="000765E4">
        <w:rPr>
          <w:rFonts w:ascii="Times New Roman" w:hAnsi="Times New Roman" w:cs="Times New Roman"/>
          <w:sz w:val="26"/>
          <w:szCs w:val="26"/>
        </w:rPr>
        <w:t xml:space="preserve">язані з розробкою регуляторного акта, контролем за </w:t>
      </w:r>
      <w:r w:rsidRPr="000765E4">
        <w:rPr>
          <w:rFonts w:ascii="Times New Roman" w:hAnsi="Times New Roman" w:cs="Times New Roman"/>
          <w:sz w:val="26"/>
          <w:szCs w:val="26"/>
        </w:rPr>
        <w:lastRenderedPageBreak/>
        <w:t>його виконанням, проведення аналізу та заходів по відстеженню результативності –   управління транспорт</w:t>
      </w:r>
      <w:r w:rsidR="00042A3F">
        <w:rPr>
          <w:rFonts w:ascii="Times New Roman" w:hAnsi="Times New Roman" w:cs="Times New Roman"/>
          <w:sz w:val="26"/>
          <w:szCs w:val="26"/>
        </w:rPr>
        <w:t>них мереж</w:t>
      </w:r>
      <w:r w:rsidRPr="000765E4">
        <w:rPr>
          <w:rFonts w:ascii="Times New Roman" w:hAnsi="Times New Roman" w:cs="Times New Roman"/>
          <w:sz w:val="26"/>
          <w:szCs w:val="26"/>
        </w:rPr>
        <w:t xml:space="preserve"> та зв’язку Тернопільської міської ради</w:t>
      </w:r>
      <w:r w:rsidR="00EE43D7">
        <w:rPr>
          <w:rFonts w:ascii="Times New Roman" w:hAnsi="Times New Roman" w:cs="Times New Roman"/>
          <w:sz w:val="26"/>
          <w:szCs w:val="26"/>
        </w:rPr>
        <w:t>.</w:t>
      </w:r>
    </w:p>
    <w:p w:rsidR="000765E4" w:rsidRDefault="006B6CBF" w:rsidP="000765E4">
      <w:pPr>
        <w:pStyle w:val="a7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У зв</w:t>
      </w:r>
      <w:r w:rsidR="00042A3F">
        <w:rPr>
          <w:rFonts w:ascii="Times New Roman" w:hAnsi="Times New Roman" w:cs="Times New Roman"/>
          <w:sz w:val="26"/>
          <w:szCs w:val="26"/>
        </w:rPr>
        <w:t>’</w:t>
      </w:r>
      <w:r w:rsidRPr="000765E4">
        <w:rPr>
          <w:rFonts w:ascii="Times New Roman" w:hAnsi="Times New Roman" w:cs="Times New Roman"/>
          <w:sz w:val="26"/>
          <w:szCs w:val="26"/>
        </w:rPr>
        <w:t>язку з тим,</w:t>
      </w:r>
      <w:r w:rsidR="0078056E">
        <w:rPr>
          <w:rFonts w:ascii="Times New Roman" w:hAnsi="Times New Roman" w:cs="Times New Roman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sz w:val="26"/>
          <w:szCs w:val="26"/>
        </w:rPr>
        <w:t>що питома вага суб</w:t>
      </w:r>
      <w:r w:rsidR="00042A3F">
        <w:rPr>
          <w:rFonts w:ascii="Times New Roman" w:hAnsi="Times New Roman" w:cs="Times New Roman"/>
          <w:sz w:val="26"/>
          <w:szCs w:val="26"/>
        </w:rPr>
        <w:t>’</w:t>
      </w:r>
      <w:r w:rsidRPr="000765E4">
        <w:rPr>
          <w:rFonts w:ascii="Times New Roman" w:hAnsi="Times New Roman" w:cs="Times New Roman"/>
          <w:sz w:val="26"/>
          <w:szCs w:val="26"/>
        </w:rPr>
        <w:t>єктів малого підприємництва у загальній кількості суб</w:t>
      </w:r>
      <w:r w:rsidR="00042A3F">
        <w:rPr>
          <w:rFonts w:ascii="Times New Roman" w:hAnsi="Times New Roman" w:cs="Times New Roman"/>
          <w:sz w:val="26"/>
          <w:szCs w:val="26"/>
        </w:rPr>
        <w:t>’</w:t>
      </w:r>
      <w:r w:rsidRPr="000765E4">
        <w:rPr>
          <w:rFonts w:ascii="Times New Roman" w:hAnsi="Times New Roman" w:cs="Times New Roman"/>
          <w:sz w:val="26"/>
          <w:szCs w:val="26"/>
        </w:rPr>
        <w:t>єктів господарювання на яких поширюється регулювання, становить 99%, розрахунок витрат суб</w:t>
      </w:r>
      <w:r w:rsidR="00042A3F">
        <w:rPr>
          <w:rFonts w:ascii="Times New Roman" w:hAnsi="Times New Roman" w:cs="Times New Roman"/>
          <w:sz w:val="26"/>
          <w:szCs w:val="26"/>
        </w:rPr>
        <w:t>’</w:t>
      </w:r>
      <w:r w:rsidRPr="000765E4">
        <w:rPr>
          <w:rFonts w:ascii="Times New Roman" w:hAnsi="Times New Roman" w:cs="Times New Roman"/>
          <w:sz w:val="26"/>
          <w:szCs w:val="26"/>
        </w:rPr>
        <w:t>єктів господарювання здійснено згідно з М-тестом (Додаток №1).</w:t>
      </w:r>
    </w:p>
    <w:p w:rsidR="006B6CBF" w:rsidRPr="0069669D" w:rsidRDefault="006B6CBF" w:rsidP="0023213D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65E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Розрахунок витрат на одного суб’єкта господарювання великого і середнього підприємництва проведено у Додатку №</w:t>
      </w:r>
      <w:r w:rsidR="00EE4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765E4">
        <w:rPr>
          <w:rFonts w:ascii="Times New Roman" w:hAnsi="Times New Roman" w:cs="Times New Roman"/>
          <w:bCs/>
          <w:color w:val="000000"/>
          <w:sz w:val="26"/>
          <w:szCs w:val="26"/>
        </w:rPr>
        <w:t>2 до АРВ.</w:t>
      </w:r>
    </w:p>
    <w:p w:rsidR="000E254C" w:rsidRPr="0069669D" w:rsidRDefault="000E254C" w:rsidP="000E254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CBF" w:rsidRDefault="006B6CBF" w:rsidP="00FD0AA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CBF" w:rsidRDefault="006B6CBF" w:rsidP="000765E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запропонованого строку дії регуляторного акта</w:t>
      </w:r>
    </w:p>
    <w:p w:rsidR="000765E4" w:rsidRPr="000765E4" w:rsidRDefault="000765E4" w:rsidP="000765E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0AAA" w:rsidRDefault="00FD0AAA" w:rsidP="000765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Термін дії запропонованого регуляторного акта необмежений</w:t>
      </w:r>
      <w:r w:rsidR="00DA213B" w:rsidRPr="00DA21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A213B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="00DA213B">
        <w:rPr>
          <w:rFonts w:ascii="Times New Roman" w:hAnsi="Times New Roman" w:cs="Times New Roman"/>
          <w:sz w:val="26"/>
          <w:szCs w:val="26"/>
          <w:lang w:val="ru-RU"/>
        </w:rPr>
        <w:t>постійний</w:t>
      </w:r>
      <w:proofErr w:type="spellEnd"/>
      <w:r w:rsidRPr="000765E4">
        <w:rPr>
          <w:rFonts w:ascii="Times New Roman" w:hAnsi="Times New Roman" w:cs="Times New Roman"/>
          <w:sz w:val="26"/>
          <w:szCs w:val="26"/>
        </w:rPr>
        <w:t>. Прийняття нового регуляторного акта відбуватиметься у разі збільшення або зменшення собівартості послуг. За підсумками аналізу відстеження результативності дії регуляторного акта, а також у разі потреби та з урахуванням відповідних нормативних актів до нього будуть вноситися необхідні зміни.</w:t>
      </w:r>
    </w:p>
    <w:p w:rsidR="000765E4" w:rsidRPr="000765E4" w:rsidRDefault="000765E4" w:rsidP="000765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54C" w:rsidRDefault="000E254C" w:rsidP="000765E4">
      <w:pPr>
        <w:pStyle w:val="a7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E4">
        <w:rPr>
          <w:rFonts w:ascii="Times New Roman" w:hAnsi="Times New Roman" w:cs="Times New Roman"/>
          <w:b/>
          <w:bCs/>
          <w:sz w:val="28"/>
          <w:szCs w:val="28"/>
        </w:rPr>
        <w:t>Визначення показників результативності регуляторного акту</w:t>
      </w:r>
    </w:p>
    <w:p w:rsidR="000765E4" w:rsidRPr="000765E4" w:rsidRDefault="000765E4" w:rsidP="000765E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D0AAA" w:rsidRPr="000765E4" w:rsidRDefault="00FD0AAA" w:rsidP="002A7B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Відстеження результативності дій зазначеного регуляторного акту передбачаються за наступними кількісними показниками:</w:t>
      </w:r>
    </w:p>
    <w:p w:rsidR="00EF1EAE" w:rsidRPr="000765E4" w:rsidRDefault="00EF1EAE" w:rsidP="00EF1EAE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Розмір надходжень до державного та місцевого бюджетів від господарської діяльності суб’єктів господарювання, пов’язаної з перевезенням пасажирів та наданням транспортних послуг   не зміниться.</w:t>
      </w:r>
    </w:p>
    <w:p w:rsidR="00FD0AAA" w:rsidRPr="000765E4" w:rsidRDefault="00EF1EAE" w:rsidP="002A7B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    </w:t>
      </w:r>
      <w:r w:rsidR="00FD0AAA" w:rsidRPr="000765E4">
        <w:rPr>
          <w:rFonts w:ascii="Times New Roman" w:hAnsi="Times New Roman" w:cs="Times New Roman"/>
          <w:sz w:val="26"/>
          <w:szCs w:val="26"/>
        </w:rPr>
        <w:t xml:space="preserve"> - середня заробітна плата водіїв </w:t>
      </w:r>
      <w:r w:rsidR="003F770B" w:rsidRPr="000765E4">
        <w:rPr>
          <w:rFonts w:ascii="Times New Roman" w:hAnsi="Times New Roman" w:cs="Times New Roman"/>
          <w:sz w:val="26"/>
          <w:szCs w:val="26"/>
        </w:rPr>
        <w:t>тролейбусів</w:t>
      </w:r>
      <w:r w:rsidR="00FD0AAA" w:rsidRPr="000765E4">
        <w:rPr>
          <w:rFonts w:ascii="Times New Roman" w:hAnsi="Times New Roman" w:cs="Times New Roman"/>
          <w:sz w:val="26"/>
          <w:szCs w:val="26"/>
        </w:rPr>
        <w:t>;</w:t>
      </w:r>
    </w:p>
    <w:p w:rsidR="00B6251E" w:rsidRDefault="00EF1EAE" w:rsidP="002A7B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     </w:t>
      </w:r>
      <w:r w:rsidR="003F770B" w:rsidRPr="000765E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F770B" w:rsidRPr="000765E4">
        <w:rPr>
          <w:rFonts w:ascii="Times New Roman" w:hAnsi="Times New Roman" w:cs="Times New Roman"/>
          <w:sz w:val="26"/>
          <w:szCs w:val="26"/>
        </w:rPr>
        <w:t>к</w:t>
      </w:r>
      <w:r w:rsidR="00015393" w:rsidRPr="000765E4">
        <w:rPr>
          <w:rFonts w:ascii="Times New Roman" w:hAnsi="Times New Roman" w:cs="Times New Roman"/>
          <w:sz w:val="26"/>
          <w:szCs w:val="26"/>
        </w:rPr>
        <w:t>-ть</w:t>
      </w:r>
      <w:proofErr w:type="spellEnd"/>
      <w:r w:rsidR="00015393"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="003F770B" w:rsidRPr="000765E4">
        <w:rPr>
          <w:rFonts w:ascii="Times New Roman" w:hAnsi="Times New Roman" w:cs="Times New Roman"/>
          <w:sz w:val="26"/>
          <w:szCs w:val="26"/>
        </w:rPr>
        <w:t>перевезених пасажирів</w:t>
      </w:r>
      <w:r w:rsidR="00B6251E">
        <w:rPr>
          <w:rFonts w:ascii="Times New Roman" w:hAnsi="Times New Roman" w:cs="Times New Roman"/>
          <w:sz w:val="26"/>
          <w:szCs w:val="26"/>
        </w:rPr>
        <w:t>;</w:t>
      </w:r>
    </w:p>
    <w:p w:rsidR="00015393" w:rsidRPr="000765E4" w:rsidRDefault="00EF1EAE" w:rsidP="002A7B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      </w:t>
      </w:r>
      <w:r w:rsidR="003F770B" w:rsidRPr="000765E4">
        <w:rPr>
          <w:rFonts w:ascii="Times New Roman" w:hAnsi="Times New Roman" w:cs="Times New Roman"/>
          <w:sz w:val="26"/>
          <w:szCs w:val="26"/>
        </w:rPr>
        <w:t xml:space="preserve">- к-ть перевезених пасажирів </w:t>
      </w:r>
      <w:r w:rsidR="006B59CD" w:rsidRPr="000765E4">
        <w:rPr>
          <w:rFonts w:ascii="Times New Roman" w:hAnsi="Times New Roman" w:cs="Times New Roman"/>
          <w:sz w:val="26"/>
          <w:szCs w:val="26"/>
        </w:rPr>
        <w:t>–</w:t>
      </w:r>
      <w:r w:rsidR="003F770B" w:rsidRPr="000765E4">
        <w:rPr>
          <w:rFonts w:ascii="Times New Roman" w:hAnsi="Times New Roman" w:cs="Times New Roman"/>
          <w:sz w:val="26"/>
          <w:szCs w:val="26"/>
        </w:rPr>
        <w:t xml:space="preserve"> </w:t>
      </w:r>
      <w:r w:rsidR="00015393" w:rsidRPr="000765E4">
        <w:rPr>
          <w:rFonts w:ascii="Times New Roman" w:hAnsi="Times New Roman" w:cs="Times New Roman"/>
          <w:sz w:val="26"/>
          <w:szCs w:val="26"/>
        </w:rPr>
        <w:t>пільг</w:t>
      </w:r>
      <w:r w:rsidR="003F770B" w:rsidRPr="000765E4">
        <w:rPr>
          <w:rFonts w:ascii="Times New Roman" w:hAnsi="Times New Roman" w:cs="Times New Roman"/>
          <w:sz w:val="26"/>
          <w:szCs w:val="26"/>
        </w:rPr>
        <w:t>овиків</w:t>
      </w:r>
      <w:r w:rsidRPr="000765E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F1EAE" w:rsidRPr="000765E4" w:rsidRDefault="00EF1EAE" w:rsidP="00EF1EAE">
      <w:pPr>
        <w:pStyle w:val="a7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Розмір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коштів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та часу,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витрачатимуться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суб’єктами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господарювання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та/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або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фізичних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осіб-підприємців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пов’язаних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із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виконанням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вимог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цього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регуляторного акта.</w:t>
      </w:r>
    </w:p>
    <w:p w:rsidR="00B6251E" w:rsidRDefault="00EF1EAE" w:rsidP="00B6251E">
      <w:pPr>
        <w:pStyle w:val="a7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Передбачається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максимальні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загальні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витрати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які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можуть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виникнути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в КП «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Тернопільелектротранс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складуть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9 годин та в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грошому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еквіваленті</w:t>
      </w:r>
      <w:proofErr w:type="spellEnd"/>
      <w:r w:rsidRPr="000765E4">
        <w:rPr>
          <w:rFonts w:ascii="Times New Roman" w:hAnsi="Times New Roman" w:cs="Times New Roman"/>
          <w:sz w:val="26"/>
          <w:szCs w:val="26"/>
          <w:lang w:val="ru-RU"/>
        </w:rPr>
        <w:t xml:space="preserve"> - 689,52 </w:t>
      </w:r>
      <w:proofErr w:type="spellStart"/>
      <w:r w:rsidRPr="000765E4">
        <w:rPr>
          <w:rFonts w:ascii="Times New Roman" w:hAnsi="Times New Roman" w:cs="Times New Roman"/>
          <w:sz w:val="26"/>
          <w:szCs w:val="26"/>
          <w:lang w:val="ru-RU"/>
        </w:rPr>
        <w:t>грн</w:t>
      </w:r>
      <w:proofErr w:type="spellEnd"/>
      <w:r w:rsidR="00B6251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F690A" w:rsidRPr="000765E4" w:rsidRDefault="00E9590F" w:rsidP="00B6251E">
      <w:pPr>
        <w:pStyle w:val="a7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В</w:t>
      </w:r>
      <w:r w:rsidR="00BF690A" w:rsidRPr="000765E4">
        <w:rPr>
          <w:rFonts w:ascii="Times New Roman" w:hAnsi="Times New Roman" w:cs="Times New Roman"/>
          <w:sz w:val="26"/>
          <w:szCs w:val="26"/>
        </w:rPr>
        <w:t>становлений тариф на проїзд у міському транспорті відповідатиме економічно обґрунтованим витратам перевізник</w:t>
      </w:r>
      <w:r w:rsidR="00F76BA9" w:rsidRPr="000765E4">
        <w:rPr>
          <w:rFonts w:ascii="Times New Roman" w:hAnsi="Times New Roman" w:cs="Times New Roman"/>
          <w:sz w:val="26"/>
          <w:szCs w:val="26"/>
        </w:rPr>
        <w:t>а</w:t>
      </w:r>
      <w:r w:rsidR="00BF690A" w:rsidRPr="000765E4">
        <w:rPr>
          <w:rFonts w:ascii="Times New Roman" w:hAnsi="Times New Roman" w:cs="Times New Roman"/>
          <w:sz w:val="26"/>
          <w:szCs w:val="26"/>
        </w:rPr>
        <w:t>;</w:t>
      </w:r>
    </w:p>
    <w:p w:rsidR="00BF690A" w:rsidRPr="000765E4" w:rsidRDefault="00BF690A" w:rsidP="00EF1EAE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робота міського </w:t>
      </w:r>
      <w:r w:rsidR="00F76BA9" w:rsidRPr="000765E4">
        <w:rPr>
          <w:rFonts w:ascii="Times New Roman" w:hAnsi="Times New Roman" w:cs="Times New Roman"/>
          <w:sz w:val="26"/>
          <w:szCs w:val="26"/>
        </w:rPr>
        <w:t>електричного транспорту</w:t>
      </w:r>
      <w:r w:rsidRPr="000765E4">
        <w:rPr>
          <w:rFonts w:ascii="Times New Roman" w:hAnsi="Times New Roman" w:cs="Times New Roman"/>
          <w:sz w:val="26"/>
          <w:szCs w:val="26"/>
        </w:rPr>
        <w:t xml:space="preserve"> буде </w:t>
      </w:r>
      <w:r w:rsidR="00600E42" w:rsidRPr="000765E4">
        <w:rPr>
          <w:rFonts w:ascii="Times New Roman" w:hAnsi="Times New Roman" w:cs="Times New Roman"/>
          <w:sz w:val="26"/>
          <w:szCs w:val="26"/>
        </w:rPr>
        <w:t xml:space="preserve">більш </w:t>
      </w:r>
      <w:r w:rsidR="008E54D7" w:rsidRPr="000765E4">
        <w:rPr>
          <w:rFonts w:ascii="Times New Roman" w:hAnsi="Times New Roman" w:cs="Times New Roman"/>
          <w:sz w:val="26"/>
          <w:szCs w:val="26"/>
        </w:rPr>
        <w:t xml:space="preserve">безпечною та </w:t>
      </w:r>
      <w:r w:rsidR="00600E42" w:rsidRPr="000765E4">
        <w:rPr>
          <w:rFonts w:ascii="Times New Roman" w:hAnsi="Times New Roman" w:cs="Times New Roman"/>
          <w:sz w:val="26"/>
          <w:szCs w:val="26"/>
        </w:rPr>
        <w:t>якісною</w:t>
      </w:r>
      <w:r w:rsidRPr="000765E4">
        <w:rPr>
          <w:rFonts w:ascii="Times New Roman" w:hAnsi="Times New Roman" w:cs="Times New Roman"/>
          <w:sz w:val="26"/>
          <w:szCs w:val="26"/>
        </w:rPr>
        <w:t>;</w:t>
      </w:r>
    </w:p>
    <w:p w:rsidR="00BF690A" w:rsidRPr="000765E4" w:rsidRDefault="00BF690A" w:rsidP="00EF1EAE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>перевізник змож</w:t>
      </w:r>
      <w:r w:rsidR="00F76BA9" w:rsidRPr="000765E4">
        <w:rPr>
          <w:rFonts w:ascii="Times New Roman" w:hAnsi="Times New Roman" w:cs="Times New Roman"/>
          <w:sz w:val="26"/>
          <w:szCs w:val="26"/>
        </w:rPr>
        <w:t>е</w:t>
      </w:r>
      <w:r w:rsidRPr="000765E4">
        <w:rPr>
          <w:rFonts w:ascii="Times New Roman" w:hAnsi="Times New Roman" w:cs="Times New Roman"/>
          <w:sz w:val="26"/>
          <w:szCs w:val="26"/>
        </w:rPr>
        <w:t xml:space="preserve"> забезпечити повноцінне надання транспортних послуг</w:t>
      </w:r>
      <w:r w:rsidR="008E54D7" w:rsidRPr="000765E4">
        <w:rPr>
          <w:rFonts w:ascii="Times New Roman" w:hAnsi="Times New Roman" w:cs="Times New Roman"/>
          <w:sz w:val="26"/>
          <w:szCs w:val="26"/>
        </w:rPr>
        <w:t xml:space="preserve"> і виконання запланованих рейсів</w:t>
      </w:r>
      <w:r w:rsidR="001D06D6" w:rsidRPr="000765E4">
        <w:rPr>
          <w:rFonts w:ascii="Times New Roman" w:hAnsi="Times New Roman" w:cs="Times New Roman"/>
          <w:sz w:val="26"/>
          <w:szCs w:val="26"/>
        </w:rPr>
        <w:t>.</w:t>
      </w:r>
    </w:p>
    <w:p w:rsidR="00FC53FB" w:rsidRPr="000765E4" w:rsidRDefault="00EF1EAE" w:rsidP="00FC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Рівень поінформованості суб’єктів господарювання і фізичних осіб – достатній. </w:t>
      </w:r>
    </w:p>
    <w:p w:rsidR="003E0CD1" w:rsidRDefault="003E0CD1" w:rsidP="00517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89" w:rsidRPr="00F71889" w:rsidRDefault="00F71889" w:rsidP="00F71889">
      <w:pPr>
        <w:pStyle w:val="a7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89">
        <w:rPr>
          <w:rFonts w:ascii="Times New Roman" w:hAnsi="Times New Roman" w:cs="Times New Roman"/>
          <w:b/>
          <w:bCs/>
          <w:sz w:val="28"/>
          <w:szCs w:val="28"/>
        </w:rPr>
        <w:t>Ві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71889">
        <w:rPr>
          <w:rFonts w:ascii="Times New Roman" w:hAnsi="Times New Roman" w:cs="Times New Roman"/>
          <w:b/>
          <w:bCs/>
          <w:sz w:val="28"/>
          <w:szCs w:val="28"/>
        </w:rPr>
        <w:t>стеження результативності акту</w:t>
      </w:r>
    </w:p>
    <w:p w:rsidR="00F71889" w:rsidRDefault="00F71889" w:rsidP="00517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90A" w:rsidRPr="000765E4" w:rsidRDefault="00BF690A" w:rsidP="005177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Відстеження результативності застосування регуляторного акта здійснюватиметься виконавчими органами Тернопільської міської </w:t>
      </w:r>
      <w:r w:rsidR="00B6251E">
        <w:rPr>
          <w:rFonts w:ascii="Times New Roman" w:hAnsi="Times New Roman" w:cs="Times New Roman"/>
          <w:sz w:val="26"/>
          <w:szCs w:val="26"/>
        </w:rPr>
        <w:t>територіальної громади</w:t>
      </w:r>
      <w:r w:rsidRPr="000765E4">
        <w:rPr>
          <w:rFonts w:ascii="Times New Roman" w:hAnsi="Times New Roman" w:cs="Times New Roman"/>
          <w:sz w:val="26"/>
          <w:szCs w:val="26"/>
        </w:rPr>
        <w:t xml:space="preserve"> шляхом проведення аналізу статистичних даних (вартості </w:t>
      </w:r>
      <w:r w:rsidR="00F76BA9" w:rsidRPr="000765E4">
        <w:rPr>
          <w:rFonts w:ascii="Times New Roman" w:hAnsi="Times New Roman" w:cs="Times New Roman"/>
          <w:sz w:val="26"/>
          <w:szCs w:val="26"/>
        </w:rPr>
        <w:t>електроенергії</w:t>
      </w:r>
      <w:r w:rsidRPr="000765E4">
        <w:rPr>
          <w:rFonts w:ascii="Times New Roman" w:hAnsi="Times New Roman" w:cs="Times New Roman"/>
          <w:sz w:val="26"/>
          <w:szCs w:val="26"/>
        </w:rPr>
        <w:t>, розміру мінімальної заробітної плати водіїв, на яких поширюється дія регуляторного акту, тощо) та даних перевізник</w:t>
      </w:r>
      <w:r w:rsidR="00F76BA9" w:rsidRPr="000765E4">
        <w:rPr>
          <w:rFonts w:ascii="Times New Roman" w:hAnsi="Times New Roman" w:cs="Times New Roman"/>
          <w:sz w:val="26"/>
          <w:szCs w:val="26"/>
        </w:rPr>
        <w:t>а</w:t>
      </w:r>
      <w:r w:rsidRPr="000765E4">
        <w:rPr>
          <w:rFonts w:ascii="Times New Roman" w:hAnsi="Times New Roman" w:cs="Times New Roman"/>
          <w:sz w:val="26"/>
          <w:szCs w:val="26"/>
        </w:rPr>
        <w:t>, як</w:t>
      </w:r>
      <w:r w:rsidR="00F76BA9" w:rsidRPr="000765E4">
        <w:rPr>
          <w:rFonts w:ascii="Times New Roman" w:hAnsi="Times New Roman" w:cs="Times New Roman"/>
          <w:sz w:val="26"/>
          <w:szCs w:val="26"/>
        </w:rPr>
        <w:t>ий</w:t>
      </w:r>
      <w:r w:rsidRPr="000765E4">
        <w:rPr>
          <w:rFonts w:ascii="Times New Roman" w:hAnsi="Times New Roman" w:cs="Times New Roman"/>
          <w:sz w:val="26"/>
          <w:szCs w:val="26"/>
        </w:rPr>
        <w:t xml:space="preserve"> працю</w:t>
      </w:r>
      <w:r w:rsidR="00F76BA9" w:rsidRPr="000765E4">
        <w:rPr>
          <w:rFonts w:ascii="Times New Roman" w:hAnsi="Times New Roman" w:cs="Times New Roman"/>
          <w:sz w:val="26"/>
          <w:szCs w:val="26"/>
        </w:rPr>
        <w:t>є</w:t>
      </w:r>
      <w:r w:rsidRPr="000765E4">
        <w:rPr>
          <w:rFonts w:ascii="Times New Roman" w:hAnsi="Times New Roman" w:cs="Times New Roman"/>
          <w:sz w:val="26"/>
          <w:szCs w:val="26"/>
        </w:rPr>
        <w:t xml:space="preserve"> на ринку послуг міста</w:t>
      </w:r>
      <w:r w:rsidR="004C1F3A" w:rsidRPr="000765E4">
        <w:rPr>
          <w:rFonts w:ascii="Times New Roman" w:hAnsi="Times New Roman" w:cs="Times New Roman"/>
          <w:sz w:val="26"/>
          <w:szCs w:val="26"/>
        </w:rPr>
        <w:t xml:space="preserve"> та соціологічних даних, отриманих у </w:t>
      </w:r>
      <w:r w:rsidR="004C1F3A" w:rsidRPr="000765E4">
        <w:rPr>
          <w:rFonts w:ascii="Times New Roman" w:hAnsi="Times New Roman" w:cs="Times New Roman"/>
          <w:sz w:val="26"/>
          <w:szCs w:val="26"/>
        </w:rPr>
        <w:lastRenderedPageBreak/>
        <w:t>вигляді зауважень та пропозицій від громадян – споживачів транспортних послуг, суб'єктів господарювання – надавачів цих послуг та від інших зацікавлених осіб.</w:t>
      </w:r>
    </w:p>
    <w:p w:rsidR="00BF690A" w:rsidRPr="000765E4" w:rsidRDefault="00BF690A" w:rsidP="005177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65E4">
        <w:rPr>
          <w:rFonts w:ascii="Times New Roman" w:hAnsi="Times New Roman" w:cs="Times New Roman"/>
          <w:sz w:val="26"/>
          <w:szCs w:val="26"/>
        </w:rPr>
        <w:t xml:space="preserve">             Відстеження результативності дії регуляторного акта планується здійснювати  у відповідності до Закону України «Про засади державної регуляторної політики у с</w:t>
      </w:r>
      <w:r w:rsidR="00BC1A04" w:rsidRPr="000765E4">
        <w:rPr>
          <w:rFonts w:ascii="Times New Roman" w:hAnsi="Times New Roman" w:cs="Times New Roman"/>
          <w:sz w:val="26"/>
          <w:szCs w:val="26"/>
        </w:rPr>
        <w:t>фері господарської діяльності».</w:t>
      </w:r>
    </w:p>
    <w:p w:rsidR="00FF2532" w:rsidRPr="000765E4" w:rsidRDefault="00FF2532" w:rsidP="00FF253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- базове відстеження до дня набрання чинності цим регуляторним актом;</w:t>
      </w:r>
    </w:p>
    <w:p w:rsidR="00FF2532" w:rsidRPr="000765E4" w:rsidRDefault="00FF2532" w:rsidP="00FF253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- повторне відстеження через рік з дня набрання ним чинності;</w:t>
      </w:r>
    </w:p>
    <w:p w:rsidR="00FF2532" w:rsidRPr="000765E4" w:rsidRDefault="00FF2532" w:rsidP="00FF253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- періодичне відстеження раз на кожні три роки починаючи з дня закінчення заходів з</w:t>
      </w:r>
      <w:r w:rsid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повторного відстеження результативності цього акта.</w:t>
      </w:r>
    </w:p>
    <w:p w:rsidR="00A3248E" w:rsidRPr="000765E4" w:rsidRDefault="00827451" w:rsidP="00FF2532">
      <w:pPr>
        <w:spacing w:after="0"/>
        <w:ind w:firstLine="708"/>
        <w:jc w:val="both"/>
        <w:rPr>
          <w:rStyle w:val="a5"/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</w:pP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Зауваження і пропозиції щодо регуляторного документу подавати у письмовому вигляді до </w:t>
      </w:r>
      <w:r w:rsidR="00BC1A04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937156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правління транспорт</w:t>
      </w:r>
      <w:r w:rsidR="00B625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них мереж</w:t>
      </w:r>
      <w:r w:rsidR="00937156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зв’язку Тернопільської міської </w:t>
      </w:r>
      <w:r w:rsidR="00B818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ради</w:t>
      </w:r>
      <w:r w:rsidR="00615CA0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</w:t>
      </w:r>
      <w:r w:rsidR="001E7C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615CA0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/0</w:t>
      </w:r>
      <w:r w:rsidR="001E7C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615CA0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/20</w:t>
      </w:r>
      <w:r w:rsidR="002766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615CA0" w:rsidRPr="000765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року </w:t>
      </w: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за адресою – </w:t>
      </w:r>
      <w:r w:rsidR="00937156"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46001</w:t>
      </w:r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м.</w:t>
      </w:r>
      <w:r w:rsidR="00937156"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Тернопіль</w:t>
      </w:r>
      <w:proofErr w:type="spellEnd"/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вул.</w:t>
      </w:r>
      <w:r w:rsidR="00937156"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Коперника</w:t>
      </w:r>
      <w:proofErr w:type="spellEnd"/>
      <w:r w:rsidR="00937156" w:rsidRPr="000765E4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1, електронна пошта </w:t>
      </w:r>
      <w:hyperlink r:id="rId5" w:history="1">
        <w:r w:rsidR="00AA33FC" w:rsidRPr="000765E4">
          <w:rPr>
            <w:rStyle w:val="a5"/>
            <w:rFonts w:ascii="Times New Roman" w:eastAsia="Times New Roman" w:hAnsi="Times New Roman" w:cs="Times New Roman"/>
            <w:iCs/>
            <w:sz w:val="26"/>
            <w:szCs w:val="26"/>
            <w:shd w:val="clear" w:color="auto" w:fill="FFFFFF"/>
          </w:rPr>
          <w:t>uprtrans_te@ukr.net</w:t>
        </w:r>
      </w:hyperlink>
    </w:p>
    <w:p w:rsidR="00A3248E" w:rsidRDefault="00A3248E" w:rsidP="00FF2532">
      <w:pPr>
        <w:spacing w:after="0"/>
        <w:ind w:firstLine="708"/>
        <w:jc w:val="both"/>
        <w:rPr>
          <w:rStyle w:val="a5"/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</w:pPr>
    </w:p>
    <w:p w:rsidR="00124AD9" w:rsidRDefault="00124AD9" w:rsidP="00FF2532">
      <w:pPr>
        <w:spacing w:after="0"/>
        <w:ind w:firstLine="708"/>
        <w:jc w:val="both"/>
        <w:rPr>
          <w:rStyle w:val="a5"/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</w:pPr>
    </w:p>
    <w:p w:rsidR="00124AD9" w:rsidRDefault="00124AD9" w:rsidP="00FF2532">
      <w:pPr>
        <w:spacing w:after="0"/>
        <w:ind w:firstLine="708"/>
        <w:jc w:val="both"/>
        <w:rPr>
          <w:rStyle w:val="a5"/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</w:pPr>
    </w:p>
    <w:p w:rsidR="00124AD9" w:rsidRPr="000765E4" w:rsidRDefault="00124AD9" w:rsidP="00FF2532">
      <w:pPr>
        <w:spacing w:after="0"/>
        <w:ind w:firstLine="708"/>
        <w:jc w:val="both"/>
        <w:rPr>
          <w:rStyle w:val="a5"/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</w:pPr>
    </w:p>
    <w:p w:rsidR="00A3248E" w:rsidRPr="0069669D" w:rsidRDefault="00A3248E" w:rsidP="00FF253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A33FC" w:rsidRPr="0069669D" w:rsidRDefault="00AA33FC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9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Начальник</w:t>
      </w:r>
      <w:r w:rsidRPr="00696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5D" w:rsidRDefault="00AA33FC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9D">
        <w:rPr>
          <w:rFonts w:ascii="Times New Roman" w:hAnsi="Times New Roman" w:cs="Times New Roman"/>
          <w:sz w:val="24"/>
          <w:szCs w:val="24"/>
        </w:rPr>
        <w:t>управління транспорт</w:t>
      </w:r>
      <w:r w:rsidR="0027660C">
        <w:rPr>
          <w:rFonts w:ascii="Times New Roman" w:hAnsi="Times New Roman" w:cs="Times New Roman"/>
          <w:sz w:val="24"/>
          <w:szCs w:val="24"/>
        </w:rPr>
        <w:t>них мереж</w:t>
      </w:r>
      <w:r w:rsidRPr="0069669D">
        <w:rPr>
          <w:rFonts w:ascii="Times New Roman" w:hAnsi="Times New Roman" w:cs="Times New Roman"/>
          <w:sz w:val="24"/>
          <w:szCs w:val="24"/>
        </w:rPr>
        <w:t xml:space="preserve"> та зв’язку </w:t>
      </w:r>
      <w:r w:rsidRPr="0069669D">
        <w:rPr>
          <w:rFonts w:ascii="Times New Roman" w:hAnsi="Times New Roman" w:cs="Times New Roman"/>
          <w:sz w:val="24"/>
          <w:szCs w:val="24"/>
        </w:rPr>
        <w:tab/>
      </w:r>
      <w:r w:rsidRPr="0069669D">
        <w:rPr>
          <w:rFonts w:ascii="Times New Roman" w:hAnsi="Times New Roman" w:cs="Times New Roman"/>
          <w:sz w:val="24"/>
          <w:szCs w:val="24"/>
        </w:rPr>
        <w:tab/>
      </w:r>
      <w:r w:rsidRPr="0069669D">
        <w:rPr>
          <w:rFonts w:ascii="Times New Roman" w:hAnsi="Times New Roman" w:cs="Times New Roman"/>
          <w:sz w:val="24"/>
          <w:szCs w:val="24"/>
        </w:rPr>
        <w:tab/>
      </w:r>
      <w:r w:rsidRPr="0069669D">
        <w:rPr>
          <w:rFonts w:ascii="Times New Roman" w:hAnsi="Times New Roman" w:cs="Times New Roman"/>
          <w:sz w:val="24"/>
          <w:szCs w:val="24"/>
        </w:rPr>
        <w:tab/>
      </w:r>
      <w:r w:rsidRPr="0069669D">
        <w:rPr>
          <w:rFonts w:ascii="Times New Roman" w:hAnsi="Times New Roman" w:cs="Times New Roman"/>
          <w:sz w:val="24"/>
          <w:szCs w:val="24"/>
        </w:rPr>
        <w:tab/>
      </w:r>
      <w:r w:rsidR="0027660C">
        <w:rPr>
          <w:rFonts w:ascii="Times New Roman" w:hAnsi="Times New Roman" w:cs="Times New Roman"/>
          <w:sz w:val="24"/>
          <w:szCs w:val="24"/>
        </w:rPr>
        <w:t>Олег ВІТРУК</w:t>
      </w: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5E4" w:rsidRDefault="000765E4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D5D" w:rsidRDefault="00372D5D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8"/>
      </w:tblGrid>
      <w:tr w:rsidR="00372D5D" w:rsidRPr="00365680" w:rsidTr="00BD3262">
        <w:tc>
          <w:tcPr>
            <w:tcW w:w="9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2D5D" w:rsidRPr="0084546A" w:rsidRDefault="00372D5D" w:rsidP="00BD3262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 1</w:t>
            </w:r>
            <w:r w:rsidRPr="008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до аналізу впливу </w:t>
            </w:r>
            <w:r w:rsidRPr="008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регуляторного акта</w:t>
            </w:r>
          </w:p>
        </w:tc>
      </w:tr>
    </w:tbl>
    <w:p w:rsidR="00A3248E" w:rsidRDefault="00A3248E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D5D" w:rsidRPr="000765E4" w:rsidRDefault="00372D5D" w:rsidP="00372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E4">
        <w:rPr>
          <w:rFonts w:ascii="Times New Roman" w:hAnsi="Times New Roman" w:cs="Times New Roman"/>
          <w:b/>
          <w:bCs/>
          <w:sz w:val="28"/>
          <w:szCs w:val="28"/>
        </w:rPr>
        <w:t>Розрахунок витрат для суб’єктів малого підприємництва (М-тест)</w:t>
      </w:r>
    </w:p>
    <w:p w:rsidR="00372D5D" w:rsidRPr="000765E4" w:rsidRDefault="00372D5D" w:rsidP="00372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запровадження проекту рішення виконавчого комітету Тернопільської міської ради</w:t>
      </w:r>
    </w:p>
    <w:p w:rsidR="00372D5D" w:rsidRPr="000765E4" w:rsidRDefault="00372D5D" w:rsidP="00372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E4">
        <w:rPr>
          <w:rFonts w:ascii="Times New Roman" w:hAnsi="Times New Roman" w:cs="Times New Roman"/>
          <w:b/>
          <w:bCs/>
          <w:sz w:val="28"/>
          <w:szCs w:val="28"/>
        </w:rPr>
        <w:t xml:space="preserve"> «Про забезпечення роботи міського електричного транспорту»</w:t>
      </w:r>
    </w:p>
    <w:p w:rsidR="00372D5D" w:rsidRPr="002A79E9" w:rsidRDefault="00372D5D" w:rsidP="00372D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2D5D" w:rsidRPr="00D64136" w:rsidRDefault="00372D5D" w:rsidP="002A3CFD">
      <w:pPr>
        <w:pStyle w:val="a7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4136">
        <w:rPr>
          <w:rFonts w:ascii="Times New Roman" w:hAnsi="Times New Roman" w:cs="Times New Roman"/>
          <w:b/>
          <w:bCs/>
          <w:sz w:val="26"/>
          <w:szCs w:val="26"/>
        </w:rPr>
        <w:t>Консультації з представниками мікро- та малого підприємництва щодо оцінки впливу регулювання</w:t>
      </w:r>
    </w:p>
    <w:p w:rsidR="002A3CFD" w:rsidRPr="002A3CFD" w:rsidRDefault="002A3CFD" w:rsidP="002A3CFD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2D5D" w:rsidRPr="001E7CC2" w:rsidRDefault="00372D5D" w:rsidP="00372D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CFD">
        <w:rPr>
          <w:rFonts w:ascii="Times New Roman" w:hAnsi="Times New Roman" w:cs="Times New Roman"/>
          <w:sz w:val="26"/>
          <w:szCs w:val="26"/>
        </w:rPr>
        <w:t xml:space="preserve">Консультації  щодо  визначення  впливу  запропонованого регулювання  на суб’єктів малого підприємництва та визначення детального переліку процедур, виконання  яких  необхідно  для  здійснення  регулювання,  проведено розробником </w:t>
      </w:r>
      <w:r w:rsidR="001E7CC2" w:rsidRPr="001E7CC2">
        <w:rPr>
          <w:rFonts w:ascii="Times New Roman" w:hAnsi="Times New Roman" w:cs="Times New Roman"/>
          <w:sz w:val="26"/>
          <w:szCs w:val="26"/>
        </w:rPr>
        <w:t>до</w:t>
      </w:r>
      <w:r w:rsidRPr="001E7CC2">
        <w:rPr>
          <w:rFonts w:ascii="Times New Roman" w:hAnsi="Times New Roman" w:cs="Times New Roman"/>
          <w:sz w:val="26"/>
          <w:szCs w:val="26"/>
        </w:rPr>
        <w:t xml:space="preserve"> </w:t>
      </w:r>
      <w:r w:rsidR="00B81829" w:rsidRPr="001E7CC2">
        <w:rPr>
          <w:rFonts w:ascii="Times New Roman" w:hAnsi="Times New Roman" w:cs="Times New Roman"/>
          <w:sz w:val="26"/>
          <w:szCs w:val="26"/>
        </w:rPr>
        <w:t>2</w:t>
      </w:r>
      <w:r w:rsidR="001E7CC2" w:rsidRPr="001E7CC2">
        <w:rPr>
          <w:rFonts w:ascii="Times New Roman" w:hAnsi="Times New Roman" w:cs="Times New Roman"/>
          <w:sz w:val="26"/>
          <w:szCs w:val="26"/>
        </w:rPr>
        <w:t>4</w:t>
      </w:r>
      <w:r w:rsidRPr="001E7CC2">
        <w:rPr>
          <w:rFonts w:ascii="Times New Roman" w:hAnsi="Times New Roman" w:cs="Times New Roman"/>
          <w:sz w:val="26"/>
          <w:szCs w:val="26"/>
        </w:rPr>
        <w:t xml:space="preserve"> </w:t>
      </w:r>
      <w:r w:rsidR="001E7CC2" w:rsidRPr="001E7CC2">
        <w:rPr>
          <w:rFonts w:ascii="Times New Roman" w:hAnsi="Times New Roman" w:cs="Times New Roman"/>
          <w:sz w:val="26"/>
          <w:szCs w:val="26"/>
        </w:rPr>
        <w:t>липня</w:t>
      </w:r>
      <w:r w:rsidRPr="001E7CC2">
        <w:rPr>
          <w:rFonts w:ascii="Times New Roman" w:hAnsi="Times New Roman" w:cs="Times New Roman"/>
          <w:sz w:val="26"/>
          <w:szCs w:val="26"/>
        </w:rPr>
        <w:t xml:space="preserve"> 20</w:t>
      </w:r>
      <w:r w:rsidR="00B81829" w:rsidRPr="001E7CC2">
        <w:rPr>
          <w:rFonts w:ascii="Times New Roman" w:hAnsi="Times New Roman" w:cs="Times New Roman"/>
          <w:sz w:val="26"/>
          <w:szCs w:val="26"/>
        </w:rPr>
        <w:t>21</w:t>
      </w:r>
      <w:r w:rsidRPr="001E7CC2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372D5D" w:rsidRPr="002A79E9" w:rsidRDefault="00372D5D" w:rsidP="00372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127"/>
        <w:gridCol w:w="2835"/>
        <w:gridCol w:w="4218"/>
      </w:tblGrid>
      <w:tr w:rsidR="00372D5D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Вид консультації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Кількість учасників консультації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Основні консультації (опис)</w:t>
            </w:r>
          </w:p>
        </w:tc>
      </w:tr>
      <w:tr w:rsidR="00372D5D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Робочі зустрічі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9708D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sz w:val="24"/>
                <w:szCs w:val="24"/>
              </w:rPr>
              <w:t>Отримано інформацію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372D5D">
              <w:rPr>
                <w:rFonts w:ascii="Times New Roman" w:hAnsi="Times New Roman" w:cs="Times New Roman"/>
                <w:sz w:val="24"/>
                <w:szCs w:val="24"/>
              </w:rPr>
              <w:t xml:space="preserve"> витрат</w:t>
            </w:r>
            <w:r w:rsidR="00EE43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2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D5D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EE43D7" w:rsidRPr="00EE4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372D5D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="00372D5D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 на виконання вимог регулювання.</w:t>
            </w:r>
          </w:p>
        </w:tc>
      </w:tr>
      <w:tr w:rsidR="00372D5D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Робоча нарада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доцільності ухвалення регуляторного акта</w:t>
            </w:r>
            <w:r w:rsidR="00EE4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D5D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804221" w:rsidRDefault="00372D5D" w:rsidP="00BD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Громадське обговорення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5D" w:rsidRPr="002A79E9" w:rsidRDefault="00372D5D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доцільності ухвалення регуляторного акта. Надання пропозицій з його удосконалення, розрахунків витрат на виконання вимог регулювання</w:t>
            </w:r>
          </w:p>
        </w:tc>
      </w:tr>
    </w:tbl>
    <w:p w:rsidR="00372D5D" w:rsidRPr="002A79E9" w:rsidRDefault="00372D5D" w:rsidP="00372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D5D" w:rsidRPr="00D64136" w:rsidRDefault="00372D5D" w:rsidP="00D64136">
      <w:pPr>
        <w:pStyle w:val="a7"/>
        <w:numPr>
          <w:ilvl w:val="0"/>
          <w:numId w:val="7"/>
        </w:numPr>
        <w:spacing w:after="0"/>
        <w:ind w:left="0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4136">
        <w:rPr>
          <w:rFonts w:ascii="Times New Roman" w:hAnsi="Times New Roman" w:cs="Times New Roman"/>
          <w:b/>
          <w:bCs/>
          <w:sz w:val="26"/>
          <w:szCs w:val="26"/>
        </w:rPr>
        <w:t>Вимірювання впливу регулювання на суб’єктів малого підприємництва (мікро- та малі):</w:t>
      </w:r>
    </w:p>
    <w:p w:rsidR="00372D5D" w:rsidRPr="002A79E9" w:rsidRDefault="00372D5D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Кількість  суб’єктів  малого  підприємництва,  на  яких  поширюється регулювання: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79E9">
        <w:rPr>
          <w:rFonts w:ascii="Times New Roman" w:hAnsi="Times New Roman" w:cs="Times New Roman"/>
          <w:sz w:val="24"/>
          <w:szCs w:val="24"/>
        </w:rPr>
        <w:t xml:space="preserve"> одиниць.</w:t>
      </w:r>
    </w:p>
    <w:p w:rsidR="00372D5D" w:rsidRPr="002A79E9" w:rsidRDefault="00372D5D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 Кількість  суб’єктів  середнього  підприємництва,  на  яких  поширюється регулювання: 1 одиниць.</w:t>
      </w:r>
    </w:p>
    <w:p w:rsidR="00372D5D" w:rsidRDefault="00372D5D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Питома  вага  суб’єктів  малого  підприємництва  у  загальній  кількості суб’єктів господарювання, на яких проблема справляє вплив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A79E9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D3262" w:rsidRDefault="00BD3262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Pr="00BD3262" w:rsidRDefault="00BD3262" w:rsidP="00BD326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3262">
        <w:rPr>
          <w:rFonts w:ascii="Times New Roman" w:hAnsi="Times New Roman" w:cs="Times New Roman"/>
          <w:b/>
          <w:bCs/>
          <w:sz w:val="24"/>
          <w:szCs w:val="24"/>
        </w:rPr>
        <w:t>Примітка: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262">
        <w:rPr>
          <w:rFonts w:ascii="Times New Roman" w:hAnsi="Times New Roman" w:cs="Times New Roman"/>
          <w:i/>
          <w:iCs/>
          <w:sz w:val="24"/>
          <w:szCs w:val="24"/>
        </w:rPr>
        <w:t>регулювання стосується СМП, які будуть мати намір купувати послуги</w:t>
      </w:r>
      <w:r w:rsidR="000B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3262">
        <w:rPr>
          <w:rFonts w:ascii="Times New Roman" w:hAnsi="Times New Roman" w:cs="Times New Roman"/>
          <w:i/>
          <w:iCs/>
          <w:sz w:val="24"/>
          <w:szCs w:val="24"/>
        </w:rPr>
        <w:t>КП</w:t>
      </w:r>
      <w:proofErr w:type="spellEnd"/>
      <w:r w:rsidRPr="00BD3262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="000B4AC9" w:rsidRPr="00FC53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Тернопільелектротранс</w:t>
      </w:r>
      <w:proofErr w:type="spellEnd"/>
      <w:r w:rsidRPr="00BD3262">
        <w:rPr>
          <w:rFonts w:ascii="Times New Roman" w:hAnsi="Times New Roman" w:cs="Times New Roman"/>
          <w:i/>
          <w:iCs/>
          <w:sz w:val="24"/>
          <w:szCs w:val="24"/>
        </w:rPr>
        <w:t xml:space="preserve">» безготівковим способом. Тобто кількість тих суб’єктів малого підприємництва, які скористаються своїм правом, невідома. Тому до рахунку взято кількість суб’єктів господарювання, які купували картки безготівковим способом за </w:t>
      </w:r>
      <w:r w:rsidR="00B81829">
        <w:rPr>
          <w:rFonts w:ascii="Times New Roman" w:hAnsi="Times New Roman" w:cs="Times New Roman"/>
          <w:i/>
          <w:iCs/>
          <w:sz w:val="24"/>
          <w:szCs w:val="24"/>
        </w:rPr>
        <w:t>2020 рік.</w:t>
      </w:r>
    </w:p>
    <w:p w:rsidR="00BD3262" w:rsidRDefault="00BD3262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372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D5D" w:rsidRDefault="00372D5D" w:rsidP="00372D5D">
      <w:pPr>
        <w:pStyle w:val="a7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262">
        <w:rPr>
          <w:rFonts w:ascii="Times New Roman" w:hAnsi="Times New Roman" w:cs="Times New Roman"/>
          <w:b/>
          <w:bCs/>
          <w:sz w:val="24"/>
          <w:szCs w:val="24"/>
        </w:rPr>
        <w:t>Розрахунок  витрат  суб’єктів  малого  та середнього підприємництва  на  виконання вимог регулювання</w:t>
      </w:r>
    </w:p>
    <w:p w:rsidR="0028357D" w:rsidRDefault="0028357D" w:rsidP="0028357D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3319623"/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Найменування оцінки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Перший рік</w:t>
            </w: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(стартовий рік впровадження регулювання)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Періодичні</w:t>
            </w: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наступний рік)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Витрати за 5 років</w:t>
            </w:r>
          </w:p>
        </w:tc>
      </w:tr>
      <w:tr w:rsidR="00BD3262" w:rsidRPr="002A79E9" w:rsidTr="00BD3262"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 «прямих» витрат суб’єктів малого та середнього підприємництва на виконання регулювання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Інші процедури:</w:t>
            </w:r>
          </w:p>
          <w:p w:rsidR="00BD3262" w:rsidRPr="00335AC1" w:rsidRDefault="00BD3262" w:rsidP="00BD3262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1">
              <w:rPr>
                <w:rFonts w:ascii="Times New Roman" w:hAnsi="Times New Roman" w:cs="Times New Roman"/>
                <w:sz w:val="24"/>
                <w:szCs w:val="24"/>
              </w:rPr>
              <w:t>Оплата за договором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34850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34850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174250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Разом, грн.</w:t>
            </w:r>
          </w:p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Формула: (сума рядків 1+2+3+4+5)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34850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9708DD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34850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174250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97394F" w:rsidRDefault="009708DD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Сумарно, грн.</w:t>
            </w:r>
          </w:p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Формула: відповідний стовпчик «разом» Х кількість суб’єктів малого та середнього підприємництва, що повинні виконати вимоги регулювання (рядок 6 Х рядок 7)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348500.</w:t>
            </w:r>
          </w:p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348500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97394F" w:rsidRDefault="00BD3262" w:rsidP="0097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9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1742500</w:t>
            </w:r>
          </w:p>
        </w:tc>
      </w:tr>
      <w:tr w:rsidR="00BD3262" w:rsidRPr="002A79E9" w:rsidTr="00BD3262">
        <w:tc>
          <w:tcPr>
            <w:tcW w:w="98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Оцінка вартості адміністративних процедур суб’єктів малого та середнього підприємництва щодо виконання регулювання та звітування</w:t>
            </w:r>
          </w:p>
        </w:tc>
      </w:tr>
      <w:tr w:rsidR="0097394F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отримання первинної інформації про вимоги регулювання Формула:  витрати  часу  на  отримання  інформації про  регулювання, отримання  необхідних  форм  та заявок Х  вартість  часу  суб’єкта  малого та середнього підприємництва  (заробітна плата) Х оціночна</w:t>
            </w:r>
          </w:p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кількість форм</w:t>
            </w:r>
          </w:p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година *25,1</w:t>
            </w:r>
            <w:r w:rsidRPr="002A7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A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грн./год*1 працівник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380C10" w:rsidRDefault="0097394F" w:rsidP="00DF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10">
              <w:rPr>
                <w:rFonts w:ascii="Times New Roman" w:hAnsi="Times New Roman" w:cs="Times New Roman"/>
                <w:sz w:val="24"/>
                <w:szCs w:val="24"/>
              </w:rPr>
              <w:t>20 хв. х 36,11 грн./год. = 7,22 грн.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380C10" w:rsidRDefault="0097394F" w:rsidP="00DF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380C10" w:rsidRDefault="0097394F" w:rsidP="00DF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10">
              <w:rPr>
                <w:rFonts w:ascii="Times New Roman" w:hAnsi="Times New Roman" w:cs="Times New Roman"/>
                <w:sz w:val="24"/>
                <w:szCs w:val="24"/>
              </w:rPr>
              <w:t>7,22 грн.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Процедури організації виконання вимог регулювання (час на друк оголошення та розміщення в </w:t>
            </w: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салоні автобуса) </w:t>
            </w:r>
          </w:p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Формула:  витрати  часу  на  розроблення  та впровадження  внутрішніх  для  суб’єкта  малого та середнього підприємництва  процедур  на  впровадження  вимог регулювання Х  вартість  часу  суб’єкта  малого підприємництва (заробітна  плата) Х оціночна кількість внутрішніх процедур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офіційного звітування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62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Процедури щодо забезпечення процесу перевірок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62" w:rsidRPr="002A79E9" w:rsidRDefault="00BD3262" w:rsidP="00BD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4F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Інші процедури</w:t>
            </w:r>
          </w:p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укладення договору(1 год.)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180,55,65</w:t>
            </w:r>
          </w:p>
        </w:tc>
      </w:tr>
      <w:tr w:rsidR="0097394F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Разом, грн.</w:t>
            </w:r>
          </w:p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Формула: (сума рядків 9+10+11+12+13)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AD67D0" w:rsidRDefault="0097394F" w:rsidP="00DF23C5"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180,55</w:t>
            </w:r>
          </w:p>
        </w:tc>
      </w:tr>
      <w:tr w:rsidR="0097394F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малого та середнього підприємництва, що повинні виконати вимоги регулювання, одиниць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94F" w:rsidRPr="002A79E9" w:rsidTr="00BD32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2A79E9" w:rsidRDefault="0097394F" w:rsidP="00B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 xml:space="preserve">Сумарно, грн </w:t>
            </w:r>
          </w:p>
          <w:p w:rsidR="0097394F" w:rsidRPr="002A79E9" w:rsidRDefault="0097394F" w:rsidP="001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Формула:відповідний стовпчик «разом» Х кількість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суб’єктів малого та середнього  підприємництва, що  повинні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виконати вимоги регулювання (рядок 14 Х рядок 15)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4F" w:rsidRPr="00AD67D0" w:rsidRDefault="0097394F" w:rsidP="00DF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D0">
              <w:rPr>
                <w:rFonts w:ascii="Times New Roman" w:hAnsi="Times New Roman" w:cs="Times New Roman"/>
                <w:sz w:val="24"/>
                <w:szCs w:val="24"/>
              </w:rPr>
              <w:t>1805,5</w:t>
            </w:r>
          </w:p>
        </w:tc>
      </w:tr>
      <w:bookmarkEnd w:id="4"/>
    </w:tbl>
    <w:p w:rsidR="00BD3262" w:rsidRPr="002A79E9" w:rsidRDefault="00BD3262" w:rsidP="00BD3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Pr="002A79E9" w:rsidRDefault="00BD3262" w:rsidP="00BD3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Pr="002A79E9" w:rsidRDefault="00BD3262" w:rsidP="00BD32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>Розрахунки  здійснено  з  урахуванням  основних  мінімальних  соціальних стандартів у  20</w:t>
      </w:r>
      <w:r w:rsidR="00B81829">
        <w:rPr>
          <w:rFonts w:ascii="Times New Roman" w:hAnsi="Times New Roman" w:cs="Times New Roman"/>
          <w:sz w:val="24"/>
          <w:szCs w:val="24"/>
        </w:rPr>
        <w:t>21</w:t>
      </w:r>
      <w:r w:rsidRPr="002A79E9">
        <w:rPr>
          <w:rFonts w:ascii="Times New Roman" w:hAnsi="Times New Roman" w:cs="Times New Roman"/>
          <w:sz w:val="24"/>
          <w:szCs w:val="24"/>
        </w:rPr>
        <w:t xml:space="preserve"> році,  встановлених  Законом  України  «Про  Державний бюджет  України  на  20</w:t>
      </w:r>
      <w:r w:rsidR="00B81829">
        <w:rPr>
          <w:rFonts w:ascii="Times New Roman" w:hAnsi="Times New Roman" w:cs="Times New Roman"/>
          <w:sz w:val="24"/>
          <w:szCs w:val="24"/>
        </w:rPr>
        <w:t>21  рік»  від  15.12.2020р. №1082</w:t>
      </w:r>
      <w:r w:rsidRPr="002A79E9">
        <w:rPr>
          <w:rFonts w:ascii="Times New Roman" w:hAnsi="Times New Roman" w:cs="Times New Roman"/>
          <w:sz w:val="24"/>
          <w:szCs w:val="24"/>
        </w:rPr>
        <w:t>-</w:t>
      </w:r>
      <w:r w:rsidR="00B81829">
        <w:rPr>
          <w:rFonts w:ascii="Times New Roman" w:hAnsi="Times New Roman" w:cs="Times New Roman"/>
          <w:sz w:val="24"/>
          <w:szCs w:val="24"/>
        </w:rPr>
        <w:t>IХ</w:t>
      </w:r>
      <w:r w:rsidRPr="002A79E9">
        <w:rPr>
          <w:rFonts w:ascii="Times New Roman" w:hAnsi="Times New Roman" w:cs="Times New Roman"/>
          <w:sz w:val="24"/>
          <w:szCs w:val="24"/>
        </w:rPr>
        <w:t xml:space="preserve">:  мінімальна зарплата у погодинному розмірі - </w:t>
      </w:r>
      <w:r w:rsidR="00B81829">
        <w:rPr>
          <w:rFonts w:ascii="Times New Roman" w:hAnsi="Times New Roman" w:cs="Times New Roman"/>
          <w:sz w:val="24"/>
          <w:szCs w:val="24"/>
        </w:rPr>
        <w:t>36</w:t>
      </w:r>
      <w:r w:rsidRPr="002A79E9">
        <w:rPr>
          <w:rFonts w:ascii="Times New Roman" w:hAnsi="Times New Roman" w:cs="Times New Roman"/>
          <w:sz w:val="24"/>
          <w:szCs w:val="24"/>
        </w:rPr>
        <w:t>,1</w:t>
      </w:r>
      <w:r w:rsidR="00B81829">
        <w:rPr>
          <w:rFonts w:ascii="Times New Roman" w:hAnsi="Times New Roman" w:cs="Times New Roman"/>
          <w:sz w:val="24"/>
          <w:szCs w:val="24"/>
        </w:rPr>
        <w:t>1</w:t>
      </w:r>
      <w:r w:rsidRPr="002A79E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BD3262" w:rsidRDefault="00BD3262" w:rsidP="00BD32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EEF" w:rsidRDefault="00522EEF" w:rsidP="00BD32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EEF" w:rsidRPr="002A79E9" w:rsidRDefault="00522EEF" w:rsidP="00BD32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BD3262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EEF" w:rsidRDefault="00522EEF" w:rsidP="00522EE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317">
        <w:rPr>
          <w:rFonts w:ascii="Times New Roman" w:hAnsi="Times New Roman" w:cs="Times New Roman"/>
          <w:b/>
          <w:bCs/>
          <w:sz w:val="26"/>
          <w:szCs w:val="26"/>
        </w:rPr>
        <w:t>Бюджетні витрати на адміністрування регулювання суб</w:t>
      </w:r>
      <w:r w:rsidR="00B81829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Pr="007A5317">
        <w:rPr>
          <w:rFonts w:ascii="Times New Roman" w:hAnsi="Times New Roman" w:cs="Times New Roman"/>
          <w:b/>
          <w:bCs/>
          <w:sz w:val="26"/>
          <w:szCs w:val="26"/>
        </w:rPr>
        <w:t>єктів  підприємництва</w:t>
      </w:r>
    </w:p>
    <w:p w:rsidR="00522EEF" w:rsidRPr="007A5317" w:rsidRDefault="00522EEF" w:rsidP="00522EE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2EEF" w:rsidRPr="007A5317" w:rsidRDefault="00522EEF" w:rsidP="00522EEF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5317">
        <w:rPr>
          <w:rFonts w:ascii="Times New Roman" w:hAnsi="Times New Roman" w:cs="Times New Roman"/>
          <w:color w:val="000000"/>
          <w:sz w:val="26"/>
          <w:szCs w:val="26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522EEF" w:rsidRPr="0069669D" w:rsidRDefault="00522EEF" w:rsidP="00522EEF">
      <w:pPr>
        <w:shd w:val="clear" w:color="auto" w:fill="FFFFFF"/>
        <w:spacing w:after="150"/>
        <w:ind w:firstLine="450"/>
        <w:rPr>
          <w:rFonts w:ascii="Times New Roman" w:hAnsi="Times New Roman" w:cs="Times New Roman"/>
          <w:sz w:val="24"/>
          <w:szCs w:val="24"/>
        </w:rPr>
      </w:pPr>
      <w:r w:rsidRPr="007A5317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Державний орган, для якого здійснюється розрахунок адміністрування регулювання: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7A5317">
        <w:rPr>
          <w:rFonts w:ascii="Times New Roman" w:hAnsi="Times New Roman" w:cs="Times New Roman"/>
          <w:color w:val="000000"/>
          <w:sz w:val="26"/>
          <w:szCs w:val="26"/>
        </w:rPr>
        <w:t>Тернопільська міська рада</w:t>
      </w:r>
      <w:r w:rsidRPr="007A5317">
        <w:rPr>
          <w:rFonts w:ascii="Times New Roman" w:hAnsi="Times New Roman" w:cs="Times New Roman"/>
          <w:color w:val="000000"/>
          <w:sz w:val="26"/>
          <w:szCs w:val="26"/>
        </w:rPr>
        <w:br/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4"/>
        <w:gridCol w:w="819"/>
        <w:gridCol w:w="1459"/>
        <w:gridCol w:w="1360"/>
        <w:gridCol w:w="1362"/>
        <w:gridCol w:w="1711"/>
      </w:tblGrid>
      <w:tr w:rsidR="00522EEF" w:rsidRPr="0069669D" w:rsidTr="00B665A7">
        <w:tc>
          <w:tcPr>
            <w:tcW w:w="2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Планові витрати часу на процедуру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 на адміністрування регулювання* (за рік), гривень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камеральні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rPr>
          <w:trHeight w:val="6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виїзні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F" w:rsidRPr="0069669D" w:rsidTr="00B665A7">
        <w:trPr>
          <w:trHeight w:val="109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3. Підготовка, затвердження та опрацювання одного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окремого акта про порушення вимог регулювання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5. Оскарження одного окремого рішення суб’єктами </w:t>
            </w:r>
            <w:r w:rsidRPr="0069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господарювання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Підготовка звітності за результатами регулювання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EEF" w:rsidRPr="0069669D" w:rsidTr="00B665A7">
        <w:trPr>
          <w:trHeight w:val="427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7. Інші адміністративні процедури (уточнити): </w:t>
            </w:r>
            <w:r w:rsidRPr="0069669D">
              <w:rPr>
                <w:rFonts w:ascii="Times New Roman" w:hAnsi="Times New Roman" w:cs="Times New Roman"/>
                <w:sz w:val="24"/>
                <w:szCs w:val="24"/>
              </w:rPr>
              <w:br/>
              <w:t>- опрацювання отриманих розрахунків перевізника</w:t>
            </w:r>
          </w:p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-  деталізація та перевірка інформації </w:t>
            </w:r>
          </w:p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- проведення робочих зустрічей та переговорів</w:t>
            </w:r>
          </w:p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-підготовка остаточних розрахунків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24год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294F17" w:rsidP="00294F1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294F17" w:rsidP="00B665A7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866,64</w:t>
            </w:r>
          </w:p>
        </w:tc>
      </w:tr>
      <w:tr w:rsidR="00522EEF" w:rsidRPr="0069669D" w:rsidTr="00B665A7">
        <w:trPr>
          <w:trHeight w:val="6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Разом за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294F17" w:rsidP="00B665A7">
            <w:pPr>
              <w:snapToGrid w:val="0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866,64</w:t>
            </w: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napToGrid w:val="0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EF" w:rsidRPr="0069669D" w:rsidTr="00B665A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Сумарно за п’ять років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522EEF" w:rsidP="00B665A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EF" w:rsidRPr="0069669D" w:rsidRDefault="00294F17" w:rsidP="00B665A7">
            <w:pPr>
              <w:snapToGrid w:val="0"/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866,64</w:t>
            </w:r>
          </w:p>
        </w:tc>
      </w:tr>
    </w:tbl>
    <w:p w:rsidR="00522EEF" w:rsidRPr="0069669D" w:rsidRDefault="00522EEF" w:rsidP="00522EEF">
      <w:pPr>
        <w:shd w:val="clear" w:color="auto" w:fill="FFFFFF"/>
        <w:spacing w:after="150"/>
        <w:jc w:val="both"/>
        <w:rPr>
          <w:color w:val="000000"/>
        </w:rPr>
      </w:pPr>
    </w:p>
    <w:p w:rsidR="00522EEF" w:rsidRDefault="00522EEF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EEF" w:rsidRDefault="00522EEF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CD1" w:rsidRDefault="003E0CD1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522EEF" w:rsidRDefault="00522EEF" w:rsidP="00522EEF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AD9" w:rsidRPr="00124AD9" w:rsidRDefault="00124AD9" w:rsidP="00BD3262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4329D" w:rsidRPr="00FC57C4" w:rsidRDefault="0014329D" w:rsidP="0028357D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7C4">
        <w:rPr>
          <w:rFonts w:ascii="Times New Roman" w:hAnsi="Times New Roman" w:cs="Times New Roman"/>
          <w:b/>
          <w:bCs/>
          <w:sz w:val="24"/>
          <w:szCs w:val="24"/>
        </w:rPr>
        <w:t>Розрахунок сумарних витрат суб’єктів малого та середнього підприємництва, що виникають на виконання вимог регулювання:</w:t>
      </w:r>
    </w:p>
    <w:p w:rsidR="0014329D" w:rsidRPr="002A79E9" w:rsidRDefault="0014329D" w:rsidP="00143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02"/>
        <w:gridCol w:w="4010"/>
        <w:gridCol w:w="2420"/>
        <w:gridCol w:w="2397"/>
      </w:tblGrid>
      <w:tr w:rsidR="0014329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Перший рік регулювання (стартовий)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Витрати за п’ять років</w:t>
            </w:r>
          </w:p>
        </w:tc>
      </w:tr>
      <w:tr w:rsidR="0014329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 xml:space="preserve">Оцінка «прямих» витрат суб’єктів малого та середнього підприємництва на виконання </w:t>
            </w: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регулювання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Pr="00285CF0" w:rsidRDefault="0014329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C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348500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Pr="00285CF0" w:rsidRDefault="0028357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1742500</w:t>
            </w:r>
          </w:p>
        </w:tc>
      </w:tr>
      <w:tr w:rsidR="0014329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Оцінка вартості адміністративних процедур для суб’єктів малого та середнього підприємництва щодо виконання регулювання та звітування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Pr="00285CF0" w:rsidRDefault="00DE37A8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335,10</w:t>
            </w:r>
            <w:r w:rsidR="0014329D" w:rsidRPr="00285C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грн.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Pr="00285CF0" w:rsidRDefault="0015290B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1340,30</w:t>
            </w:r>
          </w:p>
        </w:tc>
      </w:tr>
      <w:tr w:rsidR="0014329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3320948"/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Сумарні витрати малого та середнього підприємництва на виконання запланованого регулювання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Default="0028357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348</w:t>
            </w:r>
            <w:r w:rsidR="00DE3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835,10</w:t>
            </w:r>
          </w:p>
          <w:p w:rsidR="00DE37A8" w:rsidRPr="00285CF0" w:rsidRDefault="00DE37A8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29D" w:rsidRPr="00285CF0" w:rsidRDefault="0028357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1742919</w:t>
            </w:r>
          </w:p>
        </w:tc>
      </w:tr>
      <w:bookmarkEnd w:id="6"/>
      <w:tr w:rsidR="0014329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2A79E9" w:rsidRDefault="0014329D" w:rsidP="00DE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Бюджетні витрати на адміністрування регулювання суб’єктів малого та середнього підприємництва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BF7D35" w:rsidRDefault="00BF7D35" w:rsidP="00BF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</w:rPr>
              <w:t>866,64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29D" w:rsidRPr="00BF7D35" w:rsidRDefault="00BF7D35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</w:rPr>
              <w:t>4333,2</w:t>
            </w:r>
          </w:p>
        </w:tc>
      </w:tr>
      <w:tr w:rsidR="0028357D" w:rsidRPr="002A79E9" w:rsidTr="0028357D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D" w:rsidRPr="002A79E9" w:rsidRDefault="0028357D" w:rsidP="0028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57D" w:rsidRPr="002A79E9" w:rsidRDefault="0028357D" w:rsidP="0028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E9">
              <w:rPr>
                <w:rFonts w:ascii="Times New Roman" w:hAnsi="Times New Roman" w:cs="Times New Roman"/>
                <w:sz w:val="24"/>
                <w:szCs w:val="24"/>
              </w:rPr>
              <w:t>Сумарні витрати на виконання запланованого регулювання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D" w:rsidRPr="00285CF0" w:rsidRDefault="000404D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349</w:t>
            </w:r>
            <w:r w:rsidR="00452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438,22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57D" w:rsidRPr="00285CF0" w:rsidRDefault="000404DD" w:rsidP="0004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529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746855,9</w:t>
            </w:r>
          </w:p>
        </w:tc>
      </w:tr>
    </w:tbl>
    <w:p w:rsidR="0014329D" w:rsidRPr="002A79E9" w:rsidRDefault="0014329D" w:rsidP="00143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62" w:rsidRDefault="00BD3262" w:rsidP="00BD32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62" w:rsidRDefault="00BD3262" w:rsidP="00BD32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62" w:rsidRDefault="00BD3262" w:rsidP="00BD32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62" w:rsidRDefault="00BD3262" w:rsidP="00BD32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62" w:rsidRPr="00BD3262" w:rsidRDefault="00BD3262" w:rsidP="00BD32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46A" w:rsidRPr="002A79E9" w:rsidRDefault="0084546A" w:rsidP="0084546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248E" w:rsidRDefault="00A3248E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36" w:rsidRDefault="00D64136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48E" w:rsidRPr="0069669D" w:rsidRDefault="00A3248E" w:rsidP="00AA3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8"/>
      </w:tblGrid>
      <w:tr w:rsidR="00C06C0E" w:rsidRPr="00365680" w:rsidTr="005A5441">
        <w:tc>
          <w:tcPr>
            <w:tcW w:w="9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C0E" w:rsidRPr="00D64136" w:rsidRDefault="00C06C0E" w:rsidP="00D64136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23257266"/>
            <w:r w:rsidRPr="00D64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 2 </w:t>
            </w:r>
            <w:r w:rsidRPr="00D64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до аналізу впливу </w:t>
            </w:r>
            <w:r w:rsidRPr="00D64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регуляторного акта</w:t>
            </w:r>
          </w:p>
        </w:tc>
      </w:tr>
    </w:tbl>
    <w:p w:rsidR="00C06C0E" w:rsidRDefault="00C06C0E" w:rsidP="00C06C0E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n177"/>
      <w:bookmarkEnd w:id="7"/>
      <w:bookmarkEnd w:id="8"/>
      <w:r w:rsidRPr="00D641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ВИТРАТИ </w:t>
      </w:r>
      <w:r w:rsidRPr="00D641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Start w:id="9" w:name="_Hlk23258702"/>
      <w:r w:rsidRPr="00D64136">
        <w:rPr>
          <w:rFonts w:ascii="Times New Roman" w:hAnsi="Times New Roman" w:cs="Times New Roman"/>
          <w:b/>
          <w:color w:val="000000"/>
          <w:sz w:val="28"/>
          <w:szCs w:val="28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D64136" w:rsidRPr="00D64136" w:rsidRDefault="00D64136" w:rsidP="00C06C0E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6"/>
        <w:gridCol w:w="6252"/>
        <w:gridCol w:w="1148"/>
        <w:gridCol w:w="821"/>
        <w:gridCol w:w="1134"/>
      </w:tblGrid>
      <w:tr w:rsidR="00D64136" w:rsidRPr="0069669D" w:rsidTr="008B0265"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78"/>
            <w:bookmarkEnd w:id="9"/>
            <w:bookmarkEnd w:id="10"/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За перший рік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4D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 xml:space="preserve">За п’ять </w:t>
            </w:r>
          </w:p>
          <w:p w:rsidR="00D64136" w:rsidRPr="0069669D" w:rsidRDefault="00D64136" w:rsidP="000404DD">
            <w:pPr>
              <w:spacing w:before="150" w:after="150"/>
              <w:ind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</w:tr>
      <w:tr w:rsidR="0078056E" w:rsidRPr="0069669D" w:rsidTr="008B0265"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72FB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72FB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B026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B026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B0265"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56E" w:rsidRPr="0069669D" w:rsidTr="008B0265"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Pr="0069669D" w:rsidRDefault="0078056E" w:rsidP="0078056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Витрати, пов’язані із наймом додаткового персоналу,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6E" w:rsidRDefault="0078056E" w:rsidP="0078056E">
            <w:pPr>
              <w:jc w:val="center"/>
            </w:pPr>
            <w:r w:rsidRPr="00EE0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265" w:rsidRPr="0069669D" w:rsidTr="00966846">
        <w:trPr>
          <w:trHeight w:val="12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69669D" w:rsidRDefault="008B0265" w:rsidP="00CC7D82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CC7D82" w:rsidRDefault="008B0265" w:rsidP="00CC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 xml:space="preserve">Інше (уточнити), гривень </w:t>
            </w:r>
          </w:p>
          <w:p w:rsidR="00966846" w:rsidRDefault="00966846" w:rsidP="00CC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46" w:rsidRDefault="008B0265" w:rsidP="00CC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 xml:space="preserve">1.Витрати на проїзд до уповноваженого органу (тричі) </w:t>
            </w:r>
          </w:p>
          <w:p w:rsidR="008B0265" w:rsidRPr="00CC7D82" w:rsidRDefault="008B0265" w:rsidP="00CC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 xml:space="preserve">2.Витрати часу на отримання інформації про регуляторний </w:t>
            </w:r>
            <w:r w:rsidR="00966846" w:rsidRPr="00CC7D82">
              <w:rPr>
                <w:rFonts w:ascii="Times New Roman" w:hAnsi="Times New Roman" w:cs="Times New Roman"/>
                <w:sz w:val="24"/>
                <w:szCs w:val="24"/>
              </w:rPr>
              <w:t>акт.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BF7D35" w:rsidRDefault="008B0265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</w:p>
          <w:p w:rsidR="00966846" w:rsidRPr="00BF7D35" w:rsidRDefault="00966846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B0265" w:rsidRPr="00BF7D35" w:rsidRDefault="008B0265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5" w:rsidRPr="00BF7D35" w:rsidRDefault="0078056E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BF7D35" w:rsidRDefault="008B0265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</w:p>
          <w:p w:rsidR="00966846" w:rsidRPr="00BF7D35" w:rsidRDefault="00966846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B0265" w:rsidRPr="00BF7D35" w:rsidRDefault="008B0265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12,0</w:t>
            </w:r>
          </w:p>
        </w:tc>
      </w:tr>
      <w:tr w:rsidR="008B0265" w:rsidRPr="0069669D" w:rsidTr="00966846">
        <w:trPr>
          <w:trHeight w:val="10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69669D" w:rsidRDefault="008B0265" w:rsidP="00CC7D82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966846" w:rsidRDefault="008B0265" w:rsidP="008B02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68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Примітка Витрати часу на отримання інформації про регуляторний акт 1 год.(75,28 грн/година середня заробітна плата відповідальної особи 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75,28</w:t>
            </w:r>
          </w:p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5" w:rsidRPr="00BF7D35" w:rsidRDefault="0078056E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75,28</w:t>
            </w:r>
          </w:p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B0265" w:rsidRPr="00BF7D35" w:rsidRDefault="008B0265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6846" w:rsidRPr="0069669D" w:rsidTr="008B0265">
        <w:trPr>
          <w:trHeight w:val="18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46" w:rsidRPr="0069669D" w:rsidRDefault="00966846" w:rsidP="00CC7D82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46" w:rsidRPr="00CC7D82" w:rsidRDefault="00966846" w:rsidP="0096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 xml:space="preserve"> 3. Витрати часу пов’язані із впровадженням вимог регуляторного акта (підготовка оформлення необхідних документів) Примітка. Витрати часу на одного суб’єкта – 1 робочий день 8 год. (75,28 грн/година середня заробітна плата відповідальної особи )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46" w:rsidRPr="00BF7D35" w:rsidRDefault="00966846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602,24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46" w:rsidRPr="00BF7D35" w:rsidRDefault="0078056E" w:rsidP="00CC7D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46" w:rsidRPr="00BF7D35" w:rsidRDefault="00966846" w:rsidP="008B02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602,24</w:t>
            </w:r>
          </w:p>
        </w:tc>
      </w:tr>
      <w:tr w:rsidR="00D64136" w:rsidRPr="0069669D" w:rsidTr="00333E2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CC7D82" w:rsidRDefault="00D64136" w:rsidP="005A544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>РАЗОМ (сума рядків: 1 + 2 + 3 + 4 + 5 + 6 + 7 + 8),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6" w:rsidRPr="00BF7D35" w:rsidRDefault="0078056E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1" w:name="_Hlk22890100"/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  <w:bookmarkEnd w:id="11"/>
          </w:p>
        </w:tc>
      </w:tr>
      <w:tr w:rsidR="00D64136" w:rsidRPr="0069669D" w:rsidTr="008B026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CC7D82" w:rsidRDefault="00D64136" w:rsidP="005A544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6" w:rsidRPr="00BF7D35" w:rsidRDefault="0078056E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D64136" w:rsidRPr="0069669D" w:rsidTr="00333E2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69669D" w:rsidRDefault="00D64136" w:rsidP="005A544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CC7D82" w:rsidRDefault="00D64136" w:rsidP="005A544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C7D82">
              <w:rPr>
                <w:rFonts w:ascii="Times New Roman" w:hAnsi="Times New Roman" w:cs="Times New Roman"/>
                <w:sz w:val="24"/>
                <w:szCs w:val="24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689,52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6" w:rsidRPr="00BF7D35" w:rsidRDefault="0078056E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36" w:rsidRPr="00BF7D35" w:rsidRDefault="00D64136" w:rsidP="005A5441">
            <w:pPr>
              <w:snapToGrid w:val="0"/>
              <w:spacing w:before="150" w:after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7D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689,52</w:t>
            </w:r>
          </w:p>
        </w:tc>
      </w:tr>
    </w:tbl>
    <w:p w:rsidR="00C06C0E" w:rsidRPr="0069669D" w:rsidRDefault="00C06C0E" w:rsidP="00C06C0E">
      <w:pPr>
        <w:shd w:val="clear" w:color="auto" w:fill="FFFFFF"/>
        <w:spacing w:after="150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12" w:name="n179"/>
      <w:bookmarkStart w:id="13" w:name="n180"/>
      <w:bookmarkStart w:id="14" w:name="n182"/>
      <w:bookmarkEnd w:id="12"/>
      <w:bookmarkEnd w:id="13"/>
      <w:bookmarkEnd w:id="14"/>
    </w:p>
    <w:p w:rsidR="00C06C0E" w:rsidRDefault="00C06C0E" w:rsidP="0078056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n183"/>
      <w:bookmarkStart w:id="16" w:name="n232"/>
      <w:bookmarkEnd w:id="15"/>
      <w:bookmarkEnd w:id="16"/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136" w:rsidRDefault="00D64136" w:rsidP="00C06C0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4136" w:rsidSect="00E67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927"/>
    <w:multiLevelType w:val="hybridMultilevel"/>
    <w:tmpl w:val="034830C2"/>
    <w:lvl w:ilvl="0" w:tplc="161A3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38D8"/>
    <w:multiLevelType w:val="hybridMultilevel"/>
    <w:tmpl w:val="651682E4"/>
    <w:lvl w:ilvl="0" w:tplc="0422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802"/>
    <w:multiLevelType w:val="hybridMultilevel"/>
    <w:tmpl w:val="EC5081A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3E1E"/>
    <w:multiLevelType w:val="hybridMultilevel"/>
    <w:tmpl w:val="83ACB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174C0"/>
    <w:multiLevelType w:val="hybridMultilevel"/>
    <w:tmpl w:val="D38C314E"/>
    <w:lvl w:ilvl="0" w:tplc="A1104A2C">
      <w:start w:val="1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C76247"/>
    <w:multiLevelType w:val="hybridMultilevel"/>
    <w:tmpl w:val="AD146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45F54"/>
    <w:multiLevelType w:val="hybridMultilevel"/>
    <w:tmpl w:val="6EE831E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31DA"/>
    <w:multiLevelType w:val="hybridMultilevel"/>
    <w:tmpl w:val="5DC6E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B2884"/>
    <w:multiLevelType w:val="hybridMultilevel"/>
    <w:tmpl w:val="7958B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43D"/>
    <w:multiLevelType w:val="hybridMultilevel"/>
    <w:tmpl w:val="F69C5CC6"/>
    <w:lvl w:ilvl="0" w:tplc="1E1C6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17576"/>
    <w:multiLevelType w:val="hybridMultilevel"/>
    <w:tmpl w:val="82EE5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73F55"/>
    <w:multiLevelType w:val="hybridMultilevel"/>
    <w:tmpl w:val="B63E0BB4"/>
    <w:lvl w:ilvl="0" w:tplc="CA62C4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F2C13"/>
    <w:multiLevelType w:val="hybridMultilevel"/>
    <w:tmpl w:val="29D08CD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C0EB2"/>
    <w:multiLevelType w:val="hybridMultilevel"/>
    <w:tmpl w:val="7DCC78E6"/>
    <w:lvl w:ilvl="0" w:tplc="74D20D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7451"/>
    <w:rsid w:val="0000134A"/>
    <w:rsid w:val="00013844"/>
    <w:rsid w:val="00015393"/>
    <w:rsid w:val="000217B4"/>
    <w:rsid w:val="00023302"/>
    <w:rsid w:val="00023CBA"/>
    <w:rsid w:val="00030FA9"/>
    <w:rsid w:val="00036AC5"/>
    <w:rsid w:val="00037B76"/>
    <w:rsid w:val="0004019C"/>
    <w:rsid w:val="000404DD"/>
    <w:rsid w:val="00042A3F"/>
    <w:rsid w:val="000456D0"/>
    <w:rsid w:val="00066D61"/>
    <w:rsid w:val="00067AD2"/>
    <w:rsid w:val="000765E4"/>
    <w:rsid w:val="000878CD"/>
    <w:rsid w:val="000A188E"/>
    <w:rsid w:val="000A24B1"/>
    <w:rsid w:val="000B4AC9"/>
    <w:rsid w:val="000C2658"/>
    <w:rsid w:val="000D261E"/>
    <w:rsid w:val="000D27BD"/>
    <w:rsid w:val="000E254C"/>
    <w:rsid w:val="000F5739"/>
    <w:rsid w:val="000F6B97"/>
    <w:rsid w:val="001106AE"/>
    <w:rsid w:val="00122477"/>
    <w:rsid w:val="00124AD9"/>
    <w:rsid w:val="00127FB5"/>
    <w:rsid w:val="00143056"/>
    <w:rsid w:val="0014329D"/>
    <w:rsid w:val="001437F7"/>
    <w:rsid w:val="001475C3"/>
    <w:rsid w:val="0015290B"/>
    <w:rsid w:val="001648DC"/>
    <w:rsid w:val="0018129A"/>
    <w:rsid w:val="0018243F"/>
    <w:rsid w:val="00192E71"/>
    <w:rsid w:val="001B0CB4"/>
    <w:rsid w:val="001D06D6"/>
    <w:rsid w:val="001E108B"/>
    <w:rsid w:val="001E42A7"/>
    <w:rsid w:val="001E7CC2"/>
    <w:rsid w:val="001F2BA5"/>
    <w:rsid w:val="001F5DCC"/>
    <w:rsid w:val="002217D7"/>
    <w:rsid w:val="002246F2"/>
    <w:rsid w:val="002276DA"/>
    <w:rsid w:val="00230593"/>
    <w:rsid w:val="0023213D"/>
    <w:rsid w:val="00245D5D"/>
    <w:rsid w:val="002721D2"/>
    <w:rsid w:val="0027660C"/>
    <w:rsid w:val="00281C1C"/>
    <w:rsid w:val="0028357D"/>
    <w:rsid w:val="00293F09"/>
    <w:rsid w:val="00294F17"/>
    <w:rsid w:val="002960C7"/>
    <w:rsid w:val="002A3CFD"/>
    <w:rsid w:val="002A7B89"/>
    <w:rsid w:val="002B2CE1"/>
    <w:rsid w:val="002B5AEA"/>
    <w:rsid w:val="002B5FDE"/>
    <w:rsid w:val="002B6955"/>
    <w:rsid w:val="002C72B9"/>
    <w:rsid w:val="002E3D7D"/>
    <w:rsid w:val="00304FC8"/>
    <w:rsid w:val="00310089"/>
    <w:rsid w:val="00313DFD"/>
    <w:rsid w:val="00315716"/>
    <w:rsid w:val="003176DC"/>
    <w:rsid w:val="003214BD"/>
    <w:rsid w:val="003216E8"/>
    <w:rsid w:val="00323D3B"/>
    <w:rsid w:val="0032503F"/>
    <w:rsid w:val="00333E2F"/>
    <w:rsid w:val="00346D10"/>
    <w:rsid w:val="00357B16"/>
    <w:rsid w:val="00365680"/>
    <w:rsid w:val="00371FC8"/>
    <w:rsid w:val="00372D5D"/>
    <w:rsid w:val="0037673A"/>
    <w:rsid w:val="00381C81"/>
    <w:rsid w:val="00383963"/>
    <w:rsid w:val="00384EFD"/>
    <w:rsid w:val="00385474"/>
    <w:rsid w:val="003A0BA9"/>
    <w:rsid w:val="003B2A74"/>
    <w:rsid w:val="003C18ED"/>
    <w:rsid w:val="003C44E2"/>
    <w:rsid w:val="003D42B5"/>
    <w:rsid w:val="003E0CD1"/>
    <w:rsid w:val="003E2F90"/>
    <w:rsid w:val="003E5E93"/>
    <w:rsid w:val="003E6BB8"/>
    <w:rsid w:val="003F770B"/>
    <w:rsid w:val="00410467"/>
    <w:rsid w:val="004122DA"/>
    <w:rsid w:val="004149B9"/>
    <w:rsid w:val="004161BB"/>
    <w:rsid w:val="004271D6"/>
    <w:rsid w:val="00431945"/>
    <w:rsid w:val="004335EF"/>
    <w:rsid w:val="00446B2A"/>
    <w:rsid w:val="0045000B"/>
    <w:rsid w:val="004515A6"/>
    <w:rsid w:val="0045222C"/>
    <w:rsid w:val="00452C97"/>
    <w:rsid w:val="00464FB7"/>
    <w:rsid w:val="0046583C"/>
    <w:rsid w:val="00466084"/>
    <w:rsid w:val="004665D1"/>
    <w:rsid w:val="00477F30"/>
    <w:rsid w:val="00492ED9"/>
    <w:rsid w:val="00496B93"/>
    <w:rsid w:val="00496CF0"/>
    <w:rsid w:val="004B2E6B"/>
    <w:rsid w:val="004C1F3A"/>
    <w:rsid w:val="004D0183"/>
    <w:rsid w:val="004D09D7"/>
    <w:rsid w:val="004E7502"/>
    <w:rsid w:val="004E7EA9"/>
    <w:rsid w:val="004F2B99"/>
    <w:rsid w:val="00514894"/>
    <w:rsid w:val="00516AF0"/>
    <w:rsid w:val="005177D4"/>
    <w:rsid w:val="00522EEF"/>
    <w:rsid w:val="00525512"/>
    <w:rsid w:val="005321FD"/>
    <w:rsid w:val="005505D2"/>
    <w:rsid w:val="005518AB"/>
    <w:rsid w:val="0056445B"/>
    <w:rsid w:val="00566987"/>
    <w:rsid w:val="00570020"/>
    <w:rsid w:val="005A10B9"/>
    <w:rsid w:val="005A28A7"/>
    <w:rsid w:val="005A5441"/>
    <w:rsid w:val="005B1774"/>
    <w:rsid w:val="005B6940"/>
    <w:rsid w:val="005D0CED"/>
    <w:rsid w:val="005E6C56"/>
    <w:rsid w:val="005E72EC"/>
    <w:rsid w:val="005F348A"/>
    <w:rsid w:val="005F427C"/>
    <w:rsid w:val="00600E42"/>
    <w:rsid w:val="0061172A"/>
    <w:rsid w:val="00615CA0"/>
    <w:rsid w:val="00616F62"/>
    <w:rsid w:val="006271AC"/>
    <w:rsid w:val="006357B0"/>
    <w:rsid w:val="00657034"/>
    <w:rsid w:val="00657188"/>
    <w:rsid w:val="006644B1"/>
    <w:rsid w:val="00667BB3"/>
    <w:rsid w:val="006739DC"/>
    <w:rsid w:val="00690B62"/>
    <w:rsid w:val="00690B9D"/>
    <w:rsid w:val="00691AAC"/>
    <w:rsid w:val="006930AB"/>
    <w:rsid w:val="00693E47"/>
    <w:rsid w:val="0069669D"/>
    <w:rsid w:val="00697A3E"/>
    <w:rsid w:val="006A0260"/>
    <w:rsid w:val="006A1C30"/>
    <w:rsid w:val="006A65A6"/>
    <w:rsid w:val="006A7AC7"/>
    <w:rsid w:val="006A7BC6"/>
    <w:rsid w:val="006B1926"/>
    <w:rsid w:val="006B59CD"/>
    <w:rsid w:val="006B6CBF"/>
    <w:rsid w:val="006C079C"/>
    <w:rsid w:val="006D019B"/>
    <w:rsid w:val="006D7B86"/>
    <w:rsid w:val="006E3C79"/>
    <w:rsid w:val="006F7311"/>
    <w:rsid w:val="007047C7"/>
    <w:rsid w:val="00707739"/>
    <w:rsid w:val="0071245A"/>
    <w:rsid w:val="00724610"/>
    <w:rsid w:val="00732FC5"/>
    <w:rsid w:val="0073482D"/>
    <w:rsid w:val="00735ECF"/>
    <w:rsid w:val="00740BB0"/>
    <w:rsid w:val="00743D55"/>
    <w:rsid w:val="0075233C"/>
    <w:rsid w:val="007528B2"/>
    <w:rsid w:val="00761E75"/>
    <w:rsid w:val="00767D4C"/>
    <w:rsid w:val="0078056E"/>
    <w:rsid w:val="00781E55"/>
    <w:rsid w:val="00792DB9"/>
    <w:rsid w:val="007A41C3"/>
    <w:rsid w:val="007A6568"/>
    <w:rsid w:val="007A6E77"/>
    <w:rsid w:val="007B09F0"/>
    <w:rsid w:val="007B0E76"/>
    <w:rsid w:val="007D02CE"/>
    <w:rsid w:val="007D782B"/>
    <w:rsid w:val="007E1DB3"/>
    <w:rsid w:val="007F73A3"/>
    <w:rsid w:val="008172FC"/>
    <w:rsid w:val="00827451"/>
    <w:rsid w:val="0082789B"/>
    <w:rsid w:val="00835C37"/>
    <w:rsid w:val="00837E2D"/>
    <w:rsid w:val="0084546A"/>
    <w:rsid w:val="00855E0F"/>
    <w:rsid w:val="00864DD7"/>
    <w:rsid w:val="00867AAA"/>
    <w:rsid w:val="00872FB2"/>
    <w:rsid w:val="00894D22"/>
    <w:rsid w:val="0089663C"/>
    <w:rsid w:val="008B0265"/>
    <w:rsid w:val="008B7FD5"/>
    <w:rsid w:val="008C105C"/>
    <w:rsid w:val="008C51ED"/>
    <w:rsid w:val="008E1514"/>
    <w:rsid w:val="008E53F7"/>
    <w:rsid w:val="008E54D7"/>
    <w:rsid w:val="00910F4D"/>
    <w:rsid w:val="00916D01"/>
    <w:rsid w:val="009313D4"/>
    <w:rsid w:val="00935E5A"/>
    <w:rsid w:val="00937156"/>
    <w:rsid w:val="009444FA"/>
    <w:rsid w:val="0094451B"/>
    <w:rsid w:val="009562B6"/>
    <w:rsid w:val="00966846"/>
    <w:rsid w:val="009701D2"/>
    <w:rsid w:val="009708DD"/>
    <w:rsid w:val="0097394F"/>
    <w:rsid w:val="00997B7F"/>
    <w:rsid w:val="009A54F7"/>
    <w:rsid w:val="009B76FC"/>
    <w:rsid w:val="009C3F62"/>
    <w:rsid w:val="009E0D77"/>
    <w:rsid w:val="009E18EC"/>
    <w:rsid w:val="009E2BDA"/>
    <w:rsid w:val="009F37CF"/>
    <w:rsid w:val="009F39D0"/>
    <w:rsid w:val="00A055D4"/>
    <w:rsid w:val="00A24765"/>
    <w:rsid w:val="00A3248E"/>
    <w:rsid w:val="00A351E7"/>
    <w:rsid w:val="00A3655C"/>
    <w:rsid w:val="00A541C5"/>
    <w:rsid w:val="00A61BD1"/>
    <w:rsid w:val="00A8378A"/>
    <w:rsid w:val="00A845A0"/>
    <w:rsid w:val="00A97531"/>
    <w:rsid w:val="00AA33FC"/>
    <w:rsid w:val="00AA5831"/>
    <w:rsid w:val="00AA6C9D"/>
    <w:rsid w:val="00AB1775"/>
    <w:rsid w:val="00AB5553"/>
    <w:rsid w:val="00AE31A6"/>
    <w:rsid w:val="00AF7E5D"/>
    <w:rsid w:val="00B17C7B"/>
    <w:rsid w:val="00B211E8"/>
    <w:rsid w:val="00B21EEA"/>
    <w:rsid w:val="00B261E1"/>
    <w:rsid w:val="00B32549"/>
    <w:rsid w:val="00B34F67"/>
    <w:rsid w:val="00B355D7"/>
    <w:rsid w:val="00B35688"/>
    <w:rsid w:val="00B43821"/>
    <w:rsid w:val="00B51428"/>
    <w:rsid w:val="00B556A4"/>
    <w:rsid w:val="00B603E9"/>
    <w:rsid w:val="00B6251E"/>
    <w:rsid w:val="00B665A7"/>
    <w:rsid w:val="00B6786E"/>
    <w:rsid w:val="00B81829"/>
    <w:rsid w:val="00B91C57"/>
    <w:rsid w:val="00B941A0"/>
    <w:rsid w:val="00BB2E73"/>
    <w:rsid w:val="00BC1A04"/>
    <w:rsid w:val="00BD2084"/>
    <w:rsid w:val="00BD3262"/>
    <w:rsid w:val="00BE686E"/>
    <w:rsid w:val="00BE79C0"/>
    <w:rsid w:val="00BF690A"/>
    <w:rsid w:val="00BF7D35"/>
    <w:rsid w:val="00C00FF7"/>
    <w:rsid w:val="00C06C0E"/>
    <w:rsid w:val="00C31BE9"/>
    <w:rsid w:val="00C353E8"/>
    <w:rsid w:val="00C373B8"/>
    <w:rsid w:val="00C44395"/>
    <w:rsid w:val="00C44C88"/>
    <w:rsid w:val="00C54CF0"/>
    <w:rsid w:val="00C5652A"/>
    <w:rsid w:val="00C70B9D"/>
    <w:rsid w:val="00C74635"/>
    <w:rsid w:val="00C836AB"/>
    <w:rsid w:val="00CA4CB6"/>
    <w:rsid w:val="00CB489D"/>
    <w:rsid w:val="00CC06C9"/>
    <w:rsid w:val="00CC7D82"/>
    <w:rsid w:val="00CE5329"/>
    <w:rsid w:val="00D02897"/>
    <w:rsid w:val="00D06DE1"/>
    <w:rsid w:val="00D10225"/>
    <w:rsid w:val="00D25A91"/>
    <w:rsid w:val="00D43F35"/>
    <w:rsid w:val="00D44356"/>
    <w:rsid w:val="00D46624"/>
    <w:rsid w:val="00D510FB"/>
    <w:rsid w:val="00D64136"/>
    <w:rsid w:val="00D71DDC"/>
    <w:rsid w:val="00D82B9E"/>
    <w:rsid w:val="00D95D00"/>
    <w:rsid w:val="00DA213B"/>
    <w:rsid w:val="00DA6999"/>
    <w:rsid w:val="00DB3976"/>
    <w:rsid w:val="00DB61E8"/>
    <w:rsid w:val="00DE2C25"/>
    <w:rsid w:val="00DE37A8"/>
    <w:rsid w:val="00E14967"/>
    <w:rsid w:val="00E221A7"/>
    <w:rsid w:val="00E26BF5"/>
    <w:rsid w:val="00E449A6"/>
    <w:rsid w:val="00E65EA8"/>
    <w:rsid w:val="00E671A2"/>
    <w:rsid w:val="00E67319"/>
    <w:rsid w:val="00E72D24"/>
    <w:rsid w:val="00E80A9E"/>
    <w:rsid w:val="00E9590F"/>
    <w:rsid w:val="00E95914"/>
    <w:rsid w:val="00EC05CE"/>
    <w:rsid w:val="00EC12BE"/>
    <w:rsid w:val="00EC4933"/>
    <w:rsid w:val="00EC6D0E"/>
    <w:rsid w:val="00EE43D7"/>
    <w:rsid w:val="00EF1EAE"/>
    <w:rsid w:val="00EF4B66"/>
    <w:rsid w:val="00EF4FC5"/>
    <w:rsid w:val="00F030E1"/>
    <w:rsid w:val="00F056F8"/>
    <w:rsid w:val="00F21F90"/>
    <w:rsid w:val="00F2477D"/>
    <w:rsid w:val="00F2542F"/>
    <w:rsid w:val="00F27596"/>
    <w:rsid w:val="00F43DED"/>
    <w:rsid w:val="00F618EB"/>
    <w:rsid w:val="00F63F79"/>
    <w:rsid w:val="00F71889"/>
    <w:rsid w:val="00F76BA9"/>
    <w:rsid w:val="00F84567"/>
    <w:rsid w:val="00F90313"/>
    <w:rsid w:val="00F92008"/>
    <w:rsid w:val="00F9538E"/>
    <w:rsid w:val="00FA5161"/>
    <w:rsid w:val="00FB62E0"/>
    <w:rsid w:val="00FC0CD7"/>
    <w:rsid w:val="00FC33BC"/>
    <w:rsid w:val="00FC53FB"/>
    <w:rsid w:val="00FC5CE6"/>
    <w:rsid w:val="00FD0AAA"/>
    <w:rsid w:val="00FF2532"/>
    <w:rsid w:val="00FF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566987"/>
    <w:rPr>
      <w:rFonts w:ascii="Calibri" w:eastAsia="Calibri" w:hAnsi="Calibri" w:cs="Calibri"/>
      <w:color w:val="00000A"/>
      <w:lang w:val="ru-RU" w:eastAsia="en-US"/>
    </w:rPr>
  </w:style>
  <w:style w:type="paragraph" w:customStyle="1" w:styleId="31">
    <w:name w:val="Заголовок 31"/>
    <w:basedOn w:val="a"/>
    <w:next w:val="a"/>
    <w:link w:val="3"/>
    <w:qFormat/>
    <w:rsid w:val="00AA33FC"/>
    <w:pPr>
      <w:keepNext/>
      <w:widowControl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a0"/>
    <w:link w:val="31"/>
    <w:qFormat/>
    <w:rsid w:val="00AA33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AA33FC"/>
    <w:pPr>
      <w:spacing w:after="0" w:line="240" w:lineRule="auto"/>
    </w:pPr>
    <w:rPr>
      <w:rFonts w:eastAsiaTheme="minorHAnsi" w:cs="Times New Roman"/>
      <w:sz w:val="24"/>
      <w:lang w:val="ru-RU" w:eastAsia="en-US"/>
    </w:rPr>
  </w:style>
  <w:style w:type="character" w:styleId="a5">
    <w:name w:val="Hyperlink"/>
    <w:basedOn w:val="a0"/>
    <w:uiPriority w:val="99"/>
    <w:unhideWhenUsed/>
    <w:rsid w:val="00AA33FC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A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A7BC6"/>
    <w:pPr>
      <w:ind w:left="720"/>
      <w:contextualSpacing/>
    </w:pPr>
  </w:style>
  <w:style w:type="table" w:styleId="a8">
    <w:name w:val="Table Grid"/>
    <w:basedOn w:val="a1"/>
    <w:uiPriority w:val="59"/>
    <w:rsid w:val="00F61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27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71A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trans_te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21231</Words>
  <Characters>12102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d12-Bunjak</cp:lastModifiedBy>
  <cp:revision>15</cp:revision>
  <cp:lastPrinted>2019-10-30T10:09:00Z</cp:lastPrinted>
  <dcterms:created xsi:type="dcterms:W3CDTF">2021-07-28T12:18:00Z</dcterms:created>
  <dcterms:modified xsi:type="dcterms:W3CDTF">2021-08-10T05:36:00Z</dcterms:modified>
</cp:coreProperties>
</file>