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F" w:rsidRDefault="0074470F" w:rsidP="0074470F">
      <w:pPr>
        <w:shd w:val="clear" w:color="auto" w:fill="FFFFFF"/>
        <w:spacing w:after="120" w:line="360" w:lineRule="atLeast"/>
        <w:jc w:val="both"/>
        <w:textAlignment w:val="baseline"/>
        <w:rPr>
          <w:rFonts w:ascii="Times New Roman" w:eastAsia="Times New Roman" w:hAnsi="Times New Roman" w:cs="Times New Roman"/>
          <w:b/>
          <w:spacing w:val="12"/>
          <w:sz w:val="24"/>
          <w:szCs w:val="24"/>
          <w:lang w:eastAsia="uk-UA"/>
        </w:rPr>
      </w:pPr>
      <w:r w:rsidRPr="0074470F">
        <w:rPr>
          <w:rFonts w:ascii="Times New Roman" w:eastAsia="Times New Roman" w:hAnsi="Times New Roman" w:cs="Times New Roman"/>
          <w:b/>
          <w:bCs/>
          <w:spacing w:val="12"/>
          <w:sz w:val="24"/>
          <w:szCs w:val="24"/>
          <w:lang w:eastAsia="uk-UA"/>
        </w:rPr>
        <w:t xml:space="preserve">Жовтий </w:t>
      </w:r>
      <w:r w:rsidRPr="0074470F">
        <w:rPr>
          <w:rFonts w:ascii="Times New Roman" w:eastAsia="Times New Roman" w:hAnsi="Times New Roman" w:cs="Times New Roman"/>
          <w:b/>
          <w:bCs/>
          <w:spacing w:val="12"/>
          <w:sz w:val="24"/>
          <w:szCs w:val="24"/>
          <w:lang w:eastAsia="uk-UA"/>
        </w:rPr>
        <w:t xml:space="preserve">та помаранчеві рівні </w:t>
      </w:r>
      <w:proofErr w:type="spellStart"/>
      <w:r w:rsidRPr="0074470F">
        <w:rPr>
          <w:rFonts w:ascii="Times New Roman" w:eastAsia="Times New Roman" w:hAnsi="Times New Roman" w:cs="Times New Roman"/>
          <w:b/>
          <w:bCs/>
          <w:spacing w:val="12"/>
          <w:sz w:val="24"/>
          <w:szCs w:val="24"/>
          <w:lang w:eastAsia="uk-UA"/>
        </w:rPr>
        <w:t>епідситуації</w:t>
      </w:r>
      <w:proofErr w:type="spellEnd"/>
      <w:r w:rsidRPr="0074470F">
        <w:rPr>
          <w:rFonts w:ascii="Times New Roman" w:eastAsia="Times New Roman" w:hAnsi="Times New Roman" w:cs="Times New Roman"/>
          <w:b/>
          <w:spacing w:val="12"/>
          <w:sz w:val="24"/>
          <w:szCs w:val="24"/>
          <w:lang w:eastAsia="uk-UA"/>
        </w:rPr>
        <w:t xml:space="preserve"> передбача</w:t>
      </w:r>
      <w:r w:rsidRPr="0074470F">
        <w:rPr>
          <w:rFonts w:ascii="Times New Roman" w:eastAsia="Times New Roman" w:hAnsi="Times New Roman" w:cs="Times New Roman"/>
          <w:b/>
          <w:spacing w:val="12"/>
          <w:sz w:val="24"/>
          <w:szCs w:val="24"/>
          <w:lang w:eastAsia="uk-UA"/>
        </w:rPr>
        <w:t>ють</w:t>
      </w:r>
      <w:r w:rsidRPr="0074470F">
        <w:rPr>
          <w:rFonts w:ascii="Times New Roman" w:eastAsia="Times New Roman" w:hAnsi="Times New Roman" w:cs="Times New Roman"/>
          <w:b/>
          <w:spacing w:val="12"/>
          <w:sz w:val="24"/>
          <w:szCs w:val="24"/>
          <w:lang w:eastAsia="uk-UA"/>
        </w:rPr>
        <w:t xml:space="preserve"> відповідні обмеження та протиепідемічні заходи. </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b/>
          <w:spacing w:val="12"/>
          <w:sz w:val="24"/>
          <w:szCs w:val="24"/>
          <w:lang w:eastAsia="uk-UA"/>
        </w:rPr>
      </w:pPr>
      <w:r w:rsidRPr="0074470F">
        <w:rPr>
          <w:rFonts w:ascii="Times New Roman" w:eastAsia="Times New Roman" w:hAnsi="Times New Roman" w:cs="Times New Roman"/>
          <w:b/>
          <w:spacing w:val="12"/>
          <w:sz w:val="24"/>
          <w:szCs w:val="24"/>
          <w:lang w:eastAsia="uk-UA"/>
        </w:rPr>
        <w:t>Зокрема, забороняється:</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3) самовільно залишати місця самоізоляції, обсервації;</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автобусів, що здійснюють регулярні, нерегулярні та маятникові перевезення, членів екіпажів повітряних і морських, річкових суден, членів поїзних і локомотивних бригад, військовослужбовців (підрозділів)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74470F">
        <w:rPr>
          <w:rFonts w:ascii="Times New Roman" w:eastAsia="Times New Roman" w:hAnsi="Times New Roman" w:cs="Times New Roman"/>
          <w:spacing w:val="12"/>
          <w:sz w:val="24"/>
          <w:szCs w:val="24"/>
          <w:lang w:eastAsia="uk-UA"/>
        </w:rPr>
        <w:t>асистанс</w:t>
      </w:r>
      <w:proofErr w:type="spellEnd"/>
      <w:r w:rsidRPr="0074470F">
        <w:rPr>
          <w:rFonts w:ascii="Times New Roman" w:eastAsia="Times New Roman" w:hAnsi="Times New Roman" w:cs="Times New Roman"/>
          <w:spacing w:val="12"/>
          <w:sz w:val="24"/>
          <w:szCs w:val="24"/>
          <w:lang w:eastAsia="uk-UA"/>
        </w:rPr>
        <w:t>), покриває витрати, пов’язані з лікуванням COVID-19, обсервацією, та діє на строк перебування в Україні.</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У разі відсутності зазначеного поліса (свідоцтва, сертифіката) страхування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w:t>
      </w:r>
      <w:hyperlink r:id="rId5" w:anchor="n169" w:tgtFrame="_blank" w:history="1">
        <w:r w:rsidRPr="0074470F">
          <w:rPr>
            <w:rFonts w:ascii="Times New Roman" w:eastAsia="Times New Roman" w:hAnsi="Times New Roman" w:cs="Times New Roman"/>
            <w:spacing w:val="12"/>
            <w:sz w:val="24"/>
            <w:szCs w:val="24"/>
            <w:u w:val="single"/>
            <w:lang w:eastAsia="uk-UA"/>
          </w:rPr>
          <w:t>статтею 14</w:t>
        </w:r>
      </w:hyperlink>
      <w:r w:rsidRPr="0074470F">
        <w:rPr>
          <w:rFonts w:ascii="Times New Roman" w:eastAsia="Times New Roman" w:hAnsi="Times New Roman" w:cs="Times New Roman"/>
          <w:spacing w:val="12"/>
          <w:sz w:val="24"/>
          <w:szCs w:val="24"/>
          <w:lang w:eastAsia="uk-UA"/>
        </w:rPr>
        <w:t> Закону України</w:t>
      </w:r>
      <w:bookmarkStart w:id="0" w:name="_GoBack"/>
      <w:bookmarkEnd w:id="0"/>
      <w:r w:rsidRPr="0074470F">
        <w:rPr>
          <w:rFonts w:ascii="Times New Roman" w:eastAsia="Times New Roman" w:hAnsi="Times New Roman" w:cs="Times New Roman"/>
          <w:spacing w:val="12"/>
          <w:sz w:val="24"/>
          <w:szCs w:val="24"/>
          <w:lang w:eastAsia="uk-UA"/>
        </w:rPr>
        <w:t xml:space="preserve"> “Про прикордонний контроль”;</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5) перетин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74470F">
        <w:rPr>
          <w:rFonts w:ascii="Times New Roman" w:eastAsia="Times New Roman" w:hAnsi="Times New Roman" w:cs="Times New Roman"/>
          <w:spacing w:val="12"/>
          <w:sz w:val="24"/>
          <w:szCs w:val="24"/>
          <w:lang w:eastAsia="uk-UA"/>
        </w:rPr>
        <w:t>асистанс</w:t>
      </w:r>
      <w:proofErr w:type="spellEnd"/>
      <w:r w:rsidRPr="0074470F">
        <w:rPr>
          <w:rFonts w:ascii="Times New Roman" w:eastAsia="Times New Roman" w:hAnsi="Times New Roman" w:cs="Times New Roman"/>
          <w:spacing w:val="12"/>
          <w:sz w:val="24"/>
          <w:szCs w:val="24"/>
          <w:lang w:eastAsia="uk-UA"/>
        </w:rPr>
        <w:t>), покриває витрати, пов’язані з лікуванням COVID-19, і діє на строк перебування в Україні.</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lastRenderedPageBreak/>
        <w:t>У разі відсутності зазначеного поліса (свідоцтва, сертифіката) страхування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w:t>
      </w:r>
      <w:hyperlink r:id="rId6" w:anchor="n8" w:tgtFrame="_blank" w:history="1">
        <w:r w:rsidRPr="0074470F">
          <w:rPr>
            <w:rFonts w:ascii="Times New Roman" w:eastAsia="Times New Roman" w:hAnsi="Times New Roman" w:cs="Times New Roman"/>
            <w:spacing w:val="12"/>
            <w:sz w:val="24"/>
            <w:szCs w:val="24"/>
            <w:u w:val="single"/>
            <w:lang w:eastAsia="uk-UA"/>
          </w:rPr>
          <w:t>Порядком в’їзду на тимчасово окуповану територію України та виїзду з неї</w:t>
        </w:r>
      </w:hyperlink>
      <w:r w:rsidRPr="0074470F">
        <w:rPr>
          <w:rFonts w:ascii="Times New Roman" w:eastAsia="Times New Roman" w:hAnsi="Times New Roman" w:cs="Times New Roman"/>
          <w:spacing w:val="12"/>
          <w:sz w:val="24"/>
          <w:szCs w:val="24"/>
          <w:lang w:eastAsia="uk-UA"/>
        </w:rPr>
        <w:t>, затвердженим постановою Кабінету Міністрів України від 4 червня 2015 р. № 367 (Офіційний вісник України, 2015 р., № 46, ст. 1485), та </w:t>
      </w:r>
      <w:hyperlink r:id="rId7" w:anchor="n10" w:tgtFrame="_blank" w:history="1">
        <w:r w:rsidRPr="0074470F">
          <w:rPr>
            <w:rFonts w:ascii="Times New Roman" w:eastAsia="Times New Roman" w:hAnsi="Times New Roman" w:cs="Times New Roman"/>
            <w:spacing w:val="12"/>
            <w:sz w:val="24"/>
            <w:szCs w:val="24"/>
            <w:u w:val="single"/>
            <w:lang w:eastAsia="uk-UA"/>
          </w:rPr>
          <w:t>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w:t>
        </w:r>
      </w:hyperlink>
      <w:r w:rsidRPr="0074470F">
        <w:rPr>
          <w:rFonts w:ascii="Times New Roman" w:eastAsia="Times New Roman" w:hAnsi="Times New Roman" w:cs="Times New Roman"/>
          <w:spacing w:val="12"/>
          <w:sz w:val="24"/>
          <w:szCs w:val="24"/>
          <w:lang w:eastAsia="uk-UA"/>
        </w:rPr>
        <w:t>, затвердженим постановою Кабінету Міністрів України від 17 липня 2019 р. № 815 (Офіційний вісник України, 2019 р., № 70, ст. 2446);</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 xml:space="preserve">6) проведення масових (культурних, спортивних, розважальних, соціальних, релігійних, рекламних, наукових, освітніх, професійних тематичних та інших) заходів за участю більше однієї особи на 4 </w:t>
      </w:r>
      <w:proofErr w:type="spellStart"/>
      <w:r w:rsidRPr="0074470F">
        <w:rPr>
          <w:rFonts w:ascii="Times New Roman" w:eastAsia="Times New Roman" w:hAnsi="Times New Roman" w:cs="Times New Roman"/>
          <w:spacing w:val="12"/>
          <w:sz w:val="24"/>
          <w:szCs w:val="24"/>
          <w:lang w:eastAsia="uk-UA"/>
        </w:rPr>
        <w:t>кв</w:t>
      </w:r>
      <w:proofErr w:type="spellEnd"/>
      <w:r w:rsidRPr="0074470F">
        <w:rPr>
          <w:rFonts w:ascii="Times New Roman" w:eastAsia="Times New Roman" w:hAnsi="Times New Roman" w:cs="Times New Roman"/>
          <w:spacing w:val="12"/>
          <w:sz w:val="24"/>
          <w:szCs w:val="24"/>
          <w:lang w:eastAsia="uk-UA"/>
        </w:rPr>
        <w:t xml:space="preserve">. метри площі будівлі або території (якщо захід проводиться на відкритому повітрі) або наповненістю залів понад 50 відсотків місць у кожному окремому залі,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із глядачами з наповненістю споруд, приміщень не більш як 50 відсотків місць та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Організатор заходу є відповідальним за нанесення горизонтальної розмітки або інших засобів </w:t>
      </w:r>
      <w:proofErr w:type="spellStart"/>
      <w:r w:rsidRPr="0074470F">
        <w:rPr>
          <w:rFonts w:ascii="Times New Roman" w:eastAsia="Times New Roman" w:hAnsi="Times New Roman" w:cs="Times New Roman"/>
          <w:spacing w:val="12"/>
          <w:sz w:val="24"/>
          <w:szCs w:val="24"/>
          <w:lang w:eastAsia="uk-UA"/>
        </w:rPr>
        <w:t>дистанціонування</w:t>
      </w:r>
      <w:proofErr w:type="spellEnd"/>
      <w:r w:rsidRPr="0074470F">
        <w:rPr>
          <w:rFonts w:ascii="Times New Roman" w:eastAsia="Times New Roman" w:hAnsi="Times New Roman" w:cs="Times New Roman"/>
          <w:spacing w:val="12"/>
          <w:sz w:val="24"/>
          <w:szCs w:val="24"/>
          <w:lang w:eastAsia="uk-UA"/>
        </w:rPr>
        <w:t xml:space="preserve"> для дотримання між особами фізичної дистанції не менше ніж 1,5 метра у разі проведення заходу із розміщенням осіб стоячи;</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7)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дотриманням шахового порядку розміщення, зокрема для груп із двох осіб) у кожному окремому кінозалі або залі;</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 xml:space="preserve">8)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74470F">
        <w:rPr>
          <w:rFonts w:ascii="Times New Roman" w:eastAsia="Times New Roman" w:hAnsi="Times New Roman" w:cs="Times New Roman"/>
          <w:spacing w:val="12"/>
          <w:sz w:val="24"/>
          <w:szCs w:val="24"/>
          <w:lang w:eastAsia="uk-UA"/>
        </w:rPr>
        <w:t>внутрішньообласному</w:t>
      </w:r>
      <w:proofErr w:type="spellEnd"/>
      <w:r w:rsidRPr="0074470F">
        <w:rPr>
          <w:rFonts w:ascii="Times New Roman" w:eastAsia="Times New Roman" w:hAnsi="Times New Roman" w:cs="Times New Roman"/>
          <w:spacing w:val="12"/>
          <w:sz w:val="24"/>
          <w:szCs w:val="24"/>
          <w:lang w:eastAsia="uk-UA"/>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такий транспортний засіб.</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lastRenderedPageBreak/>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пасажирами під час перевезення засобів індивідуального захисту, зокрема респіраторів або захисних масок, що закривають ніс та рот, у тому числі виготовлених самостійно;</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 xml:space="preserve">9) проведення </w:t>
      </w:r>
      <w:proofErr w:type="spellStart"/>
      <w:r w:rsidRPr="0074470F">
        <w:rPr>
          <w:rFonts w:ascii="Times New Roman" w:eastAsia="Times New Roman" w:hAnsi="Times New Roman" w:cs="Times New Roman"/>
          <w:spacing w:val="12"/>
          <w:sz w:val="24"/>
          <w:szCs w:val="24"/>
          <w:lang w:eastAsia="uk-UA"/>
        </w:rPr>
        <w:t>дискотек</w:t>
      </w:r>
      <w:proofErr w:type="spellEnd"/>
      <w:r w:rsidRPr="0074470F">
        <w:rPr>
          <w:rFonts w:ascii="Times New Roman" w:eastAsia="Times New Roman" w:hAnsi="Times New Roman" w:cs="Times New Roman"/>
          <w:spacing w:val="12"/>
          <w:sz w:val="24"/>
          <w:szCs w:val="24"/>
          <w:lang w:eastAsia="uk-UA"/>
        </w:rPr>
        <w:t xml:space="preserve">, робота розважальних закладів (нічних клубів), діяльність закладів громадського харчування (ресторанів, кафе, барів, закусочних, </w:t>
      </w:r>
      <w:proofErr w:type="spellStart"/>
      <w:r w:rsidRPr="0074470F">
        <w:rPr>
          <w:rFonts w:ascii="Times New Roman" w:eastAsia="Times New Roman" w:hAnsi="Times New Roman" w:cs="Times New Roman"/>
          <w:spacing w:val="12"/>
          <w:sz w:val="24"/>
          <w:szCs w:val="24"/>
          <w:lang w:eastAsia="uk-UA"/>
        </w:rPr>
        <w:t>їдалень</w:t>
      </w:r>
      <w:proofErr w:type="spellEnd"/>
      <w:r w:rsidRPr="0074470F">
        <w:rPr>
          <w:rFonts w:ascii="Times New Roman" w:eastAsia="Times New Roman" w:hAnsi="Times New Roman" w:cs="Times New Roman"/>
          <w:spacing w:val="12"/>
          <w:sz w:val="24"/>
          <w:szCs w:val="24"/>
          <w:lang w:eastAsia="uk-UA"/>
        </w:rPr>
        <w:t>, кафетеріїв, буфетів тощо) з організацією дозвілля, у тому числі проведення святкових заходів, банкетів, майстер-класів, публічних подій тощо;</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 xml:space="preserve">10) робота після 24-ї та до 7-ї години суб’єктів господарювання з надання послуг громадського харчування (ресторанів, кафе, барів, закусочних, </w:t>
      </w:r>
      <w:proofErr w:type="spellStart"/>
      <w:r w:rsidRPr="0074470F">
        <w:rPr>
          <w:rFonts w:ascii="Times New Roman" w:eastAsia="Times New Roman" w:hAnsi="Times New Roman" w:cs="Times New Roman"/>
          <w:spacing w:val="12"/>
          <w:sz w:val="24"/>
          <w:szCs w:val="24"/>
          <w:lang w:eastAsia="uk-UA"/>
        </w:rPr>
        <w:t>їдалень</w:t>
      </w:r>
      <w:proofErr w:type="spellEnd"/>
      <w:r w:rsidRPr="0074470F">
        <w:rPr>
          <w:rFonts w:ascii="Times New Roman" w:eastAsia="Times New Roman" w:hAnsi="Times New Roman" w:cs="Times New Roman"/>
          <w:spacing w:val="12"/>
          <w:sz w:val="24"/>
          <w:szCs w:val="24"/>
          <w:lang w:eastAsia="uk-UA"/>
        </w:rPr>
        <w:t>,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11) розміщення відвідувачів у закладах громадського харчування на відстані меншій, ніж 2 метри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12) діяльність суб’єктів господарювання, які обслуговують відвідувачів, у яких:</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не нанесено маркування для перебування в черзі з дотриманням дистанції між клієнтами не менш як 1,5 метра;</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не забезпечено працівників засобами індивідуального захисту, зокрема захисними масками або респіраторами, та не здійснюється належний контроль за їх використанням;</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обслуговуються покупці без одягнутих засобів індивідуального захисту, зокрема захисних масок або респіраторів, які закривають ніс та рот, у тому числі виготовлених самостійно, за винятком обслуговування за межами будівлі суб’єкта господарювання (через вікна видачі, тераси тощо);</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не забезпечується централізований збір використаних засобів індивідуального захисту в окремі контейнери (урни);</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13)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bookmarkStart w:id="1" w:name="n29"/>
      <w:bookmarkEnd w:id="1"/>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lastRenderedPageBreak/>
        <w:t>14)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15) проведення в закладах освіти масових заходів (вистав, свят, концертів) за участю здобувачів освіти з більше ніж однієї групи (класу) та за присутності глядачів (відвідувачів);</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16) проведення державними та комунальними закладами охорони здоров’я планових заходів з госпіталізації, крім:</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bookmarkStart w:id="2" w:name="n33"/>
      <w:bookmarkEnd w:id="2"/>
      <w:r w:rsidRPr="0074470F">
        <w:rPr>
          <w:rFonts w:ascii="Times New Roman" w:eastAsia="Times New Roman" w:hAnsi="Times New Roman" w:cs="Times New Roman"/>
          <w:spacing w:val="12"/>
          <w:sz w:val="24"/>
          <w:szCs w:val="24"/>
          <w:lang w:eastAsia="uk-UA"/>
        </w:rPr>
        <w:t>надання медичної допомоги внаслідок ускладненого перебігу вагітності та пологів;</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bookmarkStart w:id="3" w:name="n34"/>
      <w:bookmarkEnd w:id="3"/>
      <w:r w:rsidRPr="0074470F">
        <w:rPr>
          <w:rFonts w:ascii="Times New Roman" w:eastAsia="Times New Roman" w:hAnsi="Times New Roman" w:cs="Times New Roman"/>
          <w:spacing w:val="12"/>
          <w:sz w:val="24"/>
          <w:szCs w:val="24"/>
          <w:lang w:eastAsia="uk-UA"/>
        </w:rPr>
        <w:t>надання медичної допомоги вагітним, роділлям, породіллям, новонародженим;</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bookmarkStart w:id="4" w:name="n35"/>
      <w:bookmarkEnd w:id="4"/>
      <w:r w:rsidRPr="0074470F">
        <w:rPr>
          <w:rFonts w:ascii="Times New Roman" w:eastAsia="Times New Roman" w:hAnsi="Times New Roman" w:cs="Times New Roman"/>
          <w:spacing w:val="12"/>
          <w:sz w:val="24"/>
          <w:szCs w:val="24"/>
          <w:lang w:eastAsia="uk-UA"/>
        </w:rPr>
        <w:t xml:space="preserve">надання медичної допомоги у спеціалізованих відділеннях закладів охорони здоров’я пацієнтам з онкологічними та </w:t>
      </w:r>
      <w:proofErr w:type="spellStart"/>
      <w:r w:rsidRPr="0074470F">
        <w:rPr>
          <w:rFonts w:ascii="Times New Roman" w:eastAsia="Times New Roman" w:hAnsi="Times New Roman" w:cs="Times New Roman"/>
          <w:spacing w:val="12"/>
          <w:sz w:val="24"/>
          <w:szCs w:val="24"/>
          <w:lang w:eastAsia="uk-UA"/>
        </w:rPr>
        <w:t>пульмонологічними</w:t>
      </w:r>
      <w:proofErr w:type="spellEnd"/>
      <w:r w:rsidRPr="0074470F">
        <w:rPr>
          <w:rFonts w:ascii="Times New Roman" w:eastAsia="Times New Roman" w:hAnsi="Times New Roman" w:cs="Times New Roman"/>
          <w:spacing w:val="12"/>
          <w:sz w:val="24"/>
          <w:szCs w:val="24"/>
          <w:lang w:eastAsia="uk-UA"/>
        </w:rPr>
        <w:t xml:space="preserve"> захворюваннями;</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bookmarkStart w:id="5" w:name="n36"/>
      <w:bookmarkEnd w:id="5"/>
      <w:r w:rsidRPr="0074470F">
        <w:rPr>
          <w:rFonts w:ascii="Times New Roman" w:eastAsia="Times New Roman" w:hAnsi="Times New Roman" w:cs="Times New Roman"/>
          <w:spacing w:val="12"/>
          <w:sz w:val="24"/>
          <w:szCs w:val="24"/>
          <w:lang w:eastAsia="uk-UA"/>
        </w:rPr>
        <w:t>надання паліативної медичної допомоги у стаціонарних умовах;</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bookmarkStart w:id="6" w:name="n37"/>
      <w:bookmarkEnd w:id="6"/>
      <w:r w:rsidRPr="0074470F">
        <w:rPr>
          <w:rFonts w:ascii="Times New Roman" w:eastAsia="Times New Roman" w:hAnsi="Times New Roman" w:cs="Times New Roman"/>
          <w:spacing w:val="12"/>
          <w:sz w:val="24"/>
          <w:szCs w:val="24"/>
          <w:lang w:eastAsia="uk-UA"/>
        </w:rPr>
        <w:t>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bookmarkStart w:id="7" w:name="n38"/>
      <w:bookmarkEnd w:id="7"/>
      <w:r w:rsidRPr="0074470F">
        <w:rPr>
          <w:rFonts w:ascii="Times New Roman" w:eastAsia="Times New Roman" w:hAnsi="Times New Roman" w:cs="Times New Roman"/>
          <w:spacing w:val="12"/>
          <w:sz w:val="24"/>
          <w:szCs w:val="24"/>
          <w:lang w:eastAsia="uk-UA"/>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 xml:space="preserve">17) діяльність спортивних залів, фітнес-центрів, які не забезпечують можливість обмежити кількість відвідувачів у залі з розрахунку одна особа на 10 </w:t>
      </w:r>
      <w:proofErr w:type="spellStart"/>
      <w:r w:rsidRPr="0074470F">
        <w:rPr>
          <w:rFonts w:ascii="Times New Roman" w:eastAsia="Times New Roman" w:hAnsi="Times New Roman" w:cs="Times New Roman"/>
          <w:spacing w:val="12"/>
          <w:sz w:val="24"/>
          <w:szCs w:val="24"/>
          <w:lang w:eastAsia="uk-UA"/>
        </w:rPr>
        <w:t>кв</w:t>
      </w:r>
      <w:proofErr w:type="spellEnd"/>
      <w:r w:rsidRPr="0074470F">
        <w:rPr>
          <w:rFonts w:ascii="Times New Roman" w:eastAsia="Times New Roman" w:hAnsi="Times New Roman" w:cs="Times New Roman"/>
          <w:spacing w:val="12"/>
          <w:sz w:val="24"/>
          <w:szCs w:val="24"/>
          <w:lang w:eastAsia="uk-UA"/>
        </w:rPr>
        <w:t>. метрів загальної площі приміщення, басейнів ― більше ніж чотири особи на одній доріжці для індивідуальних занять або шість осіб для спортивно-тренувальних груп;</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18)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19)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 (перебувають)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 (особам), які перебувають у складних життєвих обставинах, крім установ і закладів, які надають соціальні послуги екстрено (</w:t>
      </w:r>
      <w:proofErr w:type="spellStart"/>
      <w:r w:rsidRPr="0074470F">
        <w:rPr>
          <w:rFonts w:ascii="Times New Roman" w:eastAsia="Times New Roman" w:hAnsi="Times New Roman" w:cs="Times New Roman"/>
          <w:spacing w:val="12"/>
          <w:sz w:val="24"/>
          <w:szCs w:val="24"/>
          <w:lang w:eastAsia="uk-UA"/>
        </w:rPr>
        <w:t>кризово</w:t>
      </w:r>
      <w:proofErr w:type="spellEnd"/>
      <w:r w:rsidRPr="0074470F">
        <w:rPr>
          <w:rFonts w:ascii="Times New Roman" w:eastAsia="Times New Roman" w:hAnsi="Times New Roman" w:cs="Times New Roman"/>
          <w:spacing w:val="12"/>
          <w:sz w:val="24"/>
          <w:szCs w:val="24"/>
          <w:lang w:eastAsia="uk-UA"/>
        </w:rPr>
        <w:t>);</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 xml:space="preserve">20) надання засудженим дозволів на короткочасні виїзди за межі установ виконання покарань, передбачених частиною третьою статті 59, частиною першою статті 67, статтею 111 та частиною першою статті 130 Кримінально-виконавчого кодексу України, відвідування установ виконання покарань та слідчих ізоляторів Державної </w:t>
      </w:r>
      <w:r w:rsidRPr="0074470F">
        <w:rPr>
          <w:rFonts w:ascii="Times New Roman" w:eastAsia="Times New Roman" w:hAnsi="Times New Roman" w:cs="Times New Roman"/>
          <w:spacing w:val="12"/>
          <w:sz w:val="24"/>
          <w:szCs w:val="24"/>
          <w:lang w:eastAsia="uk-UA"/>
        </w:rPr>
        <w:lastRenderedPageBreak/>
        <w:t xml:space="preserve">кримінально-виконавчої служби об’єднаннями громадян, представниками благодійних організацій, надання побачень засудженим та особам, узятим під варту, які тримаються в таких установах, крім: відвідування зазначених установ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Організації Об’єднаних Націй у справах біженців, а також особами, зазначеними у частині першій статті 24 Кримінально-виконавчого кодексу України та частині п’ятій статті 12 Закону України “Про попереднє ув’язнення”; побачень із захисниками та адвокатами або іншими фахівцями у галузі права, які за законом мають право на надання правової допомоги особисто чи за дорученням юридичної особи; проведення заходів душпастирської опіки у зазначених установах за умови їх проведення не більше двох разів на тиждень із загальною чисельністю учасників одного заходу не більше 10 осіб, з яких одна особа – священнослужитель (капелан), уповноважений релігійними організаціями; короткострокових побачень з родичами або іншими особами, які відбуваються виключно в закритих умовах (через суцільне розмежувальне скло та переговорний пристрій) та з дотриманням протиепідемічних правил; тривалих побачень засуджених (за умови наявності в установах виконання покарань та слідчих ізоляторах Державної кримінально-виконавчої служби вільних приміщень для ізоляції засуджених) з близькими родичами за відсутності у них на момент побачення ознак інфікування COVID-19 та наявності у осіб, які прибули на побачення, лабораторно підтвердженого негативного результату тестування їх на CОVID-19 методом </w:t>
      </w:r>
      <w:proofErr w:type="spellStart"/>
      <w:r w:rsidRPr="0074470F">
        <w:rPr>
          <w:rFonts w:ascii="Times New Roman" w:eastAsia="Times New Roman" w:hAnsi="Times New Roman" w:cs="Times New Roman"/>
          <w:spacing w:val="12"/>
          <w:sz w:val="24"/>
          <w:szCs w:val="24"/>
          <w:lang w:eastAsia="uk-UA"/>
        </w:rPr>
        <w:t>полімеразної</w:t>
      </w:r>
      <w:proofErr w:type="spellEnd"/>
      <w:r w:rsidRPr="0074470F">
        <w:rPr>
          <w:rFonts w:ascii="Times New Roman" w:eastAsia="Times New Roman" w:hAnsi="Times New Roman" w:cs="Times New Roman"/>
          <w:spacing w:val="12"/>
          <w:sz w:val="24"/>
          <w:szCs w:val="24"/>
          <w:lang w:eastAsia="uk-UA"/>
        </w:rPr>
        <w:t xml:space="preserve"> ланцюгової реакції, яке проведено не більш як за 48 годин до дня надання тривалого побачення, та оригіналу документа, що підтверджує оплату послуги виїзду працівника медичної лабораторії до засудженого з метою забору </w:t>
      </w:r>
      <w:proofErr w:type="spellStart"/>
      <w:r w:rsidRPr="0074470F">
        <w:rPr>
          <w:rFonts w:ascii="Times New Roman" w:eastAsia="Times New Roman" w:hAnsi="Times New Roman" w:cs="Times New Roman"/>
          <w:spacing w:val="12"/>
          <w:sz w:val="24"/>
          <w:szCs w:val="24"/>
          <w:lang w:eastAsia="uk-UA"/>
        </w:rPr>
        <w:t>біоматеріалів</w:t>
      </w:r>
      <w:proofErr w:type="spellEnd"/>
      <w:r w:rsidRPr="0074470F">
        <w:rPr>
          <w:rFonts w:ascii="Times New Roman" w:eastAsia="Times New Roman" w:hAnsi="Times New Roman" w:cs="Times New Roman"/>
          <w:spacing w:val="12"/>
          <w:sz w:val="24"/>
          <w:szCs w:val="24"/>
          <w:lang w:eastAsia="uk-UA"/>
        </w:rPr>
        <w:t xml:space="preserve"> для проведення тестування на COVID-19 зазначеним методом.</w:t>
      </w:r>
    </w:p>
    <w:p w:rsidR="0074470F" w:rsidRPr="0074470F" w:rsidRDefault="0074470F" w:rsidP="0074470F">
      <w:pPr>
        <w:shd w:val="clear" w:color="auto" w:fill="FFFFFF"/>
        <w:spacing w:after="120" w:line="360" w:lineRule="atLeast"/>
        <w:jc w:val="both"/>
        <w:textAlignment w:val="baseline"/>
        <w:rPr>
          <w:rFonts w:ascii="Times New Roman" w:eastAsia="Times New Roman" w:hAnsi="Times New Roman" w:cs="Times New Roman"/>
          <w:spacing w:val="12"/>
          <w:sz w:val="24"/>
          <w:szCs w:val="24"/>
          <w:lang w:eastAsia="uk-UA"/>
        </w:rPr>
      </w:pPr>
      <w:r w:rsidRPr="0074470F">
        <w:rPr>
          <w:rFonts w:ascii="Times New Roman" w:eastAsia="Times New Roman" w:hAnsi="Times New Roman" w:cs="Times New Roman"/>
          <w:spacing w:val="12"/>
          <w:sz w:val="24"/>
          <w:szCs w:val="24"/>
          <w:lang w:eastAsia="uk-UA"/>
        </w:rPr>
        <w:t>Після тривалого побачення засуджені протягом 14 діб перебувають в приміщеннях для ізоляції, де їм на 12-й день ізоляції (або за наявності ознак інфікування COVID-19) обов’язково проводиться тест на COVID-19 у присутності медичного працівника медичної частини філії державної установи “Центр охорони здоров’я Державної кримінально-виконавчої служби України”.</w:t>
      </w:r>
    </w:p>
    <w:p w:rsidR="00697473" w:rsidRPr="0074470F" w:rsidRDefault="0074470F" w:rsidP="0074470F">
      <w:pPr>
        <w:shd w:val="clear" w:color="auto" w:fill="FFFFFF"/>
        <w:spacing w:after="120" w:line="360" w:lineRule="atLeast"/>
        <w:jc w:val="both"/>
        <w:textAlignment w:val="baseline"/>
        <w:rPr>
          <w:rStyle w:val="a3"/>
          <w:rFonts w:ascii="Times New Roman" w:eastAsia="Times New Roman" w:hAnsi="Times New Roman" w:cs="Times New Roman"/>
          <w:b w:val="0"/>
          <w:bCs w:val="0"/>
          <w:spacing w:val="12"/>
          <w:sz w:val="24"/>
          <w:szCs w:val="24"/>
          <w:lang w:eastAsia="uk-UA"/>
        </w:rPr>
      </w:pPr>
      <w:r w:rsidRPr="0074470F">
        <w:rPr>
          <w:rFonts w:ascii="Times New Roman" w:eastAsia="Times New Roman" w:hAnsi="Times New Roman" w:cs="Times New Roman"/>
          <w:spacing w:val="12"/>
          <w:sz w:val="24"/>
          <w:szCs w:val="24"/>
          <w:lang w:eastAsia="uk-UA"/>
        </w:rPr>
        <w:t>Відвідування та побачення, а також проведення заходів душпастирської опіки відбуваються виключно за умови використання такими особами засобів індивідуального захисту, зокрема респіраторів (без клапану видиху) або захисних масок, що закривають ніс та рот, у тому числі виготовлених самостійно, та відсутності у них на момент побачення ознак інфікування COVID-19.</w:t>
      </w:r>
    </w:p>
    <w:p w:rsidR="0028566B" w:rsidRPr="00F665BD" w:rsidRDefault="0028566B">
      <w:pPr>
        <w:rPr>
          <w:rFonts w:ascii="Times New Roman" w:hAnsi="Times New Roman" w:cs="Times New Roman"/>
          <w:b/>
          <w:sz w:val="24"/>
          <w:szCs w:val="24"/>
        </w:rPr>
      </w:pPr>
      <w:r w:rsidRPr="00F665BD">
        <w:rPr>
          <w:rStyle w:val="a3"/>
          <w:rFonts w:ascii="Times New Roman" w:hAnsi="Times New Roman" w:cs="Times New Roman"/>
          <w:b w:val="0"/>
          <w:color w:val="000000"/>
          <w:sz w:val="24"/>
          <w:szCs w:val="24"/>
          <w:shd w:val="clear" w:color="auto" w:fill="FFFFFF"/>
        </w:rPr>
        <w:t xml:space="preserve"> </w:t>
      </w:r>
    </w:p>
    <w:sectPr w:rsidR="0028566B" w:rsidRPr="00F665BD" w:rsidSect="001F25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E797C"/>
    <w:multiLevelType w:val="multilevel"/>
    <w:tmpl w:val="423EB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6D2866"/>
    <w:multiLevelType w:val="hybridMultilevel"/>
    <w:tmpl w:val="6494DBBE"/>
    <w:lvl w:ilvl="0" w:tplc="75BE7FB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73"/>
    <w:rsid w:val="000F0D1C"/>
    <w:rsid w:val="001F2511"/>
    <w:rsid w:val="0028566B"/>
    <w:rsid w:val="003B0995"/>
    <w:rsid w:val="004B2644"/>
    <w:rsid w:val="00641515"/>
    <w:rsid w:val="00697473"/>
    <w:rsid w:val="006B2E46"/>
    <w:rsid w:val="00712DBA"/>
    <w:rsid w:val="0074470F"/>
    <w:rsid w:val="00864DE6"/>
    <w:rsid w:val="008D0FEA"/>
    <w:rsid w:val="00A354E4"/>
    <w:rsid w:val="00DC74A6"/>
    <w:rsid w:val="00F66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3889"/>
  <w15:docId w15:val="{B0DE0E6A-C819-4803-BC0C-A27C6F7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7473"/>
    <w:rPr>
      <w:b/>
      <w:bCs/>
    </w:rPr>
  </w:style>
  <w:style w:type="character" w:styleId="a4">
    <w:name w:val="Hyperlink"/>
    <w:basedOn w:val="a0"/>
    <w:uiPriority w:val="99"/>
    <w:unhideWhenUsed/>
    <w:rsid w:val="006B2E46"/>
    <w:rPr>
      <w:color w:val="0000FF" w:themeColor="hyperlink"/>
      <w:u w:val="single"/>
    </w:rPr>
  </w:style>
  <w:style w:type="paragraph" w:customStyle="1" w:styleId="a5">
    <w:name w:val="Нормальний текст"/>
    <w:basedOn w:val="a"/>
    <w:rsid w:val="00712DBA"/>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iPriority w:val="99"/>
    <w:unhideWhenUsed/>
    <w:rsid w:val="00864D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864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4570">
      <w:bodyDiv w:val="1"/>
      <w:marLeft w:val="0"/>
      <w:marRight w:val="0"/>
      <w:marTop w:val="0"/>
      <w:marBottom w:val="0"/>
      <w:divBdr>
        <w:top w:val="none" w:sz="0" w:space="0" w:color="auto"/>
        <w:left w:val="none" w:sz="0" w:space="0" w:color="auto"/>
        <w:bottom w:val="none" w:sz="0" w:space="0" w:color="auto"/>
        <w:right w:val="none" w:sz="0" w:space="0" w:color="auto"/>
      </w:divBdr>
    </w:div>
    <w:div w:id="14854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15-201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67-2015-%D0%BF" TargetMode="External"/><Relationship Id="rId5" Type="http://schemas.openxmlformats.org/officeDocument/2006/relationships/hyperlink" Target="https://zakon.rada.gov.ua/laws/show/171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8946</Words>
  <Characters>5100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d01-Zvarych</cp:lastModifiedBy>
  <cp:revision>2</cp:revision>
  <dcterms:created xsi:type="dcterms:W3CDTF">2021-03-12T11:37:00Z</dcterms:created>
  <dcterms:modified xsi:type="dcterms:W3CDTF">2021-03-12T11:37:00Z</dcterms:modified>
</cp:coreProperties>
</file>