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7" w:rsidRDefault="008F7107" w:rsidP="00117DB9">
      <w:pPr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C039B5">
      <w:pPr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C039B5">
      <w:pPr>
        <w:pStyle w:val="a3"/>
        <w:rPr>
          <w:sz w:val="24"/>
          <w:szCs w:val="24"/>
        </w:rPr>
      </w:pPr>
    </w:p>
    <w:p w:rsidR="00117DB9" w:rsidRDefault="00117DB9" w:rsidP="00C039B5">
      <w:pPr>
        <w:jc w:val="both"/>
        <w:rPr>
          <w:sz w:val="24"/>
          <w:szCs w:val="28"/>
          <w:lang w:val="uk-UA"/>
        </w:rPr>
      </w:pPr>
      <w:bookmarkStart w:id="0" w:name="_Hlk56512455"/>
      <w:r>
        <w:rPr>
          <w:sz w:val="24"/>
          <w:szCs w:val="28"/>
          <w:lang w:val="uk-UA"/>
        </w:rPr>
        <w:t>Міністерство фінансів України (далі – Субкредитор),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bookmarkEnd w:id="0"/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bookmarkStart w:id="1" w:name="_Hlk56512484"/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>, спричиненої коронавірусом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коронавірусної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>«У разі прострочення Субпозичальником у період дії карантину, встановленого Кабінетом Міністрів України на всій території України з метою запобігання поширенню на території України коронавірусної хвороби COVID-19, або/та у тридцятиденний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Субкредиту,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Субпозичальник звільняється від сплати на користь Субкредитора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117DB9" w:rsidRPr="006E0E9D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bookmarkEnd w:id="1"/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C73FC1" w:rsidRDefault="00C73FC1" w:rsidP="00C73FC1">
      <w:pPr>
        <w:jc w:val="center"/>
        <w:rPr>
          <w:b/>
          <w:sz w:val="24"/>
          <w:szCs w:val="24"/>
          <w:lang w:val="uk-UA"/>
        </w:rPr>
      </w:pPr>
    </w:p>
    <w:p w:rsidR="001C163E" w:rsidRDefault="001C163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73FC1" w:rsidRPr="00E956D7" w:rsidRDefault="00C73FC1" w:rsidP="00C73FC1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C73FC1" w:rsidRPr="00E956D7" w:rsidRDefault="00C73FC1" w:rsidP="00C73FC1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C73FC1" w:rsidRPr="00E956D7" w:rsidRDefault="00C73FC1" w:rsidP="00C73FC1">
      <w:pPr>
        <w:pStyle w:val="a3"/>
        <w:rPr>
          <w:sz w:val="24"/>
          <w:szCs w:val="24"/>
        </w:rPr>
      </w:pPr>
    </w:p>
    <w:p w:rsidR="00C73FC1" w:rsidRDefault="00C73FC1" w:rsidP="00C73FC1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C73FC1" w:rsidRPr="00682B78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C73FC1" w:rsidRPr="00F02CE5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C73FC1" w:rsidRPr="00E956D7" w:rsidRDefault="00C73FC1" w:rsidP="00C73FC1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C73FC1" w:rsidRPr="006E0E9D" w:rsidRDefault="00C73FC1" w:rsidP="00C73FC1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>, спричиненої коронавірусом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коронавірусної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>«У разі прострочення Субпозичальником у період дії карантину, встановленого Кабінетом Міністрів України на всій території України з метою запобігання поширенню на території України коронавірусної хвороби COVID-19, або/та у тридцятиденний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Субкредиту,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Субпозичальник звільняється від сплати на користь Субкредитора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C73FC1" w:rsidRPr="006E0E9D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C73FC1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p w:rsidR="00C73FC1" w:rsidRPr="00E956D7" w:rsidRDefault="00C73FC1" w:rsidP="00C73FC1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C73FC1" w:rsidRDefault="00C73FC1" w:rsidP="00C73FC1">
      <w:pPr>
        <w:ind w:left="540"/>
        <w:jc w:val="both"/>
        <w:rPr>
          <w:sz w:val="24"/>
          <w:szCs w:val="24"/>
          <w:lang w:val="uk-UA"/>
        </w:rPr>
      </w:pP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117DB9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117DB9">
      <w:pPr>
        <w:pStyle w:val="a3"/>
        <w:rPr>
          <w:sz w:val="24"/>
          <w:szCs w:val="24"/>
        </w:rPr>
      </w:pPr>
    </w:p>
    <w:p w:rsidR="00117DB9" w:rsidRDefault="00117DB9" w:rsidP="00117DB9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117DB9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E956D7" w:rsidRDefault="00117DB9" w:rsidP="00117DB9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 w:rsidRPr="00E956D7">
        <w:rPr>
          <w:rStyle w:val="a5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які набрали чинності 31 липня 2020 року </w:t>
      </w:r>
      <w:r w:rsidRPr="00E956D7">
        <w:rPr>
          <w:rStyle w:val="a5"/>
          <w:sz w:val="24"/>
          <w:szCs w:val="24"/>
          <w:lang w:val="uk-UA"/>
        </w:rPr>
        <w:t>Світовий</w:t>
      </w:r>
      <w:r w:rsidRPr="00E956D7">
        <w:rPr>
          <w:sz w:val="24"/>
          <w:szCs w:val="24"/>
          <w:lang w:val="uk-UA"/>
        </w:rPr>
        <w:t xml:space="preserve"> банк збільшив виділену Угодою про позику суму для Субпозичальника до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918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015</w:t>
      </w:r>
      <w:r w:rsidRPr="00C77D1F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61</w:t>
      </w:r>
      <w:r w:rsidRPr="00E956D7">
        <w:rPr>
          <w:sz w:val="24"/>
          <w:szCs w:val="24"/>
          <w:lang w:val="uk-UA"/>
        </w:rPr>
        <w:t xml:space="preserve"> </w:t>
      </w:r>
      <w:r w:rsidRPr="00E956D7">
        <w:rPr>
          <w:rStyle w:val="a5"/>
          <w:sz w:val="24"/>
          <w:szCs w:val="24"/>
          <w:lang w:val="uk-UA"/>
        </w:rPr>
        <w:t>доларів США.</w:t>
      </w:r>
    </w:p>
    <w:p w:rsidR="00117DB9" w:rsidRPr="00E956D7" w:rsidRDefault="00117DB9" w:rsidP="00117DB9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>- У</w:t>
      </w:r>
      <w:r w:rsidRPr="00E956D7">
        <w:rPr>
          <w:sz w:val="24"/>
          <w:szCs w:val="24"/>
          <w:lang w:val="uk-UA"/>
        </w:rPr>
        <w:t xml:space="preserve"> пункті 2.1. статті ІІ цифри та слова: «у сумі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799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460,50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сімсот дев’яносто дев’ять тисяч чотириста шістдесят </w:t>
      </w:r>
      <w:r w:rsidRPr="00E956D7">
        <w:rPr>
          <w:sz w:val="24"/>
          <w:szCs w:val="24"/>
          <w:lang w:val="uk-UA"/>
        </w:rPr>
        <w:t>долар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50 </w:t>
      </w:r>
      <w:r w:rsidRPr="00E956D7">
        <w:rPr>
          <w:sz w:val="24"/>
          <w:szCs w:val="24"/>
          <w:lang w:val="uk-UA"/>
        </w:rPr>
        <w:t>цент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) дол. США та включає початкову разову комісію (0,25% від суми субкредиту, що складає </w:t>
      </w:r>
      <w:r>
        <w:rPr>
          <w:sz w:val="24"/>
          <w:szCs w:val="24"/>
          <w:lang w:val="uk-UA"/>
        </w:rPr>
        <w:t>30 460,50</w:t>
      </w:r>
      <w:r w:rsidRPr="00E956D7">
        <w:rPr>
          <w:sz w:val="24"/>
          <w:szCs w:val="24"/>
          <w:lang w:val="uk-UA"/>
        </w:rPr>
        <w:t xml:space="preserve"> дол. США)» замінити цифрами та словами: «у сумі </w:t>
      </w:r>
      <w:r>
        <w:rPr>
          <w:sz w:val="24"/>
          <w:szCs w:val="24"/>
          <w:lang w:val="uk-UA"/>
        </w:rPr>
        <w:t>6 918 015,61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дев’ятсот вісімнадцять тисяч п’ятнадцять доларів 61</w:t>
      </w:r>
      <w:r w:rsidRPr="00E956D7">
        <w:rPr>
          <w:sz w:val="24"/>
          <w:szCs w:val="24"/>
          <w:lang w:val="uk-UA"/>
        </w:rPr>
        <w:t> цент) та включає початкову разову комісію (0,</w:t>
      </w:r>
      <w:r>
        <w:rPr>
          <w:sz w:val="24"/>
          <w:szCs w:val="24"/>
          <w:lang w:val="uk-UA"/>
        </w:rPr>
        <w:t>45</w:t>
      </w:r>
      <w:r w:rsidRPr="00E956D7">
        <w:rPr>
          <w:sz w:val="24"/>
          <w:szCs w:val="24"/>
          <w:lang w:val="uk-UA"/>
        </w:rPr>
        <w:t xml:space="preserve">% від суми субкредиту, що складає </w:t>
      </w:r>
      <w:r>
        <w:rPr>
          <w:sz w:val="24"/>
          <w:szCs w:val="24"/>
          <w:lang w:val="uk-UA"/>
        </w:rPr>
        <w:t xml:space="preserve">30 991,61 </w:t>
      </w:r>
      <w:r w:rsidRPr="00E956D7">
        <w:rPr>
          <w:sz w:val="24"/>
          <w:szCs w:val="24"/>
          <w:lang w:val="uk-UA"/>
        </w:rPr>
        <w:t>дол. США)»;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Pr="00E956D7" w:rsidRDefault="00117DB9" w:rsidP="00117DB9">
      <w:pPr>
        <w:ind w:firstLine="567"/>
        <w:jc w:val="both"/>
        <w:rPr>
          <w:b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4350B" w:rsidRDefault="00117DB9" w:rsidP="00117DB9">
      <w:pPr>
        <w:jc w:val="both"/>
        <w:rPr>
          <w:caps/>
          <w:sz w:val="24"/>
          <w:szCs w:val="24"/>
          <w:lang w:val="uk-UA"/>
        </w:rPr>
      </w:pPr>
    </w:p>
    <w:p w:rsidR="00117DB9" w:rsidRPr="00E4350B" w:rsidRDefault="00117DB9" w:rsidP="00117DB9">
      <w:pPr>
        <w:ind w:firstLine="567"/>
        <w:jc w:val="center"/>
        <w:rPr>
          <w:caps/>
          <w:sz w:val="24"/>
          <w:szCs w:val="24"/>
          <w:lang w:val="uk-UA"/>
        </w:rPr>
      </w:pPr>
    </w:p>
    <w:p w:rsidR="00117DB9" w:rsidRPr="00C77D1F" w:rsidRDefault="00117DB9" w:rsidP="00117DB9">
      <w:pPr>
        <w:rPr>
          <w:szCs w:val="24"/>
        </w:rPr>
      </w:pPr>
    </w:p>
    <w:p w:rsidR="00117DB9" w:rsidRDefault="00117DB9">
      <w:pPr>
        <w:spacing w:after="200" w:line="276" w:lineRule="auto"/>
      </w:pPr>
      <w:r>
        <w:br w:type="page"/>
      </w:r>
    </w:p>
    <w:p w:rsidR="00117DB9" w:rsidRPr="00FF2E3C" w:rsidRDefault="00117DB9" w:rsidP="00117DB9">
      <w:pPr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t xml:space="preserve">ДОДАТКОВА УГОДА </w:t>
      </w:r>
      <w:r>
        <w:rPr>
          <w:sz w:val="24"/>
          <w:szCs w:val="24"/>
          <w:lang w:val="uk-UA"/>
        </w:rPr>
        <w:t>від ___________ № __________________</w:t>
      </w:r>
    </w:p>
    <w:p w:rsidR="00117DB9" w:rsidRPr="00FF2E3C" w:rsidRDefault="00117DB9" w:rsidP="00117DB9">
      <w:pPr>
        <w:spacing w:before="120"/>
        <w:jc w:val="center"/>
        <w:rPr>
          <w:lang w:val="uk-UA"/>
        </w:rPr>
      </w:pPr>
      <w:r>
        <w:rPr>
          <w:sz w:val="24"/>
          <w:szCs w:val="24"/>
          <w:lang w:val="uk-UA"/>
        </w:rPr>
        <w:t>До Договору про субкредитування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«Тернопільводоканал»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117DB9" w:rsidRDefault="00117DB9" w:rsidP="00117DB9">
      <w:pPr>
        <w:pStyle w:val="a3"/>
        <w:rPr>
          <w:sz w:val="24"/>
          <w:szCs w:val="24"/>
        </w:rPr>
      </w:pP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Комунальне підприємство «Тернопільводоканал» (далі – Субпозичальник)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117DB9" w:rsidRDefault="00117DB9" w:rsidP="00117DB9">
      <w:pPr>
        <w:spacing w:before="120" w:after="120"/>
        <w:jc w:val="both"/>
      </w:pPr>
      <w:r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до Договору про субкредитування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«Тернопільводоканал»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2" w:name="_Hlk50802428"/>
      <w:r>
        <w:rPr>
          <w:sz w:val="24"/>
          <w:szCs w:val="24"/>
          <w:lang w:val="uk-UA"/>
        </w:rPr>
        <w:t>(далі – Договір) про таке:</w:t>
      </w:r>
      <w:bookmarkEnd w:id="2"/>
    </w:p>
    <w:p w:rsidR="00117DB9" w:rsidRDefault="00117DB9" w:rsidP="00117DB9">
      <w:pPr>
        <w:spacing w:before="120"/>
        <w:ind w:firstLine="567"/>
        <w:jc w:val="both"/>
      </w:pPr>
      <w:r>
        <w:rPr>
          <w:sz w:val="24"/>
          <w:szCs w:val="24"/>
          <w:lang w:val="uk-UA"/>
        </w:rP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5"/>
          <w:sz w:val="24"/>
          <w:szCs w:val="24"/>
          <w:lang w:val="uk-UA"/>
        </w:rPr>
        <w:t xml:space="preserve">, відповідно до яких </w:t>
      </w:r>
      <w:r>
        <w:rPr>
          <w:sz w:val="24"/>
          <w:szCs w:val="24"/>
          <w:lang w:val="uk-UA"/>
        </w:rPr>
        <w:t>які набрали чинності 31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 xml:space="preserve">липня 2020 року </w:t>
      </w:r>
      <w:r>
        <w:rPr>
          <w:rStyle w:val="a5"/>
          <w:sz w:val="24"/>
          <w:szCs w:val="24"/>
          <w:lang w:val="uk-UA"/>
        </w:rPr>
        <w:t>Світовий</w:t>
      </w:r>
      <w:r>
        <w:rPr>
          <w:sz w:val="24"/>
          <w:szCs w:val="24"/>
          <w:lang w:val="uk-UA"/>
        </w:rPr>
        <w:t xml:space="preserve"> банк збільшив виділену Угодою про позику суму для Субпозичальника до 31 776 218,44 </w:t>
      </w:r>
      <w:r>
        <w:rPr>
          <w:rStyle w:val="a5"/>
          <w:sz w:val="24"/>
          <w:szCs w:val="24"/>
          <w:lang w:val="uk-UA"/>
        </w:rPr>
        <w:t>доларів США.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>- У</w:t>
      </w:r>
      <w:r>
        <w:rPr>
          <w:sz w:val="24"/>
          <w:szCs w:val="24"/>
          <w:lang w:val="uk-UA"/>
        </w:rP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субкредиту,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субкредиту, що складає 79 242,44 дол. США)»;</w:t>
      </w:r>
    </w:p>
    <w:p w:rsidR="00117DB9" w:rsidRDefault="00117DB9" w:rsidP="00117DB9">
      <w:pPr>
        <w:ind w:firstLine="567"/>
        <w:jc w:val="both"/>
      </w:pPr>
      <w:r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117DB9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pageBreakBefore/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Юридичні адреси Сторін: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Субкредитор: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Міністерство фінансів України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Тернопільська міська рада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46000, м. Тернопіль, вул. Листопадова, 5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03057, м. Київ, вул. Смоленська, 19.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Субпозичальник: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Комунальне підприємство «Тернопільводоканал»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 xml:space="preserve">Україна, 46008, м. Тернопіль, вул. Танцорова, 7 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637"/>
        <w:gridCol w:w="1383"/>
        <w:gridCol w:w="3456"/>
      </w:tblGrid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contextualSpacing/>
            </w:pPr>
            <w:r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ТЕРНОПІЛЬСЬКА МІСЬКА РАДА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КОМУНАЛЬНЕ ПІДПРИЄМСТВО «ТЕРНОПІЛЬВОДОКАНАЛ»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1C163E" w:rsidRDefault="00117DB9" w:rsidP="00117DB9">
      <w:pPr>
        <w:jc w:val="both"/>
        <w:rPr>
          <w:caps/>
          <w:sz w:val="24"/>
          <w:szCs w:val="24"/>
          <w:lang w:val="uk-UA"/>
        </w:rPr>
      </w:pPr>
    </w:p>
    <w:sectPr w:rsidR="00117DB9" w:rsidRPr="001C163E" w:rsidSect="0004407B">
      <w:headerReference w:type="default" r:id="rId6"/>
      <w:pgSz w:w="11906" w:h="16838"/>
      <w:pgMar w:top="567" w:right="566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A6" w:rsidRDefault="000031A6" w:rsidP="00E1396C">
      <w:r>
        <w:separator/>
      </w:r>
    </w:p>
  </w:endnote>
  <w:endnote w:type="continuationSeparator" w:id="1">
    <w:p w:rsidR="000031A6" w:rsidRDefault="000031A6" w:rsidP="00E1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A6" w:rsidRDefault="000031A6" w:rsidP="00E1396C">
      <w:r>
        <w:separator/>
      </w:r>
    </w:p>
  </w:footnote>
  <w:footnote w:type="continuationSeparator" w:id="1">
    <w:p w:rsidR="000031A6" w:rsidRDefault="000031A6" w:rsidP="00E13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25" w:rsidRDefault="00513682">
    <w:pPr>
      <w:pStyle w:val="a6"/>
      <w:jc w:val="center"/>
    </w:pPr>
    <w:r>
      <w:fldChar w:fldCharType="begin"/>
    </w:r>
    <w:r w:rsidR="00C039B5">
      <w:instrText>PAGE   \* MERGEFORMAT</w:instrText>
    </w:r>
    <w:r>
      <w:fldChar w:fldCharType="separate"/>
    </w:r>
    <w:r w:rsidR="009D3DE3">
      <w:rPr>
        <w:noProof/>
      </w:rPr>
      <w:t>8</w:t>
    </w:r>
    <w:r>
      <w:fldChar w:fldCharType="end"/>
    </w:r>
  </w:p>
  <w:p w:rsidR="008D6B25" w:rsidRDefault="000031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EEC"/>
    <w:rsid w:val="000031A6"/>
    <w:rsid w:val="00117DB9"/>
    <w:rsid w:val="001C163E"/>
    <w:rsid w:val="00306AD9"/>
    <w:rsid w:val="00513682"/>
    <w:rsid w:val="005774A7"/>
    <w:rsid w:val="00683C99"/>
    <w:rsid w:val="007160D8"/>
    <w:rsid w:val="00730E35"/>
    <w:rsid w:val="0076248F"/>
    <w:rsid w:val="007908B0"/>
    <w:rsid w:val="00807077"/>
    <w:rsid w:val="008F0538"/>
    <w:rsid w:val="008F7107"/>
    <w:rsid w:val="009D3DE3"/>
    <w:rsid w:val="00AA2B7C"/>
    <w:rsid w:val="00B8501F"/>
    <w:rsid w:val="00C039B5"/>
    <w:rsid w:val="00C73FC1"/>
    <w:rsid w:val="00C750BA"/>
    <w:rsid w:val="00D62879"/>
    <w:rsid w:val="00E1396C"/>
    <w:rsid w:val="00EB5689"/>
    <w:rsid w:val="00F4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15096</Words>
  <Characters>8606</Characters>
  <Application>Microsoft Office Word</Application>
  <DocSecurity>0</DocSecurity>
  <Lines>71</Lines>
  <Paragraphs>47</Paragraphs>
  <ScaleCrop>false</ScaleCrop>
  <Company>Reanimator Extreme Edition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d03-Hariv</cp:lastModifiedBy>
  <cp:revision>1</cp:revision>
  <cp:lastPrinted>2020-11-24T12:29:00Z</cp:lastPrinted>
  <dcterms:created xsi:type="dcterms:W3CDTF">2020-12-08T09:46:00Z</dcterms:created>
  <dcterms:modified xsi:type="dcterms:W3CDTF">2020-12-08T09:46:00Z</dcterms:modified>
</cp:coreProperties>
</file>