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4E" w:rsidRDefault="0027534E" w:rsidP="0027534E">
      <w:pPr>
        <w:tabs>
          <w:tab w:val="left" w:pos="1638"/>
        </w:tabs>
        <w:rPr>
          <w:lang w:val="uk-UA"/>
        </w:rPr>
      </w:pPr>
      <w:r>
        <w:rPr>
          <w:lang w:val="uk-UA"/>
        </w:rPr>
        <w:t xml:space="preserve">                                                                     </w:t>
      </w:r>
    </w:p>
    <w:p w:rsidR="0027534E" w:rsidRDefault="0027534E" w:rsidP="0027534E">
      <w:pPr>
        <w:tabs>
          <w:tab w:val="left" w:pos="1638"/>
        </w:tabs>
        <w:rPr>
          <w:lang w:val="uk-UA"/>
        </w:rPr>
      </w:pPr>
    </w:p>
    <w:p w:rsidR="0027534E" w:rsidRDefault="0027534E" w:rsidP="0027534E">
      <w:pPr>
        <w:tabs>
          <w:tab w:val="left" w:pos="1638"/>
        </w:tabs>
        <w:rPr>
          <w:lang w:val="uk-UA"/>
        </w:rPr>
      </w:pPr>
    </w:p>
    <w:p w:rsidR="0027534E" w:rsidRPr="00CF5DB8" w:rsidRDefault="0027534E" w:rsidP="0027534E">
      <w:pPr>
        <w:tabs>
          <w:tab w:val="left" w:pos="1638"/>
        </w:tabs>
        <w:rPr>
          <w:lang w:val="uk-UA"/>
        </w:rPr>
      </w:pPr>
      <w:r>
        <w:rPr>
          <w:lang w:val="uk-UA"/>
        </w:rPr>
        <w:t xml:space="preserve"> </w:t>
      </w:r>
    </w:p>
    <w:p w:rsidR="0027534E" w:rsidRPr="00A139FF" w:rsidRDefault="0027534E" w:rsidP="0027534E">
      <w:pPr>
        <w:widowControl w:val="0"/>
        <w:tabs>
          <w:tab w:val="left" w:pos="5940"/>
        </w:tabs>
        <w:ind w:left="5664"/>
        <w:jc w:val="both"/>
        <w:rPr>
          <w:rFonts w:eastAsia="Times New Roman"/>
          <w:szCs w:val="24"/>
          <w:lang w:val="uk-UA" w:eastAsia="ru-RU"/>
        </w:rPr>
      </w:pPr>
      <w:r w:rsidRPr="00A139FF">
        <w:rPr>
          <w:rFonts w:eastAsia="Times New Roman"/>
          <w:szCs w:val="24"/>
          <w:lang w:val="uk-UA" w:eastAsia="ru-RU"/>
        </w:rPr>
        <w:t xml:space="preserve">Додаток </w:t>
      </w:r>
    </w:p>
    <w:p w:rsidR="0027534E" w:rsidRPr="00A139FF" w:rsidRDefault="0027534E" w:rsidP="0027534E">
      <w:pPr>
        <w:widowControl w:val="0"/>
        <w:tabs>
          <w:tab w:val="left" w:pos="5940"/>
        </w:tabs>
        <w:ind w:left="5664"/>
        <w:jc w:val="both"/>
        <w:rPr>
          <w:rFonts w:eastAsia="Times New Roman"/>
          <w:szCs w:val="24"/>
          <w:lang w:val="uk-UA" w:eastAsia="ru-RU"/>
        </w:rPr>
      </w:pPr>
      <w:r w:rsidRPr="00A139FF">
        <w:rPr>
          <w:rFonts w:eastAsia="Times New Roman"/>
          <w:szCs w:val="24"/>
          <w:lang w:val="uk-UA" w:eastAsia="ru-RU"/>
        </w:rPr>
        <w:t>до рішення виконавчого комітету</w:t>
      </w:r>
    </w:p>
    <w:p w:rsidR="0027534E" w:rsidRPr="00A139FF" w:rsidRDefault="0027534E" w:rsidP="0027534E">
      <w:pPr>
        <w:widowControl w:val="0"/>
        <w:tabs>
          <w:tab w:val="left" w:pos="5940"/>
        </w:tabs>
        <w:ind w:left="5664"/>
        <w:jc w:val="both"/>
        <w:rPr>
          <w:rFonts w:eastAsia="Times New Roman"/>
          <w:szCs w:val="24"/>
          <w:lang w:val="uk-UA" w:eastAsia="ru-RU"/>
        </w:rPr>
      </w:pPr>
      <w:r w:rsidRPr="00A139FF">
        <w:rPr>
          <w:rFonts w:eastAsia="Times New Roman"/>
          <w:szCs w:val="24"/>
          <w:lang w:val="uk-UA" w:eastAsia="ru-RU"/>
        </w:rPr>
        <w:t>від</w:t>
      </w:r>
      <w:r>
        <w:rPr>
          <w:rFonts w:eastAsia="Times New Roman"/>
          <w:szCs w:val="24"/>
          <w:lang w:val="uk-UA" w:eastAsia="ru-RU"/>
        </w:rPr>
        <w:t xml:space="preserve"> 02.12.2020 .№60</w:t>
      </w:r>
    </w:p>
    <w:p w:rsidR="0027534E" w:rsidRPr="00A139FF" w:rsidRDefault="0027534E" w:rsidP="0027534E">
      <w:pPr>
        <w:widowControl w:val="0"/>
        <w:tabs>
          <w:tab w:val="left" w:pos="5940"/>
        </w:tabs>
        <w:ind w:left="5664"/>
        <w:jc w:val="both"/>
        <w:rPr>
          <w:rFonts w:eastAsia="Times New Roman"/>
          <w:szCs w:val="24"/>
          <w:lang w:val="uk-UA" w:eastAsia="ru-RU"/>
        </w:rPr>
      </w:pPr>
    </w:p>
    <w:p w:rsidR="0027534E" w:rsidRPr="00A139FF" w:rsidRDefault="0027534E" w:rsidP="0027534E">
      <w:pPr>
        <w:widowControl w:val="0"/>
        <w:tabs>
          <w:tab w:val="left" w:pos="5940"/>
        </w:tabs>
        <w:jc w:val="both"/>
        <w:rPr>
          <w:rFonts w:eastAsia="Times New Roman"/>
          <w:szCs w:val="24"/>
          <w:lang w:val="uk-UA" w:eastAsia="ru-RU"/>
        </w:rPr>
      </w:pPr>
    </w:p>
    <w:p w:rsidR="0027534E" w:rsidRPr="005A3D21" w:rsidRDefault="0027534E" w:rsidP="0027534E">
      <w:pPr>
        <w:widowControl w:val="0"/>
        <w:tabs>
          <w:tab w:val="left" w:pos="5940"/>
        </w:tabs>
        <w:jc w:val="center"/>
        <w:rPr>
          <w:rFonts w:eastAsia="Times New Roman"/>
          <w:b/>
          <w:szCs w:val="24"/>
          <w:lang w:val="uk-UA" w:eastAsia="ru-RU"/>
        </w:rPr>
      </w:pPr>
      <w:r w:rsidRPr="005A3D21">
        <w:rPr>
          <w:rFonts w:eastAsia="Times New Roman"/>
          <w:b/>
          <w:szCs w:val="24"/>
          <w:lang w:val="uk-UA" w:eastAsia="ru-RU"/>
        </w:rPr>
        <w:t xml:space="preserve">Звіт про роботу фінансового управління </w:t>
      </w:r>
    </w:p>
    <w:p w:rsidR="0027534E" w:rsidRPr="00276868" w:rsidRDefault="0027534E" w:rsidP="0027534E">
      <w:pPr>
        <w:widowControl w:val="0"/>
        <w:ind w:firstLine="709"/>
        <w:jc w:val="both"/>
        <w:rPr>
          <w:rFonts w:eastAsia="Times New Roman"/>
          <w:szCs w:val="24"/>
          <w:lang w:val="uk-UA" w:eastAsia="ru-RU"/>
        </w:rPr>
      </w:pP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Фінансове управління діє на підставі Положення, затвердженого Тернопільською міською радою, та  керується Конституцією України, Законом України  “Про місцеве самоврядування в Україні”, “Про службу в органах місцевого самоврядування”, Указами та розпорядженнями Президента України, постановами Кабінету Міністрів України, Бюджетним та Податковим кодексами України та іншими нормативними актами органів державної влади та місцевого самоврядування.</w:t>
      </w:r>
    </w:p>
    <w:p w:rsidR="0027534E" w:rsidRDefault="0027534E" w:rsidP="0027534E">
      <w:pPr>
        <w:widowControl w:val="0"/>
        <w:ind w:firstLine="709"/>
        <w:jc w:val="both"/>
        <w:rPr>
          <w:rFonts w:eastAsia="Times New Roman"/>
          <w:color w:val="000000"/>
          <w:szCs w:val="24"/>
          <w:lang w:val="uk-UA" w:eastAsia="ru-RU"/>
        </w:rPr>
      </w:pPr>
      <w:r w:rsidRPr="00715A7C">
        <w:rPr>
          <w:rFonts w:eastAsia="Times New Roman"/>
          <w:szCs w:val="24"/>
          <w:lang w:val="uk-UA" w:eastAsia="ru-RU"/>
        </w:rPr>
        <w:t xml:space="preserve">В своїй роботі управління дотримується положень Системи  управління якістю (СУЯ) на виконання вимог Настанови з якості Тернопільської міської ради, створеної   згідно </w:t>
      </w:r>
      <w:r w:rsidRPr="00715A7C">
        <w:rPr>
          <w:rFonts w:eastAsia="Times New Roman"/>
          <w:color w:val="000000"/>
          <w:szCs w:val="24"/>
          <w:lang w:eastAsia="ru-RU"/>
        </w:rPr>
        <w:t>стандартів ISO 9001-2015.</w:t>
      </w:r>
      <w:r w:rsidRPr="00715A7C">
        <w:rPr>
          <w:rFonts w:eastAsia="Times New Roman"/>
          <w:color w:val="000000"/>
          <w:szCs w:val="24"/>
          <w:lang w:val="uk-UA" w:eastAsia="ru-RU"/>
        </w:rPr>
        <w:t xml:space="preserve"> </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eastAsia="ru-RU"/>
        </w:rPr>
        <w:t>Відповідно до Програми проведення внутрішніх аудитів, в  20</w:t>
      </w:r>
      <w:r w:rsidRPr="00715A7C">
        <w:rPr>
          <w:rFonts w:eastAsia="Times New Roman"/>
          <w:szCs w:val="24"/>
          <w:lang w:val="uk-UA" w:eastAsia="ru-RU"/>
        </w:rPr>
        <w:t>20</w:t>
      </w:r>
      <w:r w:rsidRPr="00715A7C">
        <w:rPr>
          <w:rFonts w:eastAsia="Times New Roman"/>
          <w:szCs w:val="24"/>
          <w:lang w:eastAsia="ru-RU"/>
        </w:rPr>
        <w:t xml:space="preserve"> року внутрішніми аудиторами проведено аудит, в результаті  якого порушень</w:t>
      </w:r>
      <w:r w:rsidRPr="00715A7C">
        <w:rPr>
          <w:rFonts w:eastAsia="Times New Roman"/>
          <w:szCs w:val="24"/>
          <w:lang w:val="uk-UA" w:eastAsia="ru-RU"/>
        </w:rPr>
        <w:t xml:space="preserve"> не встановлено. Надані  зауваження та рекомендації враховано у роботі.</w:t>
      </w:r>
    </w:p>
    <w:p w:rsidR="0027534E" w:rsidRPr="00715A7C" w:rsidRDefault="0027534E" w:rsidP="0027534E">
      <w:pPr>
        <w:widowControl w:val="0"/>
        <w:ind w:firstLine="708"/>
        <w:jc w:val="both"/>
        <w:rPr>
          <w:lang w:val="uk-UA"/>
        </w:rPr>
      </w:pPr>
      <w:r w:rsidRPr="00715A7C">
        <w:rPr>
          <w:rFonts w:eastAsia="Times New Roman"/>
          <w:szCs w:val="24"/>
          <w:lang w:val="uk-UA" w:eastAsia="ru-RU"/>
        </w:rPr>
        <w:t xml:space="preserve">Основним завданням управління є забезпечення реалізації державної бюджетної політики в </w:t>
      </w:r>
      <w:r>
        <w:rPr>
          <w:rFonts w:eastAsia="Times New Roman"/>
          <w:szCs w:val="24"/>
          <w:lang w:val="uk-UA" w:eastAsia="ru-RU"/>
        </w:rPr>
        <w:t xml:space="preserve"> міській громаді, </w:t>
      </w:r>
      <w:r w:rsidRPr="00715A7C">
        <w:rPr>
          <w:rFonts w:eastAsia="Times New Roman"/>
          <w:szCs w:val="24"/>
          <w:lang w:val="uk-UA" w:eastAsia="ru-RU"/>
        </w:rPr>
        <w:t>формування  та виконання бюджету , фінансове забезпечення заходів соціально-економічного розвитку, здійснення контролю за дотриманням всіма учасниками бюджетного процесу бюджетного законодавства, за раціональним та цільовим використанням бюджетних коштів.</w:t>
      </w:r>
      <w:r w:rsidRPr="00715A7C">
        <w:rPr>
          <w:lang w:val="uk-UA"/>
        </w:rPr>
        <w:t xml:space="preserve"> </w:t>
      </w:r>
    </w:p>
    <w:p w:rsidR="0027534E" w:rsidRPr="00715A7C" w:rsidRDefault="0027534E" w:rsidP="0027534E">
      <w:pPr>
        <w:widowControl w:val="0"/>
        <w:ind w:firstLine="708"/>
        <w:jc w:val="both"/>
        <w:rPr>
          <w:lang w:val="uk-UA"/>
        </w:rPr>
      </w:pPr>
      <w:r w:rsidRPr="00715A7C">
        <w:rPr>
          <w:rFonts w:eastAsia="Times New Roman"/>
          <w:szCs w:val="24"/>
          <w:lang w:val="uk-UA" w:eastAsia="ru-RU"/>
        </w:rPr>
        <w:t>Упродовж  звітного періоду управлінням здійснювалась координація всіх учасників бюджетного процесу по забезпеченню виконання дохідної і видаткової частин бюджету громади, а саме: координувалась робота з головними розпорядниками бюджетних коштів,  управлінням Державної казначейської служби, Державною податковою службою, іншими державними органами, підприємствами та установами громади.</w:t>
      </w:r>
      <w:r w:rsidRPr="00715A7C">
        <w:rPr>
          <w:lang w:val="uk-UA"/>
        </w:rPr>
        <w:t xml:space="preserve"> </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Відповідно до статті 78 Бюджетного кодексу України, протягом звітного періоду здійснювався  моніторинг:</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стану виконання доходної та видаткової частин бюджету  громади в цілому та в розрізі дохідних джерел та галузей видатків;</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очікуваного виконання передбачених помісячним розписом власних доходів загального та спеціального фондів бюджету  за місяць та наростаючим підсумком з початку року у розрізі джерел доходів;</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податкового боргу на підставі отриманої інформації від податкового органу, його динаміку до бюджетів усіх рівнів в розрізі дохідних джерел та підприємств-боржників;</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надходжень до міського бюджету коштів місцевих податків в розрізі платежів;</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виконання видаткової частини бюджету громади;</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використання фонду заробітної плати та витрачання коштів на виплату заробітної плати бюджетних установ та соціальних виплат населенню;</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кількості фактично зайнятих штатних посад працівників бюджетних установ і організацій;</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Цьогоріч, на відміну від попереднього звітного періоду,  бюджетний процес відбувався  в складних умовах, спричинених  поширенням коронавірусу,  та пов»язаними з них фінансовими викликами,  відтак  робота  управління була  спрямована на  максимальне   залучення фінансових ресурсів для  забезпечення потреб  громади, підтримку  малого та середнього бізнесу, оптимізацію видатків.</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 xml:space="preserve">В структурі управління функціонують 3 відділи: відділ фінансів  та бюджету, відділ </w:t>
      </w:r>
      <w:r w:rsidRPr="00715A7C">
        <w:rPr>
          <w:rFonts w:eastAsia="Times New Roman"/>
          <w:szCs w:val="24"/>
          <w:lang w:val="uk-UA" w:eastAsia="ru-RU"/>
        </w:rPr>
        <w:lastRenderedPageBreak/>
        <w:t>планування доходів та відділ обліку, звітності та організаційної роботи. Порівняно з  попереднім періодом кількість підрозділів зменшилась на 1од.</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Відповідно до Положення  про відділ фінансів та бюджету, основним напрямком роботи є організація та проведення роботи, пов’язаної зі складанням проекту міського бюджету (громади) по видатках у відповідності з чинним законодавством, розробка інструкцій по складанню бюджетних запитів та проведення їх аналізу, здійснення контролю за правильністю використання бюджетних коштів. У відділі працювало 6  штатних одиниці.</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Відповідно до Положення про відділ планування доходів, основним напрямком роботи є організація роботи, пов»язаної зі складанням проекту міського бюджету (громади) по дохідній частині у відповідності з чинним законодавством, здійснення роботи в межах повноважень по забезпеченню виконання бюджету громади, постійний моніторинг надходжень податків та платежів, тощо. В відділі працювало 4 штатних одиниці.</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Відповідно до Положення про відділ обліку, звітності та організаційної роботи,  основним напрямком роботи є організація та ведення бухгалтерського обліку фінансово-господарської діяльності управління, організації роботи щодо обліку доходів та видатків  міського бюджету (громади), здійснення контролю за роботою програмного забезпечення та за документальною роботою (діловодство) управління, у звітному періоді працювало 7 штатних одиниць.</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 xml:space="preserve">Реалізацію поставлених питань в звітному році здійснювало 17  посадових осіб, 1 службовець та 1 старший інспектор управління. Всього згідно штатного розпису в управлінні працювало 19  чол.  </w:t>
      </w:r>
    </w:p>
    <w:p w:rsidR="0027534E" w:rsidRPr="00715A7C" w:rsidRDefault="0027534E" w:rsidP="0027534E">
      <w:pPr>
        <w:widowControl w:val="0"/>
        <w:jc w:val="both"/>
        <w:rPr>
          <w:rFonts w:eastAsia="Times New Roman"/>
          <w:szCs w:val="24"/>
          <w:lang w:val="uk-UA" w:eastAsia="ru-RU"/>
        </w:rPr>
      </w:pPr>
      <w:r w:rsidRPr="00715A7C">
        <w:rPr>
          <w:rFonts w:eastAsia="Times New Roman"/>
          <w:szCs w:val="24"/>
          <w:lang w:val="uk-UA" w:eastAsia="ru-RU"/>
        </w:rPr>
        <w:t xml:space="preserve">           Фонд заробітної плати за  9  місяців 2020 року склав  3 362,9 тис. грн., в тому числі премія 441,3 тис.грн. Для порівняння,  за аналогічний період попереднього року фонд заробітної  плати  складав  3438,5 тис.грн., в тому числі премія  - 643,5  тис.грн.</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 xml:space="preserve"> Фінансове управління працює в системі електронного документообігу, постійно відповідає на інформаційні звернення та інформаційні запити юридичних та фізичних осіб суб»єктів господарювання, мешканців міста, депутатів міської ради.</w:t>
      </w:r>
    </w:p>
    <w:p w:rsidR="0027534E" w:rsidRPr="00715A7C" w:rsidRDefault="0027534E" w:rsidP="0027534E">
      <w:pPr>
        <w:widowControl w:val="0"/>
        <w:tabs>
          <w:tab w:val="left" w:pos="851"/>
        </w:tabs>
        <w:ind w:firstLine="709"/>
        <w:jc w:val="both"/>
        <w:rPr>
          <w:rFonts w:eastAsia="Times New Roman"/>
          <w:szCs w:val="24"/>
          <w:lang w:val="uk-UA" w:eastAsia="ru-RU"/>
        </w:rPr>
      </w:pPr>
      <w:r w:rsidRPr="00715A7C">
        <w:rPr>
          <w:rFonts w:eastAsia="Times New Roman"/>
          <w:szCs w:val="24"/>
          <w:lang w:val="uk-UA" w:eastAsia="ru-RU"/>
        </w:rPr>
        <w:t xml:space="preserve">За 9 місяців 2020 року  до управління надійшло 1186 звернень  від фізичних та юридичних осіб,  депутатських  – 9,  особистого прийому громадян начальником управління – </w:t>
      </w:r>
      <w:r>
        <w:rPr>
          <w:rFonts w:eastAsia="Times New Roman"/>
          <w:szCs w:val="24"/>
          <w:lang w:val="uk-UA" w:eastAsia="ru-RU"/>
        </w:rPr>
        <w:t>23</w:t>
      </w:r>
      <w:r w:rsidRPr="00715A7C">
        <w:rPr>
          <w:rFonts w:eastAsia="Times New Roman"/>
          <w:szCs w:val="24"/>
          <w:lang w:val="uk-UA" w:eastAsia="ru-RU"/>
        </w:rPr>
        <w:t>. На всі звернення відредагованої дано відповіді   з дотриманням  норм законодавства.</w:t>
      </w:r>
    </w:p>
    <w:p w:rsidR="0027534E" w:rsidRPr="00715A7C" w:rsidRDefault="0027534E" w:rsidP="0027534E">
      <w:pPr>
        <w:widowControl w:val="0"/>
        <w:ind w:firstLine="709"/>
        <w:jc w:val="both"/>
        <w:rPr>
          <w:rFonts w:eastAsia="Times New Roman"/>
          <w:szCs w:val="24"/>
          <w:lang w:val="uk-UA" w:eastAsia="ru-RU"/>
        </w:rPr>
      </w:pPr>
      <w:r w:rsidRPr="00715A7C">
        <w:rPr>
          <w:rFonts w:eastAsia="Times New Roman"/>
          <w:szCs w:val="24"/>
          <w:lang w:val="uk-UA" w:eastAsia="ru-RU"/>
        </w:rPr>
        <w:t>На протязі звітного періоду на розгляд сесій міської ради та виконавчого комітету  управлінням підготовлено  50 рішень, які стосуються бюджетних питань,  5 рішень  про місцеві податки і збори.</w:t>
      </w:r>
    </w:p>
    <w:p w:rsidR="0027534E" w:rsidRPr="00715A7C" w:rsidRDefault="0027534E" w:rsidP="0027534E">
      <w:pPr>
        <w:widowControl w:val="0"/>
        <w:ind w:firstLine="708"/>
        <w:jc w:val="both"/>
        <w:rPr>
          <w:rFonts w:eastAsia="Times New Roman"/>
          <w:szCs w:val="24"/>
          <w:lang w:val="uk-UA"/>
        </w:rPr>
      </w:pPr>
      <w:r w:rsidRPr="00715A7C">
        <w:rPr>
          <w:rFonts w:eastAsia="Times New Roman"/>
          <w:szCs w:val="24"/>
          <w:lang w:val="uk-UA"/>
        </w:rPr>
        <w:t>Управління  здійснювало роботу по забезпеченню відкритості та доступності бюджету громади.</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rPr>
        <w:t>6 березня 2020р. проведено публічне представлення інформації про виконання бюджету та звітів про виконання паспортів бюджетних програм головними розпорядниками бюджетних коштів за 2019 рік.</w:t>
      </w:r>
      <w:r w:rsidRPr="00715A7C">
        <w:rPr>
          <w:rFonts w:eastAsia="Times New Roman"/>
          <w:szCs w:val="24"/>
          <w:lang w:val="uk-UA" w:eastAsia="ru-RU"/>
        </w:rPr>
        <w:t xml:space="preserve"> </w:t>
      </w:r>
    </w:p>
    <w:p w:rsidR="0027534E" w:rsidRPr="00715A7C" w:rsidRDefault="0027534E" w:rsidP="0027534E">
      <w:pPr>
        <w:widowControl w:val="0"/>
        <w:ind w:firstLine="708"/>
        <w:jc w:val="both"/>
        <w:rPr>
          <w:rFonts w:eastAsia="Times New Roman"/>
          <w:szCs w:val="24"/>
          <w:lang w:val="uk-UA"/>
        </w:rPr>
      </w:pPr>
      <w:r w:rsidRPr="00715A7C">
        <w:rPr>
          <w:rFonts w:eastAsia="Times New Roman"/>
          <w:szCs w:val="24"/>
          <w:lang w:val="uk-UA"/>
        </w:rPr>
        <w:t>Інформацію про виконання бюджету  громади  за 2019 рік в порівнянні з  2018 роком із зазначенням їх динаміки  направлено у відділ зв"язків з громадськістю та засобами масової інформації для розміщення на офіційному сайті міської ради.</w:t>
      </w:r>
    </w:p>
    <w:p w:rsidR="0027534E" w:rsidRPr="00715A7C" w:rsidRDefault="0027534E" w:rsidP="0027534E">
      <w:pPr>
        <w:widowControl w:val="0"/>
        <w:ind w:firstLine="708"/>
        <w:jc w:val="both"/>
        <w:rPr>
          <w:rFonts w:eastAsia="Times New Roman"/>
          <w:szCs w:val="24"/>
          <w:lang w:val="uk-UA" w:eastAsia="ru-RU"/>
        </w:rPr>
      </w:pP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 xml:space="preserve"> Відповідно до пілотного проекту «Ініціатива «Відкритий бюджет» </w:t>
      </w:r>
      <w:r w:rsidRPr="00715A7C">
        <w:rPr>
          <w:rFonts w:eastAsia="Times New Roman"/>
          <w:color w:val="000000"/>
          <w:szCs w:val="24"/>
          <w:lang w:val="uk-UA" w:eastAsia="ru-RU"/>
        </w:rPr>
        <w:t>на сайті Тернопільської міської ради у підрозділі «</w:t>
      </w:r>
      <w:hyperlink r:id="rId5" w:tgtFrame="_blank" w:history="1">
        <w:r w:rsidRPr="00715A7C">
          <w:rPr>
            <w:rFonts w:eastAsia="Times New Roman"/>
            <w:color w:val="000000"/>
            <w:szCs w:val="24"/>
            <w:lang w:val="uk-UA" w:eastAsia="ru-RU"/>
          </w:rPr>
          <w:t>Бюджет міста Тернополя</w:t>
        </w:r>
      </w:hyperlink>
      <w:r w:rsidRPr="00715A7C">
        <w:rPr>
          <w:rFonts w:eastAsia="Times New Roman"/>
          <w:color w:val="000000"/>
          <w:szCs w:val="24"/>
          <w:lang w:val="uk-UA" w:eastAsia="ru-RU"/>
        </w:rPr>
        <w:t>» розділу «Фінанси громади» розміщувалось  графічне представлення ( візуалізація)  доходів і видатків бюджету на поточний рік  з метою ознайомлення мешканців громади  з бюджетом та надання  пропозицій.</w:t>
      </w:r>
      <w:r w:rsidRPr="00715A7C">
        <w:rPr>
          <w:rFonts w:eastAsia="Times New Roman"/>
          <w:szCs w:val="24"/>
          <w:lang w:val="uk-UA" w:eastAsia="ru-RU"/>
        </w:rPr>
        <w:t xml:space="preserve">                  </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 xml:space="preserve">В даному розділі також  наводилась  інформація про надходження доходів, про виконання бюджету, про прийняті бюджетні рішення, про програму боргу громади, ставки </w:t>
      </w:r>
      <w:r w:rsidRPr="00715A7C">
        <w:rPr>
          <w:rFonts w:eastAsia="Times New Roman"/>
          <w:szCs w:val="24"/>
          <w:lang w:val="uk-UA" w:eastAsia="ru-RU"/>
        </w:rPr>
        <w:lastRenderedPageBreak/>
        <w:t>місцевих податків і зборів та інформація з  ін. питань, що стосуються бюджету.</w:t>
      </w:r>
    </w:p>
    <w:p w:rsidR="0027534E" w:rsidRPr="00715A7C" w:rsidRDefault="0027534E" w:rsidP="0027534E">
      <w:pPr>
        <w:widowControl w:val="0"/>
        <w:jc w:val="both"/>
        <w:rPr>
          <w:rFonts w:eastAsia="Times New Roman"/>
          <w:szCs w:val="24"/>
          <w:lang w:val="uk-UA"/>
        </w:rPr>
      </w:pPr>
      <w:r w:rsidRPr="00715A7C">
        <w:rPr>
          <w:rFonts w:eastAsia="Times New Roman"/>
          <w:szCs w:val="24"/>
          <w:lang w:val="uk-UA"/>
        </w:rPr>
        <w:t xml:space="preserve">          </w:t>
      </w:r>
      <w:r w:rsidRPr="00715A7C">
        <w:rPr>
          <w:rFonts w:eastAsia="Times New Roman"/>
          <w:szCs w:val="24"/>
          <w:lang w:val="uk-UA" w:eastAsia="ru-RU"/>
        </w:rPr>
        <w:t xml:space="preserve">Враховуючи вимоги ЗУ «Про доступ до публічної інформації», в управління організаційно-виконавчої роботи для подальшого оприлюднення  направлялись  електронні варіанти проектів рішень міської ради,  виконавчого комітету, тощо  . </w:t>
      </w:r>
    </w:p>
    <w:p w:rsidR="0027534E" w:rsidRPr="00715A7C"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З метою оповіщення платників у зв»язку із запровадженням нових рахунків ,  управлінням організовано   розміщення  їх реквізитів на офіційному сайті міської ради ( в розділі «Фінанси громади» та «Актуально»).</w:t>
      </w:r>
    </w:p>
    <w:p w:rsidR="0027534E" w:rsidRPr="00715A7C" w:rsidRDefault="0027534E" w:rsidP="0027534E">
      <w:pPr>
        <w:spacing w:after="120"/>
        <w:ind w:firstLine="360"/>
        <w:jc w:val="both"/>
        <w:rPr>
          <w:rFonts w:eastAsia="Times New Roman"/>
          <w:spacing w:val="-6"/>
          <w:szCs w:val="24"/>
          <w:lang w:val="uk-UA" w:eastAsia="ru-RU"/>
        </w:rPr>
      </w:pPr>
      <w:r w:rsidRPr="00715A7C">
        <w:rPr>
          <w:rFonts w:eastAsia="Times New Roman"/>
          <w:spacing w:val="-6"/>
          <w:szCs w:val="24"/>
          <w:lang w:val="uk-UA" w:eastAsia="ru-RU"/>
        </w:rPr>
        <w:tab/>
        <w:t>Наповнення бюджету, виконання запланованих розписом показників  є приорітетом в роботі управління.</w:t>
      </w:r>
    </w:p>
    <w:p w:rsidR="0027534E" w:rsidRPr="00715A7C" w:rsidRDefault="0027534E" w:rsidP="0027534E">
      <w:pPr>
        <w:ind w:firstLine="567"/>
        <w:jc w:val="both"/>
        <w:rPr>
          <w:szCs w:val="24"/>
          <w:lang w:val="uk-UA"/>
        </w:rPr>
      </w:pPr>
      <w:r w:rsidRPr="00715A7C">
        <w:rPr>
          <w:szCs w:val="24"/>
          <w:lang w:val="uk-UA"/>
        </w:rPr>
        <w:t>За 9 місяців 2020 р.  із запланованих 1 711 736,2 тис.грн до бюджету громади надійшло 1 603 921,5 тис.грн доходів, з яких до загального фонду – 1 528 622,3 тис.грн. та до спеціального фонду – 75 299,2 тис.грн. Виконання річного плану доходів склало   69,4 відсотків, плану 9 – ти місяців  - 93,7 відсотки.</w:t>
      </w:r>
    </w:p>
    <w:p w:rsidR="0027534E" w:rsidRPr="00715A7C" w:rsidRDefault="0027534E" w:rsidP="0027534E">
      <w:pPr>
        <w:ind w:firstLine="567"/>
        <w:jc w:val="both"/>
        <w:rPr>
          <w:lang w:val="uk-UA"/>
        </w:rPr>
      </w:pPr>
      <w:r w:rsidRPr="00715A7C">
        <w:rPr>
          <w:szCs w:val="24"/>
          <w:lang w:val="uk-UA"/>
        </w:rPr>
        <w:t>По власних доходах (без врахування міжбюджетних трансфертів) виконання  плану  становить  91,9 відсотки:   із запланованих  1 340 363,0 тис.грн  мобілізовано  1 232 456,9 тис.грн  або   на 107 906,1   тис. грн менше.</w:t>
      </w:r>
      <w:r w:rsidRPr="00715A7C">
        <w:rPr>
          <w:lang w:val="uk-UA"/>
        </w:rPr>
        <w:t xml:space="preserve"> При цьому 95,3 відсотків дохідної частини склав загальний фонд,   план по якому забезпечено на 92,7 відсотків, а його власні надходження виконано на 90,5 відсотки, при плані  1 278 672,7 тис.грн  вони склали  1 157 526,3 тис.грн,   недоодержано  121 146,4 тис.грн.  </w:t>
      </w:r>
    </w:p>
    <w:p w:rsidR="0027534E" w:rsidRPr="00715A7C" w:rsidRDefault="0027534E" w:rsidP="0027534E">
      <w:pPr>
        <w:ind w:firstLine="567"/>
        <w:jc w:val="both"/>
        <w:rPr>
          <w:lang w:val="uk-UA"/>
        </w:rPr>
      </w:pPr>
      <w:r w:rsidRPr="00715A7C">
        <w:rPr>
          <w:lang w:val="uk-UA"/>
        </w:rPr>
        <w:t xml:space="preserve">  Невиконання запланованих показників, на відміну від попереднього року, спричинено  несприятливим впливом на економіку  (передусім, у березні – травні, тобто у період жорсткого карантину),  обмежувальних заходів у  зв»язку із пандемією коронавірусу, що призвело до  зниження ділової активності, зупинки діяльності  або переводу на особливий режим роботи певних  підприємств, установ та  організацій, скорочення персоналу, а також наданням з метою фінансової підтримки суб»єктів господарювання податкових пільг (по платі за землю, податку на нерухомість, єдиному податку фізичних осіб-підприємців І та ІІ групи : у квітні на 100%, у травні – на 50% ).Через запровадження карантинних заходів  втрати бюджету  громади  склали біля 90,0 млн. грн.</w:t>
      </w:r>
    </w:p>
    <w:p w:rsidR="0027534E" w:rsidRPr="00715A7C" w:rsidRDefault="0027534E" w:rsidP="0027534E">
      <w:pPr>
        <w:tabs>
          <w:tab w:val="left" w:pos="0"/>
        </w:tabs>
        <w:jc w:val="both"/>
        <w:rPr>
          <w:szCs w:val="24"/>
          <w:lang w:val="uk-UA"/>
        </w:rPr>
      </w:pPr>
      <w:r w:rsidRPr="00715A7C">
        <w:rPr>
          <w:szCs w:val="24"/>
          <w:lang w:val="uk-UA"/>
        </w:rPr>
        <w:t xml:space="preserve">           Неважаючи на це, за 9 місяців  порівняно з  відповідним періодом 2019 року   вдалося досягнути приросту власних надходжень загального фонду  в сумі 70 640,7 тис.грн або  6,5 відсотків. Спостерігається  певна позитивна  динаміка  доходів  та стану  їх виконання: якщо  у січні – травні    недоодержання    запланованих власних доходів   бюджету становило  71 646,5 тис.грн, то  у червні  – вересні – 36 273,5 тис.грн. Насамперед, це пов»язано з поступовим відновленням економічної  та ділової активності  у зв»язку із запровадженням адаптивного карантину, збільшенням мінімальної заробітної плати з 1 вересня до 5000 гривень, тощо.</w:t>
      </w:r>
    </w:p>
    <w:p w:rsidR="0027534E" w:rsidRPr="00715A7C" w:rsidRDefault="0027534E" w:rsidP="0027534E">
      <w:pPr>
        <w:ind w:firstLine="567"/>
        <w:jc w:val="both"/>
        <w:rPr>
          <w:szCs w:val="24"/>
          <w:lang w:val="uk-UA"/>
        </w:rPr>
      </w:pPr>
      <w:r w:rsidRPr="00715A7C">
        <w:rPr>
          <w:szCs w:val="24"/>
          <w:lang w:val="uk-UA"/>
        </w:rPr>
        <w:t>Основною складовою загального фонду стали податкові надходження, найбільшим з яких  (63,4 відсотки у його власних доходах) залишається  податок на доходи фізичних осіб (ПДФО). При плані 813 477,5  тис.грн  ПДФО надійшов у сумі  733 894,9 тис.грн або 90,2 відсотки  від плану.  В порівнянні з  відповідним періодом 2019 р.  його приріст  становив   62  369,3 тис.грн</w:t>
      </w:r>
      <w:r w:rsidRPr="00715A7C">
        <w:rPr>
          <w:i/>
          <w:szCs w:val="24"/>
          <w:lang w:val="uk-UA"/>
        </w:rPr>
        <w:t xml:space="preserve"> </w:t>
      </w:r>
      <w:r w:rsidRPr="00715A7C">
        <w:rPr>
          <w:szCs w:val="24"/>
          <w:lang w:val="uk-UA"/>
        </w:rPr>
        <w:t xml:space="preserve">або  9,3 відсотки.    </w:t>
      </w:r>
    </w:p>
    <w:p w:rsidR="0027534E" w:rsidRPr="00715A7C" w:rsidRDefault="0027534E" w:rsidP="0027534E">
      <w:pPr>
        <w:ind w:firstLine="567"/>
        <w:jc w:val="both"/>
        <w:rPr>
          <w:szCs w:val="24"/>
          <w:lang w:val="uk-UA"/>
        </w:rPr>
      </w:pPr>
      <w:r w:rsidRPr="00715A7C">
        <w:rPr>
          <w:szCs w:val="24"/>
          <w:lang w:val="uk-UA"/>
        </w:rPr>
        <w:t xml:space="preserve"> Вагомими дохідними джерелами загального фонду  також стали : податок на майно (плата за землю, транспортний податок та податок на нерухоме майно, відмінне від земельної ділянки) - 110 764,4 тис.грн або 9,5  відсотки у його власних надходженнях</w:t>
      </w:r>
      <w:r w:rsidRPr="00715A7C">
        <w:rPr>
          <w:i/>
          <w:szCs w:val="24"/>
          <w:lang w:val="uk-UA"/>
        </w:rPr>
        <w:t>,</w:t>
      </w:r>
      <w:r w:rsidRPr="00715A7C">
        <w:rPr>
          <w:szCs w:val="24"/>
          <w:lang w:val="uk-UA"/>
        </w:rPr>
        <w:t xml:space="preserve"> акцизний податок з реалізації суб»єктами господарювання роздрібної торгівлі підакцизних товарів – 46 700,2 тис.грн або 4,0 відсотки, єдиний податок - 191 763,4 тис.грн або 16,6 відсотки, відрахування частини акцизного податку з виробленого і ввезеного палива – 48 382,7  тис. грн або 4,1 відсотки  та ін.</w:t>
      </w:r>
    </w:p>
    <w:p w:rsidR="0027534E" w:rsidRPr="00715A7C" w:rsidRDefault="0027534E" w:rsidP="0027534E">
      <w:pPr>
        <w:pStyle w:val="a5"/>
        <w:shd w:val="clear" w:color="auto" w:fill="FFFFFF"/>
        <w:rPr>
          <w:sz w:val="24"/>
          <w:lang w:val="uk-UA"/>
        </w:rPr>
      </w:pPr>
      <w:r w:rsidRPr="00715A7C">
        <w:rPr>
          <w:sz w:val="24"/>
          <w:lang w:val="uk-UA"/>
        </w:rPr>
        <w:t xml:space="preserve">           Крім власних джерел, складовою загального фонду є міжбюджетні трансферти, які при плані 371 004,6 тис.грн. склали  371  096,0 тис.грн або 100,02 відсотки. Порівняно з </w:t>
      </w:r>
      <w:r w:rsidRPr="00715A7C">
        <w:rPr>
          <w:sz w:val="24"/>
          <w:lang w:val="uk-UA"/>
        </w:rPr>
        <w:lastRenderedPageBreak/>
        <w:t>відповідним періодом минулого року їх обсяг зменшився на  404 999,4 тис.грн внаслідок відміни  субвенції на  надання пільг, житлових субсидій населенню, на виплату допомоги сім»ям з дітьми, скорочення обсягу медичної субвенції, тощо.</w:t>
      </w:r>
    </w:p>
    <w:p w:rsidR="0027534E" w:rsidRPr="00715A7C" w:rsidRDefault="0027534E" w:rsidP="0027534E">
      <w:pPr>
        <w:pStyle w:val="a5"/>
        <w:shd w:val="clear" w:color="auto" w:fill="FFFFFF"/>
        <w:ind w:firstLine="567"/>
        <w:rPr>
          <w:sz w:val="24"/>
          <w:lang w:val="uk-UA"/>
        </w:rPr>
      </w:pPr>
      <w:r w:rsidRPr="00715A7C">
        <w:rPr>
          <w:sz w:val="24"/>
          <w:lang w:val="uk-UA"/>
        </w:rPr>
        <w:t xml:space="preserve">Спеціальний фонд в дохідній частині бюджету громади  склав 4,7 відсотки  або  75 299,2 тис.грн, що на 21,3 відсотки перевищило планове завдання та дало можливість  додатково залучити 13 240,3  тис.грн коштів цільового призначення. </w:t>
      </w:r>
    </w:p>
    <w:p w:rsidR="0027534E" w:rsidRPr="00715A7C" w:rsidRDefault="0027534E" w:rsidP="0027534E">
      <w:pPr>
        <w:jc w:val="both"/>
        <w:rPr>
          <w:rFonts w:eastAsia="Times New Roman"/>
          <w:spacing w:val="-6"/>
          <w:szCs w:val="24"/>
          <w:lang w:val="uk-UA" w:eastAsia="ru-RU"/>
        </w:rPr>
      </w:pPr>
      <w:r w:rsidRPr="00715A7C">
        <w:rPr>
          <w:rFonts w:eastAsia="Times New Roman"/>
          <w:spacing w:val="-6"/>
          <w:szCs w:val="24"/>
          <w:lang w:val="uk-UA" w:eastAsia="ru-RU"/>
        </w:rPr>
        <w:t xml:space="preserve">        </w:t>
      </w:r>
      <w:r>
        <w:rPr>
          <w:rFonts w:eastAsia="Times New Roman"/>
          <w:spacing w:val="-6"/>
          <w:szCs w:val="24"/>
          <w:lang w:val="uk-UA" w:eastAsia="ru-RU"/>
        </w:rPr>
        <w:t xml:space="preserve">  </w:t>
      </w:r>
      <w:r w:rsidRPr="00715A7C">
        <w:rPr>
          <w:rFonts w:eastAsia="Times New Roman"/>
          <w:spacing w:val="-6"/>
          <w:szCs w:val="24"/>
          <w:lang w:val="uk-UA" w:eastAsia="ru-RU"/>
        </w:rPr>
        <w:t>Щоквартально фінансове управління звітувало  в управління економіки, промисловості та праці міської ради</w:t>
      </w:r>
      <w:r w:rsidRPr="00715A7C">
        <w:rPr>
          <w:rFonts w:eastAsia="Times New Roman"/>
          <w:szCs w:val="24"/>
          <w:lang w:val="uk-UA" w:eastAsia="ru-RU"/>
        </w:rPr>
        <w:t xml:space="preserve"> про стан виконання Програми економічного</w:t>
      </w:r>
      <w:r w:rsidRPr="00715A7C">
        <w:rPr>
          <w:rFonts w:eastAsia="Times New Roman"/>
          <w:sz w:val="28"/>
          <w:szCs w:val="28"/>
          <w:lang w:val="uk-UA" w:eastAsia="ru-RU"/>
        </w:rPr>
        <w:t xml:space="preserve">  </w:t>
      </w:r>
      <w:r w:rsidRPr="00715A7C">
        <w:rPr>
          <w:rFonts w:eastAsia="Times New Roman"/>
          <w:color w:val="000000"/>
          <w:szCs w:val="24"/>
          <w:lang w:val="uk-UA" w:eastAsia="ru-RU"/>
        </w:rPr>
        <w:t>та соціального розвитку  громади у  2020  році (розділ «</w:t>
      </w:r>
      <w:r w:rsidRPr="00715A7C">
        <w:rPr>
          <w:rFonts w:eastAsia="Times New Roman"/>
          <w:spacing w:val="-6"/>
          <w:szCs w:val="24"/>
          <w:lang w:val="uk-UA" w:eastAsia="ru-RU"/>
        </w:rPr>
        <w:t xml:space="preserve">Податково-бюджетна політика»).  </w:t>
      </w:r>
    </w:p>
    <w:p w:rsidR="0027534E" w:rsidRPr="00715A7C" w:rsidRDefault="0027534E" w:rsidP="0027534E">
      <w:pPr>
        <w:pStyle w:val="a3"/>
        <w:ind w:firstLine="360"/>
        <w:jc w:val="both"/>
        <w:rPr>
          <w:rFonts w:ascii="Times New Roman" w:hAnsi="Times New Roman"/>
          <w:sz w:val="24"/>
          <w:szCs w:val="24"/>
          <w:lang w:val="uk-UA"/>
        </w:rPr>
      </w:pPr>
      <w:r w:rsidRPr="00715A7C">
        <w:rPr>
          <w:szCs w:val="24"/>
          <w:lang w:val="uk-UA"/>
        </w:rPr>
        <w:t xml:space="preserve">       </w:t>
      </w:r>
      <w:r w:rsidRPr="00715A7C">
        <w:rPr>
          <w:rFonts w:ascii="Times New Roman" w:hAnsi="Times New Roman"/>
          <w:sz w:val="24"/>
          <w:szCs w:val="24"/>
          <w:lang w:val="uk-UA"/>
        </w:rPr>
        <w:t xml:space="preserve">Кошти, які надійшли до бюджету громади за </w:t>
      </w:r>
      <w:r w:rsidRPr="00715A7C">
        <w:rPr>
          <w:rFonts w:ascii="Times New Roman" w:hAnsi="Times New Roman"/>
          <w:sz w:val="24"/>
          <w:szCs w:val="24"/>
        </w:rPr>
        <w:t>9</w:t>
      </w:r>
      <w:r w:rsidRPr="00715A7C">
        <w:rPr>
          <w:rFonts w:ascii="Times New Roman" w:hAnsi="Times New Roman"/>
          <w:sz w:val="24"/>
          <w:szCs w:val="24"/>
          <w:lang w:val="uk-UA"/>
        </w:rPr>
        <w:t xml:space="preserve"> місяців   20</w:t>
      </w:r>
      <w:r w:rsidRPr="00715A7C">
        <w:rPr>
          <w:rFonts w:ascii="Times New Roman" w:hAnsi="Times New Roman"/>
          <w:sz w:val="24"/>
          <w:szCs w:val="24"/>
        </w:rPr>
        <w:t>20</w:t>
      </w:r>
      <w:r w:rsidRPr="00715A7C">
        <w:rPr>
          <w:rFonts w:ascii="Times New Roman" w:hAnsi="Times New Roman"/>
          <w:sz w:val="24"/>
          <w:szCs w:val="24"/>
          <w:lang w:val="uk-UA"/>
        </w:rPr>
        <w:t xml:space="preserve"> року, дали можливість в цілому забезпечити виконання видаткової частини бюджету до річного плану на </w:t>
      </w:r>
      <w:r w:rsidRPr="00715A7C">
        <w:rPr>
          <w:rFonts w:ascii="Times New Roman" w:hAnsi="Times New Roman"/>
          <w:sz w:val="24"/>
          <w:szCs w:val="24"/>
        </w:rPr>
        <w:t>63</w:t>
      </w:r>
      <w:r w:rsidRPr="00715A7C">
        <w:rPr>
          <w:rFonts w:ascii="Times New Roman" w:hAnsi="Times New Roman"/>
          <w:sz w:val="24"/>
          <w:szCs w:val="24"/>
          <w:lang w:val="uk-UA"/>
        </w:rPr>
        <w:t>,</w:t>
      </w:r>
      <w:r w:rsidRPr="00715A7C">
        <w:rPr>
          <w:rFonts w:ascii="Times New Roman" w:hAnsi="Times New Roman"/>
          <w:sz w:val="24"/>
          <w:szCs w:val="24"/>
        </w:rPr>
        <w:t>0</w:t>
      </w:r>
      <w:r w:rsidRPr="00715A7C">
        <w:rPr>
          <w:rFonts w:ascii="Times New Roman" w:hAnsi="Times New Roman"/>
          <w:sz w:val="24"/>
          <w:szCs w:val="24"/>
          <w:lang w:val="uk-UA"/>
        </w:rPr>
        <w:t xml:space="preserve"> відсотки та спрямувати на фінансування галузей  –</w:t>
      </w:r>
      <w:r w:rsidRPr="00715A7C">
        <w:rPr>
          <w:rFonts w:ascii="Times New Roman" w:hAnsi="Times New Roman"/>
          <w:sz w:val="24"/>
          <w:szCs w:val="24"/>
        </w:rPr>
        <w:t>1580.1</w:t>
      </w:r>
      <w:r w:rsidRPr="00715A7C">
        <w:rPr>
          <w:rFonts w:ascii="Times New Roman" w:hAnsi="Times New Roman"/>
          <w:sz w:val="24"/>
          <w:szCs w:val="24"/>
          <w:lang w:val="uk-UA"/>
        </w:rPr>
        <w:t xml:space="preserve"> млн.грн, в тому числі по загальному фонду –</w:t>
      </w:r>
      <w:r w:rsidRPr="00715A7C">
        <w:rPr>
          <w:rFonts w:ascii="Times New Roman" w:hAnsi="Times New Roman"/>
          <w:sz w:val="24"/>
          <w:szCs w:val="24"/>
        </w:rPr>
        <w:t xml:space="preserve">1210.6 </w:t>
      </w:r>
      <w:r w:rsidRPr="00715A7C">
        <w:rPr>
          <w:rFonts w:ascii="Times New Roman" w:hAnsi="Times New Roman"/>
          <w:sz w:val="24"/>
          <w:szCs w:val="24"/>
          <w:lang w:val="uk-UA"/>
        </w:rPr>
        <w:t>млн. грн і по спеціальному –</w:t>
      </w:r>
      <w:r w:rsidRPr="00715A7C">
        <w:rPr>
          <w:rFonts w:ascii="Times New Roman" w:hAnsi="Times New Roman"/>
          <w:sz w:val="24"/>
          <w:szCs w:val="24"/>
        </w:rPr>
        <w:t>369.5</w:t>
      </w:r>
      <w:r w:rsidRPr="00715A7C">
        <w:rPr>
          <w:rFonts w:ascii="Times New Roman" w:hAnsi="Times New Roman"/>
          <w:sz w:val="24"/>
          <w:szCs w:val="24"/>
          <w:lang w:val="uk-UA"/>
        </w:rPr>
        <w:t xml:space="preserve"> млн. грн. </w:t>
      </w:r>
    </w:p>
    <w:p w:rsidR="0027534E" w:rsidRPr="00715A7C" w:rsidRDefault="0027534E" w:rsidP="0027534E">
      <w:pPr>
        <w:pStyle w:val="a3"/>
        <w:ind w:firstLine="360"/>
        <w:jc w:val="both"/>
        <w:rPr>
          <w:rFonts w:ascii="Times New Roman" w:hAnsi="Times New Roman"/>
          <w:sz w:val="24"/>
          <w:szCs w:val="24"/>
          <w:lang w:val="uk-UA"/>
        </w:rPr>
      </w:pPr>
      <w:r w:rsidRPr="00715A7C">
        <w:rPr>
          <w:rFonts w:ascii="Times New Roman" w:hAnsi="Times New Roman"/>
          <w:sz w:val="24"/>
          <w:szCs w:val="24"/>
          <w:lang w:val="uk-UA"/>
        </w:rPr>
        <w:t xml:space="preserve">     За рахунок отриманих коштів профінансовано заклади освіти на 737,3 млн.грн, охорони здоров’я – на 156,9 млн.грн, культури - на 38,6 млн.грн, соціального  захисту – на  71,0 млн.грн, на утримання  фізичної культури і спорту  -  на 29,9 млн.грн. на утримання житлово-комунального господарства - на 216,0  млн.грн. Проведено виплату заробітної плати з нарахуваннями працівникам бюджетних установ та здійснено оплату комунальних послуг та спожитих у звітному періоді  енергоносіїв, на що направлено відповідно 718,4 млн.грн та  39,0 млн.грн, або 45,5 та 2,5 відсотків всіх видатків бюджету.             </w:t>
      </w:r>
    </w:p>
    <w:p w:rsidR="0027534E" w:rsidRPr="00715A7C" w:rsidRDefault="0027534E" w:rsidP="0027534E">
      <w:pPr>
        <w:pStyle w:val="a3"/>
        <w:jc w:val="both"/>
        <w:rPr>
          <w:sz w:val="28"/>
          <w:szCs w:val="28"/>
          <w:lang w:val="uk-UA"/>
        </w:rPr>
      </w:pPr>
      <w:r w:rsidRPr="00715A7C">
        <w:rPr>
          <w:rFonts w:ascii="Times New Roman" w:hAnsi="Times New Roman"/>
          <w:sz w:val="24"/>
          <w:szCs w:val="24"/>
          <w:lang w:val="uk-UA"/>
        </w:rPr>
        <w:t xml:space="preserve">         Станом на 01.12.2019 року  заборгованості за спожиті енергоносії  та  оплату  праці працівникам  бюджетних  установ міста Тернополя (громади ) немає.   </w:t>
      </w:r>
      <w:r w:rsidRPr="00715A7C">
        <w:rPr>
          <w:sz w:val="28"/>
          <w:szCs w:val="28"/>
        </w:rPr>
        <w:t xml:space="preserve">         </w:t>
      </w:r>
    </w:p>
    <w:p w:rsidR="0027534E" w:rsidRPr="00715A7C" w:rsidRDefault="0027534E" w:rsidP="0027534E">
      <w:pPr>
        <w:jc w:val="both"/>
        <w:rPr>
          <w:rFonts w:eastAsia="Times New Roman"/>
          <w:spacing w:val="-6"/>
          <w:szCs w:val="24"/>
          <w:lang w:val="uk-UA" w:eastAsia="ru-RU"/>
        </w:rPr>
      </w:pPr>
      <w:r w:rsidRPr="00715A7C">
        <w:rPr>
          <w:i/>
          <w:szCs w:val="24"/>
          <w:lang w:val="uk-UA"/>
        </w:rPr>
        <w:t xml:space="preserve">   </w:t>
      </w:r>
      <w:r>
        <w:rPr>
          <w:i/>
          <w:szCs w:val="24"/>
          <w:lang w:val="uk-UA"/>
        </w:rPr>
        <w:t xml:space="preserve">      </w:t>
      </w:r>
      <w:r w:rsidRPr="00715A7C">
        <w:rPr>
          <w:rFonts w:eastAsia="Times New Roman"/>
          <w:szCs w:val="24"/>
          <w:lang w:val="uk-UA" w:eastAsia="ru-RU"/>
        </w:rPr>
        <w:t xml:space="preserve">З метою збільшення фінансового ресурсу бюджету,  управлінням розроблено Заходи  щодо наповнення дохідної частини бюджету, </w:t>
      </w:r>
      <w:r w:rsidRPr="00715A7C">
        <w:rPr>
          <w:rFonts w:eastAsia="Times New Roman"/>
          <w:color w:val="000000"/>
          <w:szCs w:val="24"/>
          <w:lang w:val="uk-UA" w:eastAsia="ru-RU"/>
        </w:rPr>
        <w:t xml:space="preserve">економного та раціонального використання бюджетних коштів, дотримання суворої бюджетної дисципліни, упорядкування мережі бюджетних установ, що фінансуються за рахунок коштів міського бюджету, </w:t>
      </w:r>
      <w:r w:rsidRPr="00715A7C">
        <w:rPr>
          <w:rFonts w:eastAsia="Times New Roman"/>
          <w:szCs w:val="24"/>
          <w:lang w:val="uk-UA" w:eastAsia="ru-RU"/>
        </w:rPr>
        <w:t xml:space="preserve"> які  прийнято розпорядженням міського голови від 11.02.2020 р. № 39,  за станом виконання яких  на протязі звітного періоду здійснювався  постійний контроль.</w:t>
      </w:r>
      <w:r w:rsidRPr="00715A7C">
        <w:rPr>
          <w:rFonts w:eastAsia="Times New Roman"/>
          <w:spacing w:val="-6"/>
          <w:szCs w:val="24"/>
          <w:lang w:val="uk-UA" w:eastAsia="ru-RU"/>
        </w:rPr>
        <w:t xml:space="preserve">   </w:t>
      </w:r>
    </w:p>
    <w:p w:rsidR="0027534E" w:rsidRPr="00715A7C" w:rsidRDefault="0027534E" w:rsidP="0027534E">
      <w:pPr>
        <w:jc w:val="both"/>
        <w:rPr>
          <w:rFonts w:eastAsia="Times New Roman"/>
          <w:szCs w:val="24"/>
          <w:lang w:val="uk-UA" w:eastAsia="ru-RU"/>
        </w:rPr>
      </w:pPr>
      <w:r w:rsidRPr="00715A7C">
        <w:rPr>
          <w:rFonts w:eastAsia="Times New Roman"/>
          <w:spacing w:val="-6"/>
          <w:szCs w:val="24"/>
          <w:lang w:val="uk-UA" w:eastAsia="ru-RU"/>
        </w:rPr>
        <w:t xml:space="preserve">    </w:t>
      </w:r>
      <w:r>
        <w:rPr>
          <w:rFonts w:eastAsia="Times New Roman"/>
          <w:spacing w:val="-6"/>
          <w:szCs w:val="24"/>
          <w:lang w:val="uk-UA" w:eastAsia="ru-RU"/>
        </w:rPr>
        <w:t xml:space="preserve">      </w:t>
      </w:r>
      <w:r w:rsidRPr="00715A7C">
        <w:rPr>
          <w:rFonts w:eastAsia="Times New Roman"/>
          <w:szCs w:val="24"/>
          <w:lang w:val="uk-UA" w:eastAsia="ru-RU"/>
        </w:rPr>
        <w:t xml:space="preserve">В межах наданих законодавством повноважень здійснювалась  робота по   мобілізації доходів бюджету  від платників приєднаних до міста сіл, а саме,  направлено відповідні  листи в.о. старост стосовно  уточнення та систематичного оновлення переліку платників,  спільно з органами Держказначейства  здійснювалась щомісячна виборка  надходжень в частині найбільших платників, тощо. </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xml:space="preserve">    Так, за 9 місяців  2020р. від платників приєднаних сіл до бюджету громади надійшло 5,8 млн.грн , в той час як в минулому звітному періоді -   4,1 млн.грн.       </w:t>
      </w:r>
    </w:p>
    <w:p w:rsidR="0027534E" w:rsidRPr="00715A7C" w:rsidRDefault="0027534E" w:rsidP="0027534E">
      <w:pPr>
        <w:shd w:val="clear" w:color="auto" w:fill="FFFFFF"/>
        <w:spacing w:line="274" w:lineRule="exact"/>
        <w:ind w:firstLine="708"/>
        <w:jc w:val="both"/>
        <w:rPr>
          <w:rFonts w:eastAsia="Times New Roman"/>
          <w:szCs w:val="24"/>
          <w:lang w:val="uk-UA" w:eastAsia="ru-RU"/>
        </w:rPr>
      </w:pPr>
    </w:p>
    <w:p w:rsidR="0027534E" w:rsidRPr="00715A7C" w:rsidRDefault="0027534E" w:rsidP="0027534E">
      <w:pPr>
        <w:jc w:val="both"/>
        <w:rPr>
          <w:szCs w:val="24"/>
        </w:rPr>
      </w:pPr>
      <w:r w:rsidRPr="00715A7C">
        <w:rPr>
          <w:i/>
          <w:szCs w:val="24"/>
          <w:lang w:val="uk-UA"/>
        </w:rPr>
        <w:t xml:space="preserve">             </w:t>
      </w:r>
      <w:r w:rsidRPr="00715A7C">
        <w:rPr>
          <w:szCs w:val="24"/>
        </w:rPr>
        <w:t>Спільними зусиллями управління  та головних  розпорядників  коштів за 9-ть місяців 20</w:t>
      </w:r>
      <w:r w:rsidRPr="00715A7C">
        <w:rPr>
          <w:szCs w:val="24"/>
          <w:lang w:val="uk-UA"/>
        </w:rPr>
        <w:t>20</w:t>
      </w:r>
      <w:r w:rsidRPr="00715A7C">
        <w:rPr>
          <w:szCs w:val="24"/>
        </w:rPr>
        <w:t xml:space="preserve"> року проведені  заходи по оптимізації витрат на </w:t>
      </w:r>
      <w:r w:rsidRPr="00715A7C">
        <w:rPr>
          <w:szCs w:val="24"/>
          <w:lang w:val="uk-UA"/>
        </w:rPr>
        <w:t xml:space="preserve">32,1 </w:t>
      </w:r>
      <w:r w:rsidRPr="00715A7C">
        <w:rPr>
          <w:szCs w:val="24"/>
        </w:rPr>
        <w:t>млн.грн.,   в  тому  числі:</w:t>
      </w:r>
    </w:p>
    <w:p w:rsidR="0027534E" w:rsidRPr="00715A7C" w:rsidRDefault="0027534E" w:rsidP="0027534E">
      <w:pPr>
        <w:jc w:val="both"/>
      </w:pPr>
      <w:r w:rsidRPr="00715A7C">
        <w:t xml:space="preserve">         -  закладами  ос</w:t>
      </w:r>
      <w:r>
        <w:t>віти       -  25 299,2  тис.грн</w:t>
      </w:r>
      <w:r>
        <w:rPr>
          <w:lang w:val="uk-UA"/>
        </w:rPr>
        <w:t xml:space="preserve"> </w:t>
      </w:r>
      <w:r w:rsidRPr="00715A7C">
        <w:t>;</w:t>
      </w:r>
    </w:p>
    <w:p w:rsidR="0027534E" w:rsidRPr="00715A7C" w:rsidRDefault="0027534E" w:rsidP="0027534E">
      <w:pPr>
        <w:jc w:val="both"/>
      </w:pPr>
      <w:r>
        <w:t xml:space="preserve">         -</w:t>
      </w:r>
      <w:r>
        <w:rPr>
          <w:lang w:val="uk-UA"/>
        </w:rPr>
        <w:t xml:space="preserve"> </w:t>
      </w:r>
      <w:r w:rsidRPr="00715A7C">
        <w:t xml:space="preserve">закладами  охорони </w:t>
      </w:r>
      <w:r>
        <w:t xml:space="preserve"> здоров’я   -  1 905,9</w:t>
      </w:r>
      <w:r>
        <w:rPr>
          <w:lang w:val="uk-UA"/>
        </w:rPr>
        <w:t xml:space="preserve"> </w:t>
      </w:r>
      <w:r>
        <w:t>тис.грн</w:t>
      </w:r>
      <w:r w:rsidRPr="00715A7C">
        <w:t>;</w:t>
      </w:r>
    </w:p>
    <w:p w:rsidR="0027534E" w:rsidRPr="00715A7C" w:rsidRDefault="0027534E" w:rsidP="0027534E">
      <w:pPr>
        <w:jc w:val="both"/>
      </w:pPr>
      <w:r w:rsidRPr="00715A7C">
        <w:t xml:space="preserve">         -  управлінням  соціаль</w:t>
      </w:r>
      <w:r>
        <w:t>ної  політики  -  682,4 тис.грн</w:t>
      </w:r>
      <w:r w:rsidRPr="00715A7C">
        <w:t>;</w:t>
      </w:r>
    </w:p>
    <w:p w:rsidR="0027534E" w:rsidRPr="00715A7C" w:rsidRDefault="0027534E" w:rsidP="0027534E">
      <w:pPr>
        <w:jc w:val="both"/>
      </w:pPr>
      <w:r w:rsidRPr="00715A7C">
        <w:t xml:space="preserve">        -  закладими  управління   сім’ї,  молодіжної  політики  та захисту дітей    -  374,4</w:t>
      </w:r>
      <w:r>
        <w:rPr>
          <w:lang w:val="uk-UA"/>
        </w:rPr>
        <w:t xml:space="preserve"> </w:t>
      </w:r>
      <w:r>
        <w:t>тис.грн</w:t>
      </w:r>
      <w:r>
        <w:rPr>
          <w:lang w:val="uk-UA"/>
        </w:rPr>
        <w:t xml:space="preserve"> </w:t>
      </w:r>
      <w:r w:rsidRPr="00715A7C">
        <w:t>;</w:t>
      </w:r>
    </w:p>
    <w:p w:rsidR="0027534E" w:rsidRPr="00715A7C" w:rsidRDefault="0027534E" w:rsidP="0027534E">
      <w:pPr>
        <w:jc w:val="both"/>
      </w:pPr>
      <w:r w:rsidRPr="00715A7C">
        <w:t xml:space="preserve">        -  закладими  управління  розвитку  спорту  та  фізично</w:t>
      </w:r>
      <w:r>
        <w:t>ї  культури  -  1 640,0 тис.грн</w:t>
      </w:r>
      <w:r w:rsidRPr="00715A7C">
        <w:t>;</w:t>
      </w:r>
    </w:p>
    <w:p w:rsidR="0027534E" w:rsidRDefault="0027534E" w:rsidP="0027534E">
      <w:pPr>
        <w:jc w:val="both"/>
        <w:rPr>
          <w:lang w:val="uk-UA"/>
        </w:rPr>
      </w:pPr>
      <w:r w:rsidRPr="00715A7C">
        <w:t xml:space="preserve">        -  закладами  управління  культури  і  мистецтв   -  2 200,1 тис.грн</w:t>
      </w:r>
      <w:r>
        <w:rPr>
          <w:lang w:val="uk-UA"/>
        </w:rPr>
        <w:t>.</w:t>
      </w:r>
    </w:p>
    <w:p w:rsidR="0027534E" w:rsidRPr="004376AA" w:rsidRDefault="0027534E" w:rsidP="0027534E">
      <w:pPr>
        <w:jc w:val="both"/>
        <w:rPr>
          <w:lang w:val="uk-UA"/>
        </w:rPr>
      </w:pPr>
      <w:r>
        <w:rPr>
          <w:lang w:val="uk-UA"/>
        </w:rPr>
        <w:t xml:space="preserve">        </w:t>
      </w:r>
      <w:r w:rsidRPr="00715A7C">
        <w:rPr>
          <w:rFonts w:eastAsia="Times New Roman"/>
          <w:szCs w:val="24"/>
          <w:lang w:val="uk-UA" w:eastAsia="ru-RU"/>
        </w:rPr>
        <w:t xml:space="preserve"> В межах </w:t>
      </w:r>
      <w:r>
        <w:rPr>
          <w:rFonts w:eastAsia="Times New Roman"/>
          <w:szCs w:val="24"/>
          <w:lang w:val="uk-UA" w:eastAsia="ru-RU"/>
        </w:rPr>
        <w:t xml:space="preserve">наданих </w:t>
      </w:r>
      <w:r w:rsidRPr="00715A7C">
        <w:rPr>
          <w:rFonts w:eastAsia="Times New Roman"/>
          <w:szCs w:val="24"/>
          <w:lang w:val="uk-UA" w:eastAsia="ru-RU"/>
        </w:rPr>
        <w:t>повноважень, управлінням здійснювався контроль за використанням бюджетних коштів.</w:t>
      </w:r>
    </w:p>
    <w:p w:rsidR="0027534E" w:rsidRPr="00715A7C" w:rsidRDefault="0027534E" w:rsidP="0027534E">
      <w:pPr>
        <w:ind w:firstLine="708"/>
        <w:jc w:val="both"/>
        <w:rPr>
          <w:szCs w:val="24"/>
        </w:rPr>
      </w:pPr>
      <w:r w:rsidRPr="00715A7C">
        <w:rPr>
          <w:szCs w:val="24"/>
        </w:rPr>
        <w:t>Працівниками управління</w:t>
      </w:r>
      <w:r w:rsidRPr="00715A7C">
        <w:rPr>
          <w:szCs w:val="24"/>
          <w:lang w:val="uk-UA"/>
        </w:rPr>
        <w:t xml:space="preserve"> за звітний період</w:t>
      </w:r>
      <w:r w:rsidRPr="00715A7C">
        <w:rPr>
          <w:szCs w:val="24"/>
        </w:rPr>
        <w:t xml:space="preserve"> проведено </w:t>
      </w:r>
      <w:r w:rsidRPr="00715A7C">
        <w:rPr>
          <w:szCs w:val="24"/>
          <w:lang w:val="uk-UA"/>
        </w:rPr>
        <w:t>23</w:t>
      </w:r>
      <w:r w:rsidRPr="00715A7C">
        <w:rPr>
          <w:szCs w:val="24"/>
        </w:rPr>
        <w:t xml:space="preserve"> (</w:t>
      </w:r>
      <w:r w:rsidRPr="00715A7C">
        <w:rPr>
          <w:szCs w:val="24"/>
          <w:lang w:val="uk-UA"/>
        </w:rPr>
        <w:t>двадцять три</w:t>
      </w:r>
      <w:r w:rsidRPr="00715A7C">
        <w:rPr>
          <w:szCs w:val="24"/>
        </w:rPr>
        <w:t>) перевірк</w:t>
      </w:r>
      <w:r w:rsidRPr="00715A7C">
        <w:rPr>
          <w:szCs w:val="24"/>
          <w:lang w:val="uk-UA"/>
        </w:rPr>
        <w:t>и</w:t>
      </w:r>
      <w:r w:rsidRPr="00715A7C">
        <w:rPr>
          <w:szCs w:val="24"/>
        </w:rPr>
        <w:t>, з них:</w:t>
      </w:r>
    </w:p>
    <w:p w:rsidR="0027534E" w:rsidRPr="00715A7C" w:rsidRDefault="0027534E" w:rsidP="0027534E">
      <w:pPr>
        <w:numPr>
          <w:ilvl w:val="0"/>
          <w:numId w:val="1"/>
        </w:numPr>
        <w:jc w:val="both"/>
        <w:rPr>
          <w:szCs w:val="24"/>
        </w:rPr>
      </w:pPr>
      <w:r w:rsidRPr="00715A7C">
        <w:rPr>
          <w:szCs w:val="24"/>
        </w:rPr>
        <w:t>2 (дв</w:t>
      </w:r>
      <w:r w:rsidRPr="00715A7C">
        <w:rPr>
          <w:szCs w:val="24"/>
          <w:lang w:val="uk-UA"/>
        </w:rPr>
        <w:t>і</w:t>
      </w:r>
      <w:r w:rsidRPr="00715A7C">
        <w:rPr>
          <w:szCs w:val="24"/>
        </w:rPr>
        <w:t>)  перевір</w:t>
      </w:r>
      <w:r w:rsidRPr="00715A7C">
        <w:rPr>
          <w:szCs w:val="24"/>
          <w:lang w:val="uk-UA"/>
        </w:rPr>
        <w:t>ки</w:t>
      </w:r>
      <w:r w:rsidRPr="00715A7C">
        <w:rPr>
          <w:szCs w:val="24"/>
        </w:rPr>
        <w:t xml:space="preserve">  по питанню правильності складання кошторисів  на  20</w:t>
      </w:r>
      <w:r w:rsidRPr="00715A7C">
        <w:rPr>
          <w:szCs w:val="24"/>
          <w:lang w:val="uk-UA"/>
        </w:rPr>
        <w:t>20</w:t>
      </w:r>
      <w:r w:rsidRPr="00715A7C">
        <w:rPr>
          <w:szCs w:val="24"/>
        </w:rPr>
        <w:t xml:space="preserve"> рік;</w:t>
      </w:r>
    </w:p>
    <w:p w:rsidR="0027534E" w:rsidRPr="00715A7C" w:rsidRDefault="0027534E" w:rsidP="0027534E">
      <w:pPr>
        <w:numPr>
          <w:ilvl w:val="0"/>
          <w:numId w:val="1"/>
        </w:numPr>
        <w:jc w:val="both"/>
        <w:rPr>
          <w:szCs w:val="24"/>
        </w:rPr>
      </w:pPr>
      <w:r w:rsidRPr="00715A7C">
        <w:rPr>
          <w:szCs w:val="24"/>
        </w:rPr>
        <w:lastRenderedPageBreak/>
        <w:t>1 (одна) перевірка правильності складання кошторисі</w:t>
      </w:r>
      <w:r w:rsidRPr="00715A7C">
        <w:rPr>
          <w:szCs w:val="24"/>
          <w:lang w:val="uk-UA"/>
        </w:rPr>
        <w:t>, внесення змін  та використання бюджетних коштів за 2019 рік та шість місяців 2020року  в міському центрі соціальних служб для молоді</w:t>
      </w:r>
      <w:r w:rsidRPr="00715A7C">
        <w:rPr>
          <w:szCs w:val="24"/>
        </w:rPr>
        <w:t>;</w:t>
      </w:r>
    </w:p>
    <w:p w:rsidR="0027534E" w:rsidRPr="00715A7C" w:rsidRDefault="0027534E" w:rsidP="0027534E">
      <w:pPr>
        <w:numPr>
          <w:ilvl w:val="0"/>
          <w:numId w:val="1"/>
        </w:numPr>
        <w:jc w:val="both"/>
        <w:rPr>
          <w:szCs w:val="24"/>
        </w:rPr>
      </w:pPr>
      <w:r w:rsidRPr="00715A7C">
        <w:rPr>
          <w:szCs w:val="24"/>
          <w:lang w:val="uk-UA"/>
        </w:rPr>
        <w:t>1 (одна ) перевірка правильності складання кошторисів, внесення змін  та використання бюджетних коштів за п</w:t>
      </w:r>
      <w:r w:rsidRPr="00715A7C">
        <w:t>’</w:t>
      </w:r>
      <w:r w:rsidRPr="00715A7C">
        <w:rPr>
          <w:szCs w:val="24"/>
          <w:lang w:val="uk-UA"/>
        </w:rPr>
        <w:t>ять місяців 2020 року в КП «Об</w:t>
      </w:r>
      <w:r w:rsidRPr="00715A7C">
        <w:t>’</w:t>
      </w:r>
      <w:r w:rsidRPr="00715A7C">
        <w:rPr>
          <w:szCs w:val="24"/>
          <w:lang w:val="uk-UA"/>
        </w:rPr>
        <w:t>єднання парків культури і відпочинку  м. Тернополя»</w:t>
      </w:r>
    </w:p>
    <w:p w:rsidR="0027534E" w:rsidRPr="00715A7C" w:rsidRDefault="0027534E" w:rsidP="0027534E">
      <w:pPr>
        <w:numPr>
          <w:ilvl w:val="0"/>
          <w:numId w:val="1"/>
        </w:numPr>
        <w:jc w:val="both"/>
        <w:rPr>
          <w:szCs w:val="24"/>
        </w:rPr>
      </w:pPr>
      <w:r w:rsidRPr="00715A7C">
        <w:rPr>
          <w:szCs w:val="24"/>
        </w:rPr>
        <w:t>1(одна) перевірка правильності  використання  коштів на  харчування пільгових  категорій дітей в ДНЗ;</w:t>
      </w:r>
    </w:p>
    <w:p w:rsidR="0027534E" w:rsidRPr="00715A7C" w:rsidRDefault="0027534E" w:rsidP="0027534E">
      <w:pPr>
        <w:numPr>
          <w:ilvl w:val="0"/>
          <w:numId w:val="1"/>
        </w:numPr>
        <w:jc w:val="both"/>
        <w:rPr>
          <w:szCs w:val="24"/>
        </w:rPr>
      </w:pPr>
      <w:r w:rsidRPr="00715A7C">
        <w:rPr>
          <w:szCs w:val="24"/>
          <w:lang w:val="uk-UA"/>
        </w:rPr>
        <w:t>13</w:t>
      </w:r>
      <w:r w:rsidRPr="00715A7C">
        <w:rPr>
          <w:szCs w:val="24"/>
        </w:rPr>
        <w:t xml:space="preserve"> (</w:t>
      </w:r>
      <w:r w:rsidRPr="00715A7C">
        <w:rPr>
          <w:szCs w:val="24"/>
          <w:lang w:val="uk-UA"/>
        </w:rPr>
        <w:t>тринадцять</w:t>
      </w:r>
      <w:r w:rsidRPr="00715A7C">
        <w:rPr>
          <w:szCs w:val="24"/>
        </w:rPr>
        <w:t>) перевір</w:t>
      </w:r>
      <w:r w:rsidRPr="00715A7C">
        <w:rPr>
          <w:szCs w:val="24"/>
          <w:lang w:val="uk-UA"/>
        </w:rPr>
        <w:t>ок</w:t>
      </w:r>
      <w:r w:rsidRPr="00715A7C">
        <w:rPr>
          <w:szCs w:val="24"/>
        </w:rPr>
        <w:t xml:space="preserve"> правильності складання тарифікації педагогічного персоналу;</w:t>
      </w:r>
    </w:p>
    <w:p w:rsidR="0027534E" w:rsidRPr="00715A7C" w:rsidRDefault="0027534E" w:rsidP="0027534E">
      <w:pPr>
        <w:numPr>
          <w:ilvl w:val="0"/>
          <w:numId w:val="1"/>
        </w:numPr>
        <w:jc w:val="both"/>
        <w:rPr>
          <w:sz w:val="28"/>
          <w:szCs w:val="28"/>
        </w:rPr>
      </w:pPr>
      <w:r w:rsidRPr="00715A7C">
        <w:rPr>
          <w:szCs w:val="24"/>
          <w:lang w:val="uk-UA"/>
        </w:rPr>
        <w:t>5</w:t>
      </w:r>
      <w:r w:rsidRPr="00715A7C">
        <w:rPr>
          <w:szCs w:val="24"/>
        </w:rPr>
        <w:t xml:space="preserve"> (</w:t>
      </w:r>
      <w:r w:rsidRPr="00715A7C">
        <w:rPr>
          <w:szCs w:val="24"/>
          <w:lang w:val="uk-UA"/>
        </w:rPr>
        <w:t>п</w:t>
      </w:r>
      <w:r w:rsidRPr="00715A7C">
        <w:t>’</w:t>
      </w:r>
      <w:r w:rsidRPr="00715A7C">
        <w:rPr>
          <w:szCs w:val="24"/>
          <w:lang w:val="uk-UA"/>
        </w:rPr>
        <w:t xml:space="preserve">ять </w:t>
      </w:r>
      <w:r w:rsidRPr="00715A7C">
        <w:rPr>
          <w:szCs w:val="24"/>
        </w:rPr>
        <w:t>) перевір</w:t>
      </w:r>
      <w:r w:rsidRPr="00715A7C">
        <w:rPr>
          <w:szCs w:val="24"/>
          <w:lang w:val="uk-UA"/>
        </w:rPr>
        <w:t>о</w:t>
      </w:r>
      <w:r w:rsidRPr="00715A7C">
        <w:rPr>
          <w:szCs w:val="24"/>
        </w:rPr>
        <w:t>к наповнюваності груп в ДНЗ.</w:t>
      </w:r>
    </w:p>
    <w:p w:rsidR="0027534E" w:rsidRPr="00715A7C" w:rsidRDefault="0027534E" w:rsidP="0027534E">
      <w:pPr>
        <w:ind w:firstLine="708"/>
        <w:jc w:val="both"/>
        <w:rPr>
          <w:rFonts w:eastAsia="Times New Roman"/>
          <w:i/>
          <w:szCs w:val="24"/>
          <w:lang w:val="uk-UA" w:eastAsia="ru-RU"/>
        </w:rPr>
      </w:pPr>
      <w:r w:rsidRPr="00715A7C">
        <w:rPr>
          <w:rFonts w:eastAsia="Times New Roman"/>
          <w:szCs w:val="24"/>
          <w:lang w:val="uk-UA" w:eastAsia="ru-RU"/>
        </w:rPr>
        <w:t xml:space="preserve">За дотриманням бюджетної дисципліни керівництво управління постійно наголошує на нарадах та семінарах, які проходять за участю представників головних  розпорядників коштів. Зачитуються та обговорюються обзорні листи, які надходять з МФУ та інших контролюючих служб про порушення, які виявлені ними в інших регіонах. </w:t>
      </w:r>
    </w:p>
    <w:p w:rsidR="0027534E" w:rsidRPr="00715A7C" w:rsidRDefault="0027534E" w:rsidP="0027534E">
      <w:pPr>
        <w:shd w:val="clear" w:color="auto" w:fill="FFFFFF"/>
        <w:snapToGrid w:val="0"/>
        <w:ind w:firstLine="708"/>
        <w:jc w:val="both"/>
        <w:rPr>
          <w:bCs/>
          <w:lang w:val="uk-UA"/>
        </w:rPr>
      </w:pPr>
      <w:r w:rsidRPr="00715A7C">
        <w:rPr>
          <w:lang w:val="uk-UA"/>
        </w:rPr>
        <w:t xml:space="preserve">За   9 місяців 2020р. працівниками управління прийнято участь у 6 засіданнях комісії </w:t>
      </w:r>
      <w:r w:rsidRPr="00715A7C">
        <w:rPr>
          <w:bCs/>
          <w:lang w:val="uk-UA"/>
        </w:rPr>
        <w:t>щодо погашення заборгованості із виплати заробітної плати, своєчасної сплати податків, внесення обов’язкових платежів, та вивчення причин збиткової діяльності суб’єктів господарювання,   в 3- х засіданнях комісії з питань прийняття відомчого житлового фонду до комунальної власності міста,  в  засіданні комісії з питань  знищення  та вилучення  конфіскованого майна, конкурсній комісії  по визначенню переможця паркування та  інших.</w:t>
      </w:r>
    </w:p>
    <w:p w:rsidR="0027534E" w:rsidRPr="00715A7C" w:rsidRDefault="0027534E" w:rsidP="0027534E">
      <w:pPr>
        <w:widowControl w:val="0"/>
        <w:ind w:firstLine="708"/>
        <w:jc w:val="both"/>
        <w:rPr>
          <w:rFonts w:eastAsia="Times New Roman"/>
          <w:szCs w:val="24"/>
          <w:lang w:val="uk-UA" w:eastAsia="ru-RU"/>
        </w:rPr>
      </w:pPr>
      <w:r w:rsidRPr="00715A7C">
        <w:rPr>
          <w:rFonts w:eastAsia="Times New Roman"/>
          <w:szCs w:val="24"/>
          <w:lang w:val="uk-UA" w:eastAsia="ru-RU"/>
        </w:rPr>
        <w:t>Розглянуто та погоджено 2670 електронних висновків  та повідомлень ДПС  на повернення  помилково сплачених  податків до бюджету громади.</w:t>
      </w:r>
    </w:p>
    <w:p w:rsidR="0027534E" w:rsidRPr="00715A7C" w:rsidRDefault="0027534E" w:rsidP="0027534E">
      <w:pPr>
        <w:widowControl w:val="0"/>
        <w:ind w:firstLine="708"/>
        <w:jc w:val="both"/>
        <w:rPr>
          <w:rFonts w:eastAsia="Times New Roman"/>
          <w:i/>
          <w:szCs w:val="24"/>
          <w:lang w:val="uk-UA" w:eastAsia="ru-RU"/>
        </w:rPr>
      </w:pPr>
      <w:r w:rsidRPr="00715A7C">
        <w:rPr>
          <w:rFonts w:eastAsia="Times New Roman"/>
          <w:szCs w:val="24"/>
          <w:lang w:val="uk-UA" w:eastAsia="ru-RU"/>
        </w:rPr>
        <w:t xml:space="preserve"> В органи Держказначейства підготовлено 27 довідок про внесення змін до бюджету,   матеріали  до казначейської звітності, здійснено  11  щомісячних звірок планових показників.</w:t>
      </w:r>
      <w:r w:rsidRPr="00715A7C">
        <w:rPr>
          <w:rFonts w:eastAsia="Times New Roman"/>
          <w:i/>
          <w:szCs w:val="24"/>
          <w:lang w:val="uk-UA" w:eastAsia="ru-RU"/>
        </w:rPr>
        <w:t xml:space="preserve"> </w:t>
      </w:r>
    </w:p>
    <w:p w:rsidR="0027534E" w:rsidRPr="00715A7C" w:rsidRDefault="0027534E" w:rsidP="0027534E">
      <w:pPr>
        <w:shd w:val="clear" w:color="auto" w:fill="FFFFFF"/>
        <w:snapToGrid w:val="0"/>
        <w:ind w:firstLine="708"/>
        <w:jc w:val="both"/>
        <w:rPr>
          <w:rFonts w:eastAsia="Times New Roman"/>
          <w:szCs w:val="24"/>
          <w:lang w:val="uk-UA"/>
        </w:rPr>
      </w:pPr>
      <w:r w:rsidRPr="00715A7C">
        <w:rPr>
          <w:rFonts w:eastAsia="Times New Roman"/>
          <w:szCs w:val="24"/>
          <w:highlight w:val="yellow"/>
          <w:lang w:val="uk-UA"/>
        </w:rPr>
        <w:t>З</w:t>
      </w:r>
      <w:r w:rsidRPr="00715A7C">
        <w:rPr>
          <w:rFonts w:eastAsia="Times New Roman"/>
          <w:szCs w:val="24"/>
          <w:lang w:val="uk-UA"/>
        </w:rPr>
        <w:t>а звітний період,  із  урахуванням карантинних обмежень,  працівники управління приймали участь у онлайн – форумах, а  також  засіданнях та надавали необхідну інформацію  в спільному у проекті  з Європейським інвестиційним банком в проекті «Глибока термомодернізація будівель закладів освіти м.Тернополя»,  проекті «Світло без ртуті» та ін.</w:t>
      </w:r>
    </w:p>
    <w:p w:rsidR="0027534E" w:rsidRPr="00715A7C" w:rsidRDefault="0027534E" w:rsidP="0027534E">
      <w:pPr>
        <w:ind w:firstLine="708"/>
        <w:jc w:val="both"/>
        <w:rPr>
          <w:szCs w:val="24"/>
          <w:lang w:val="uk-UA"/>
        </w:rPr>
      </w:pPr>
      <w:r w:rsidRPr="00715A7C">
        <w:rPr>
          <w:rFonts w:eastAsia="Times New Roman"/>
          <w:szCs w:val="24"/>
          <w:lang w:val="uk-UA"/>
        </w:rPr>
        <w:t>З  метою вишукання додаткових коштів, відповідно до статті 16 Бюджетного кодексу України, Постанови Кабінету Міністрів України від 12 січня 2011 року №6 «Про затвердження Порядку розміщення тимчасово вільних коштів місцевого бюджету на вкладних (депозитних) рахунках у банках», рішення  про бюджет громади, проводилась робота по розміщенню на депозитному рахунку ПАТ Акціонерний банк «Укргазбанк» тимчасово вільних коштів бюджету, в результаті чого, за 2019 рік   залучено     9 546,9 тис.грн., а за  9 місяців 2020р. -   2874,6 тис.грн коштів.</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xml:space="preserve"> З метою реалізації громадою інвестиційних проектів, що потребує додаткових зовнішніх ресурсів, управління здійснює фінансовий супровід операцій по залученню коштів  місцевих запозичень та  надання місцевих гарантій.</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xml:space="preserve"> На сьогодні Тернопільська міська рада виступає гарантом по трьох кредитних угодах :</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по кредитній угоді ЄБРР з КП «Тернопільміськтеплокомуненерго» для реалізації програми пріоритетних інвестицій з модернізації систем централізованого теплопостачання міста Тернополя ;</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xml:space="preserve">- по кредитній угоді з НЕФКО щодо виконання КП теплових мереж „Тернопільміськтеплокомуненерго” зобов”язань на фінансування в рамках Програми </w:t>
      </w:r>
      <w:r w:rsidRPr="00715A7C">
        <w:rPr>
          <w:rFonts w:eastAsia="Times New Roman"/>
          <w:szCs w:val="24"/>
          <w:lang w:eastAsia="ru-RU"/>
        </w:rPr>
        <w:t>DemoUkrainaDH</w:t>
      </w:r>
      <w:r w:rsidRPr="00715A7C">
        <w:rPr>
          <w:rFonts w:eastAsia="Times New Roman"/>
          <w:szCs w:val="24"/>
          <w:lang w:val="uk-UA" w:eastAsia="ru-RU"/>
        </w:rPr>
        <w:t xml:space="preserve"> (25 ІТП, котельні – Теплокомуненерго);</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t xml:space="preserve"> - за кредитом Європейського Інвестиційного банку  КП «Міськавтотранс» з метою реалізації проекту « Міський громадський транспорт в Україні»</w:t>
      </w:r>
    </w:p>
    <w:p w:rsidR="0027534E" w:rsidRPr="00715A7C" w:rsidRDefault="0027534E" w:rsidP="0027534E">
      <w:pPr>
        <w:ind w:firstLine="360"/>
        <w:jc w:val="both"/>
        <w:rPr>
          <w:rFonts w:eastAsia="Times New Roman"/>
          <w:szCs w:val="24"/>
          <w:lang w:val="uk-UA" w:eastAsia="ru-RU"/>
        </w:rPr>
      </w:pPr>
      <w:r w:rsidRPr="00715A7C">
        <w:rPr>
          <w:rFonts w:eastAsia="Times New Roman"/>
          <w:szCs w:val="24"/>
          <w:lang w:val="uk-UA" w:eastAsia="ru-RU"/>
        </w:rPr>
        <w:lastRenderedPageBreak/>
        <w:t xml:space="preserve">   У зв»язку із цим, </w:t>
      </w:r>
      <w:r w:rsidRPr="00715A7C">
        <w:rPr>
          <w:rFonts w:eastAsia="Times New Roman"/>
          <w:color w:val="000000"/>
          <w:szCs w:val="24"/>
          <w:lang w:val="uk-UA" w:eastAsia="ru-RU"/>
        </w:rPr>
        <w:t xml:space="preserve"> постійно забезпечується інформування МФУ, ЄБРР, НЕФКО по показниках, що стосуються надання місцевих гарантій. Спільно з управлінням економіки, промисловості та праці здійснюється моніторинг руху  кредитних коштів та виконання зобов»язань. Щоквартально звітуємо про стан гарантованого боргу громади.</w:t>
      </w:r>
      <w:r w:rsidRPr="00715A7C">
        <w:rPr>
          <w:rFonts w:eastAsia="Times New Roman"/>
          <w:szCs w:val="24"/>
          <w:lang w:val="uk-UA" w:eastAsia="ru-RU"/>
        </w:rPr>
        <w:t xml:space="preserve">    </w:t>
      </w:r>
    </w:p>
    <w:p w:rsidR="0027534E" w:rsidRPr="00715A7C"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Крім того, у  липні 2020 році до бюджету  громади </w:t>
      </w:r>
      <w:r w:rsidRPr="00DA32E9">
        <w:rPr>
          <w:rFonts w:eastAsia="Times New Roman"/>
          <w:szCs w:val="24"/>
          <w:lang w:val="uk-UA"/>
        </w:rPr>
        <w:t xml:space="preserve">вперше </w:t>
      </w:r>
      <w:r w:rsidRPr="00715A7C">
        <w:rPr>
          <w:rFonts w:eastAsia="Times New Roman"/>
          <w:szCs w:val="24"/>
          <w:lang w:val="uk-UA"/>
        </w:rPr>
        <w:t xml:space="preserve"> надійшли   </w:t>
      </w:r>
      <w:r w:rsidRPr="00DA32E9">
        <w:rPr>
          <w:rFonts w:eastAsia="Times New Roman"/>
          <w:szCs w:val="24"/>
          <w:lang w:val="uk-UA"/>
        </w:rPr>
        <w:t xml:space="preserve">кошти </w:t>
      </w:r>
      <w:r w:rsidRPr="00715A7C">
        <w:rPr>
          <w:rFonts w:eastAsia="Times New Roman"/>
          <w:szCs w:val="24"/>
          <w:lang w:val="uk-UA"/>
        </w:rPr>
        <w:t xml:space="preserve"> в сумі 3 750,0 тис.грн </w:t>
      </w:r>
      <w:r w:rsidRPr="00DA32E9">
        <w:rPr>
          <w:rFonts w:eastAsia="Times New Roman"/>
          <w:szCs w:val="24"/>
          <w:lang w:val="uk-UA"/>
        </w:rPr>
        <w:t xml:space="preserve">від місцевих запозичень, </w:t>
      </w:r>
      <w:r w:rsidRPr="00715A7C">
        <w:rPr>
          <w:rFonts w:eastAsia="Times New Roman"/>
          <w:szCs w:val="24"/>
          <w:lang w:val="uk-UA"/>
        </w:rPr>
        <w:t xml:space="preserve"> а саме,  за </w:t>
      </w:r>
      <w:r w:rsidRPr="00DA32E9">
        <w:rPr>
          <w:rFonts w:eastAsia="Times New Roman"/>
          <w:szCs w:val="24"/>
          <w:lang w:val="uk-UA"/>
        </w:rPr>
        <w:t>кред</w:t>
      </w:r>
      <w:r w:rsidRPr="00715A7C">
        <w:rPr>
          <w:rFonts w:eastAsia="Times New Roman"/>
          <w:szCs w:val="24"/>
          <w:lang w:val="uk-UA"/>
        </w:rPr>
        <w:t xml:space="preserve">итом </w:t>
      </w:r>
      <w:r w:rsidRPr="00DA32E9">
        <w:rPr>
          <w:rFonts w:eastAsia="Times New Roman"/>
          <w:szCs w:val="24"/>
          <w:lang w:val="uk-UA"/>
        </w:rPr>
        <w:t xml:space="preserve"> Північної екологічної фінансової корпорації (НЕФКО) для фінансування інвестиційного проекту «Реконструкція системи зовнішнього освітлення м. Тернополя «Світло без ртуті» </w:t>
      </w:r>
      <w:r w:rsidRPr="00715A7C">
        <w:rPr>
          <w:rFonts w:eastAsia="Times New Roman"/>
          <w:szCs w:val="24"/>
          <w:lang w:val="uk-UA"/>
        </w:rPr>
        <w:t xml:space="preserve">( загальна сума - </w:t>
      </w:r>
      <w:r w:rsidRPr="00DA32E9">
        <w:rPr>
          <w:rFonts w:eastAsia="Times New Roman"/>
          <w:szCs w:val="24"/>
          <w:lang w:val="uk-UA"/>
        </w:rPr>
        <w:t>12,5 млн.грн</w:t>
      </w:r>
      <w:r w:rsidRPr="00715A7C">
        <w:rPr>
          <w:rFonts w:eastAsia="Times New Roman"/>
          <w:szCs w:val="24"/>
          <w:lang w:val="uk-UA"/>
        </w:rPr>
        <w:t>).</w:t>
      </w:r>
    </w:p>
    <w:p w:rsidR="0027534E" w:rsidRPr="00715A7C"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Також  діє угода з МФУ щодо передачі коштів </w:t>
      </w:r>
      <w:r w:rsidRPr="00DA32E9">
        <w:rPr>
          <w:rFonts w:eastAsia="Times New Roman"/>
          <w:szCs w:val="24"/>
          <w:lang w:val="uk-UA"/>
        </w:rPr>
        <w:t xml:space="preserve"> Європейського інвестиційного банку для фінансування проекту «Глибока термомодернізація будівель закладів освіти м. Тернополя» в сумі </w:t>
      </w:r>
      <w:r w:rsidRPr="00715A7C">
        <w:rPr>
          <w:rFonts w:eastAsia="Times New Roman"/>
          <w:szCs w:val="24"/>
          <w:lang w:val="uk-UA"/>
        </w:rPr>
        <w:t xml:space="preserve"> біля 900,0 </w:t>
      </w:r>
      <w:r w:rsidRPr="00DA32E9">
        <w:rPr>
          <w:rFonts w:eastAsia="Times New Roman"/>
          <w:szCs w:val="24"/>
          <w:lang w:val="uk-UA"/>
        </w:rPr>
        <w:t xml:space="preserve"> млн.грн.</w:t>
      </w:r>
      <w:r w:rsidRPr="00715A7C">
        <w:rPr>
          <w:rFonts w:eastAsia="Times New Roman"/>
          <w:szCs w:val="24"/>
          <w:lang w:val="uk-UA"/>
        </w:rPr>
        <w:t xml:space="preserve"> ( 25,4 млн. євро), фінансові операції по якій ще не здійснювались, оскільки  проводяться тендерні процедури.</w:t>
      </w:r>
    </w:p>
    <w:p w:rsidR="0027534E" w:rsidRPr="00715A7C"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За зазначеними угодами управління здійснювало підготовку необхідної документації, співпрацювало  з Міністерством фінансів,  з органами Держказначейства. Підготовлено Звіт про виконання Програми  управління боргом за 2019р. та прийнято наказ Про Програму управління боргом на 2020 рік.</w:t>
      </w:r>
    </w:p>
    <w:p w:rsidR="0027534E" w:rsidRPr="00715A7C"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Управління  було активним учасником в питаннях  співпраці з Асоціацією міст України, насамперед, в частині розгляду та аналізу  законопроектів, що регулюють  бюджетні питання громад. Направлено  6 пропозицій та зауважень, зокрема, щодо збереження відрахувань акцизного податку із ввезеного та виробленого палива, збільшення відсотку зарахування ПДФО, втрат  бюджету від  впливу коронавірусу, звизначення обсягу реверсної дотації на 2021 рік та   інших.   Здійснювався постійний моніторинг виконання бюджетів та обговорення спільних поточних питань з фінансовими органами інших громад як в телефонному режимі, так і письмово ( м. Суми, Чернігів, Житомир, тощо).</w:t>
      </w:r>
    </w:p>
    <w:p w:rsidR="0027534E" w:rsidRDefault="0027534E" w:rsidP="0027534E">
      <w:pPr>
        <w:spacing w:after="120"/>
        <w:ind w:firstLine="360"/>
        <w:jc w:val="both"/>
        <w:rPr>
          <w:rFonts w:eastAsia="Times New Roman"/>
          <w:szCs w:val="24"/>
          <w:lang w:val="uk-UA"/>
        </w:rPr>
      </w:pPr>
      <w:r w:rsidRPr="00715A7C">
        <w:rPr>
          <w:rFonts w:eastAsia="Times New Roman"/>
          <w:szCs w:val="24"/>
          <w:lang w:val="uk-UA"/>
        </w:rPr>
        <w:t xml:space="preserve"> На сьогодні управлінням здійснюється підготовча робота по складанню проєкту бюджету громади на 2021 рік, а також прогнозу на наступні 2 роки. Зокрема, направлено листи на адресу органів стягнення, бюджетних установ, комунальних підприємств тощо, по питанню прогнозованих показників бюджету, опрацьовуються  показники  Міністерства фінансів України,  спільно з органами ДПС та ін. здійснюються розрахунки очікуваних надходжень до кінця року та планових на наступний рік.</w:t>
      </w:r>
    </w:p>
    <w:p w:rsidR="0027534E" w:rsidRPr="005A61FD" w:rsidRDefault="0027534E" w:rsidP="0027534E">
      <w:pPr>
        <w:spacing w:after="120"/>
        <w:ind w:firstLine="360"/>
        <w:jc w:val="both"/>
        <w:rPr>
          <w:rFonts w:eastAsia="Times New Roman"/>
          <w:b/>
          <w:szCs w:val="24"/>
          <w:lang w:val="uk-UA" w:eastAsia="ru-RU"/>
        </w:rPr>
      </w:pPr>
    </w:p>
    <w:p w:rsidR="0027534E" w:rsidRDefault="0027534E" w:rsidP="0027534E">
      <w:pPr>
        <w:widowControl w:val="0"/>
        <w:jc w:val="both"/>
        <w:outlineLvl w:val="0"/>
        <w:rPr>
          <w:rFonts w:eastAsia="Times New Roman"/>
          <w:szCs w:val="24"/>
          <w:lang w:val="uk-UA" w:eastAsia="ru-RU"/>
        </w:rPr>
      </w:pPr>
      <w:r w:rsidRPr="00276868">
        <w:rPr>
          <w:rFonts w:eastAsia="Times New Roman"/>
          <w:szCs w:val="24"/>
          <w:lang w:val="uk-UA" w:eastAsia="ru-RU"/>
        </w:rPr>
        <w:t xml:space="preserve">Начальник фінансового управління                                </w:t>
      </w:r>
      <w:r>
        <w:rPr>
          <w:rFonts w:eastAsia="Times New Roman"/>
          <w:szCs w:val="24"/>
          <w:lang w:val="uk-UA" w:eastAsia="ru-RU"/>
        </w:rPr>
        <w:t xml:space="preserve">                             Надія  КУЧЕР</w:t>
      </w:r>
      <w:r w:rsidRPr="00276868">
        <w:rPr>
          <w:rFonts w:eastAsia="Times New Roman"/>
          <w:szCs w:val="24"/>
          <w:lang w:val="uk-UA" w:eastAsia="ru-RU"/>
        </w:rPr>
        <w:t xml:space="preserve"> </w:t>
      </w:r>
    </w:p>
    <w:p w:rsidR="0027534E" w:rsidRPr="00276868" w:rsidRDefault="0027534E" w:rsidP="0027534E">
      <w:pPr>
        <w:widowControl w:val="0"/>
        <w:jc w:val="both"/>
        <w:outlineLvl w:val="0"/>
        <w:rPr>
          <w:rFonts w:eastAsia="Times New Roman"/>
          <w:szCs w:val="24"/>
          <w:lang w:val="uk-UA" w:eastAsia="ru-RU"/>
        </w:rPr>
      </w:pPr>
    </w:p>
    <w:p w:rsidR="0027534E" w:rsidRDefault="0027534E" w:rsidP="0027534E">
      <w:pPr>
        <w:jc w:val="both"/>
        <w:rPr>
          <w:rFonts w:eastAsia="Times New Roman"/>
          <w:szCs w:val="24"/>
          <w:lang w:val="uk-UA" w:eastAsia="ru-RU"/>
        </w:rPr>
      </w:pPr>
      <w:r w:rsidRPr="00276868">
        <w:rPr>
          <w:rFonts w:eastAsia="Times New Roman"/>
          <w:szCs w:val="24"/>
          <w:lang w:val="uk-UA" w:eastAsia="ru-RU"/>
        </w:rPr>
        <w:t>Заступник міського голови</w:t>
      </w:r>
    </w:p>
    <w:p w:rsidR="0027534E" w:rsidRDefault="0027534E" w:rsidP="0027534E">
      <w:pPr>
        <w:jc w:val="both"/>
        <w:rPr>
          <w:rFonts w:eastAsia="Times New Roman"/>
          <w:szCs w:val="24"/>
          <w:lang w:val="uk-UA" w:eastAsia="ru-RU"/>
        </w:rPr>
      </w:pPr>
      <w:r>
        <w:rPr>
          <w:rFonts w:eastAsia="Times New Roman"/>
          <w:szCs w:val="24"/>
          <w:lang w:val="uk-UA" w:eastAsia="ru-RU"/>
        </w:rPr>
        <w:t>з питань діяльності</w:t>
      </w:r>
    </w:p>
    <w:p w:rsidR="0027534E" w:rsidRDefault="0027534E" w:rsidP="0027534E">
      <w:pPr>
        <w:jc w:val="both"/>
        <w:rPr>
          <w:rFonts w:eastAsia="Times New Roman"/>
          <w:szCs w:val="24"/>
          <w:lang w:val="uk-UA" w:eastAsia="ru-RU"/>
        </w:rPr>
      </w:pPr>
      <w:r>
        <w:rPr>
          <w:rFonts w:eastAsia="Times New Roman"/>
          <w:szCs w:val="24"/>
          <w:lang w:val="uk-UA" w:eastAsia="ru-RU"/>
        </w:rPr>
        <w:t>виконавчих органів ради</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t xml:space="preserve">    Вікторія Остапчук</w:t>
      </w:r>
      <w:r w:rsidRPr="00276868">
        <w:rPr>
          <w:rFonts w:eastAsia="Times New Roman"/>
          <w:szCs w:val="24"/>
          <w:lang w:val="uk-UA" w:eastAsia="ru-RU"/>
        </w:rPr>
        <w:t xml:space="preserve">                                                                          </w:t>
      </w:r>
      <w:r>
        <w:rPr>
          <w:rFonts w:eastAsia="Times New Roman"/>
          <w:szCs w:val="24"/>
          <w:lang w:val="uk-UA" w:eastAsia="ru-RU"/>
        </w:rPr>
        <w:t xml:space="preserve">            </w:t>
      </w:r>
    </w:p>
    <w:p w:rsidR="0027534E" w:rsidRDefault="0027534E" w:rsidP="0027534E">
      <w:pPr>
        <w:jc w:val="both"/>
        <w:rPr>
          <w:rFonts w:eastAsia="Times New Roman"/>
          <w:szCs w:val="24"/>
          <w:lang w:val="uk-UA" w:eastAsia="ru-RU"/>
        </w:rPr>
      </w:pPr>
      <w:r w:rsidRPr="00276868">
        <w:rPr>
          <w:rFonts w:eastAsia="Times New Roman"/>
          <w:szCs w:val="24"/>
          <w:lang w:val="uk-UA" w:eastAsia="ru-RU"/>
        </w:rPr>
        <w:t xml:space="preserve"> </w:t>
      </w:r>
    </w:p>
    <w:p w:rsidR="0027534E" w:rsidRPr="00276868" w:rsidRDefault="0027534E" w:rsidP="0027534E">
      <w:pPr>
        <w:jc w:val="both"/>
        <w:rPr>
          <w:rFonts w:eastAsia="Times New Roman"/>
          <w:szCs w:val="24"/>
          <w:lang w:val="uk-UA" w:eastAsia="ru-RU"/>
        </w:rPr>
      </w:pPr>
      <w:r w:rsidRPr="00276868">
        <w:rPr>
          <w:rFonts w:eastAsia="Times New Roman"/>
          <w:szCs w:val="24"/>
          <w:lang w:val="uk-UA" w:eastAsia="ru-RU"/>
        </w:rPr>
        <w:t xml:space="preserve">            </w:t>
      </w:r>
    </w:p>
    <w:p w:rsidR="0027534E" w:rsidRDefault="0027534E" w:rsidP="0027534E">
      <w:pPr>
        <w:jc w:val="both"/>
        <w:rPr>
          <w:lang w:val="uk-UA"/>
        </w:rPr>
      </w:pPr>
      <w:r w:rsidRPr="00276868">
        <w:rPr>
          <w:rFonts w:eastAsia="Times New Roman"/>
          <w:szCs w:val="24"/>
          <w:lang w:val="uk-UA" w:eastAsia="ru-RU"/>
        </w:rPr>
        <w:t xml:space="preserve">Міський голова                                                                                               </w:t>
      </w:r>
      <w:r>
        <w:rPr>
          <w:rFonts w:eastAsia="Times New Roman"/>
          <w:szCs w:val="24"/>
          <w:lang w:val="uk-UA" w:eastAsia="ru-RU"/>
        </w:rPr>
        <w:t>Сергій  НАДАЛ</w:t>
      </w:r>
      <w:r>
        <w:rPr>
          <w:lang w:val="uk-UA"/>
        </w:rPr>
        <w:t xml:space="preserve"> </w:t>
      </w:r>
    </w:p>
    <w:p w:rsidR="00B77C3F" w:rsidRDefault="00B77C3F"/>
    <w:sectPr w:rsidR="00B77C3F" w:rsidSect="00F86E31">
      <w:headerReference w:type="default" r:id="rId6"/>
      <w:pgSz w:w="11906" w:h="16838"/>
      <w:pgMar w:top="567"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54" w:rsidRDefault="0027534E">
    <w:pPr>
      <w:pStyle w:val="a6"/>
      <w:jc w:val="center"/>
    </w:pPr>
    <w:r>
      <w:fldChar w:fldCharType="begin"/>
    </w:r>
    <w:r>
      <w:instrText xml:space="preserve"> PAGE   \* MERGEFORMAT </w:instrText>
    </w:r>
    <w:r>
      <w:fldChar w:fldCharType="separate"/>
    </w:r>
    <w:r>
      <w:rPr>
        <w:noProof/>
      </w:rPr>
      <w:t>6</w:t>
    </w:r>
    <w:r>
      <w:fldChar w:fldCharType="end"/>
    </w:r>
  </w:p>
  <w:p w:rsidR="00890C54" w:rsidRDefault="002753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F77"/>
    <w:multiLevelType w:val="hybridMultilevel"/>
    <w:tmpl w:val="FAB82B36"/>
    <w:lvl w:ilvl="0" w:tplc="E0D289A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534E"/>
    <w:rsid w:val="0027534E"/>
    <w:rsid w:val="00B77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4E"/>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34E"/>
    <w:pPr>
      <w:spacing w:after="0" w:line="240" w:lineRule="auto"/>
    </w:pPr>
    <w:rPr>
      <w:rFonts w:ascii="Calibri" w:eastAsia="Times New Roman" w:hAnsi="Calibri" w:cs="Times New Roman"/>
      <w:lang w:eastAsia="ru-RU"/>
    </w:rPr>
  </w:style>
  <w:style w:type="character" w:customStyle="1" w:styleId="a4">
    <w:name w:val="Основной текст Знак"/>
    <w:aliases w:val="Знак Знак, Знак Знак,Знак Знак Знак Знак"/>
    <w:link w:val="a5"/>
    <w:locked/>
    <w:rsid w:val="0027534E"/>
    <w:rPr>
      <w:rFonts w:eastAsia="Times New Roman"/>
      <w:szCs w:val="24"/>
    </w:rPr>
  </w:style>
  <w:style w:type="paragraph" w:styleId="a5">
    <w:name w:val="Body Text"/>
    <w:aliases w:val="Знак, Знак,Знак Знак Знак"/>
    <w:basedOn w:val="a"/>
    <w:link w:val="a4"/>
    <w:unhideWhenUsed/>
    <w:rsid w:val="0027534E"/>
    <w:pPr>
      <w:jc w:val="both"/>
    </w:pPr>
    <w:rPr>
      <w:rFonts w:asciiTheme="minorHAnsi" w:eastAsia="Times New Roman" w:hAnsiTheme="minorHAnsi" w:cstheme="minorBidi"/>
      <w:sz w:val="22"/>
      <w:szCs w:val="24"/>
    </w:rPr>
  </w:style>
  <w:style w:type="character" w:customStyle="1" w:styleId="1">
    <w:name w:val="Основной текст Знак1"/>
    <w:basedOn w:val="a0"/>
    <w:link w:val="a5"/>
    <w:uiPriority w:val="99"/>
    <w:semiHidden/>
    <w:rsid w:val="0027534E"/>
    <w:rPr>
      <w:rFonts w:ascii="Times New Roman" w:eastAsia="Calibri" w:hAnsi="Times New Roman" w:cs="Times New Roman"/>
      <w:sz w:val="24"/>
    </w:rPr>
  </w:style>
  <w:style w:type="paragraph" w:styleId="a6">
    <w:name w:val="header"/>
    <w:basedOn w:val="a"/>
    <w:link w:val="a7"/>
    <w:uiPriority w:val="99"/>
    <w:unhideWhenUsed/>
    <w:rsid w:val="0027534E"/>
    <w:pPr>
      <w:tabs>
        <w:tab w:val="center" w:pos="4677"/>
        <w:tab w:val="right" w:pos="9355"/>
      </w:tabs>
    </w:pPr>
  </w:style>
  <w:style w:type="character" w:customStyle="1" w:styleId="a7">
    <w:name w:val="Верхний колонтитул Знак"/>
    <w:basedOn w:val="a0"/>
    <w:link w:val="a6"/>
    <w:uiPriority w:val="99"/>
    <w:rsid w:val="0027534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rada.te.ua/normativnie-dokument/byudget_mista_tern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3110</Words>
  <Characters>17727</Characters>
  <Application>Microsoft Office Word</Application>
  <DocSecurity>0</DocSecurity>
  <Lines>147</Lines>
  <Paragraphs>41</Paragraphs>
  <ScaleCrop>false</ScaleCrop>
  <Company>Reanimator Extreme Edition</Company>
  <LinksUpToDate>false</LinksUpToDate>
  <CharactersWithSpaces>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2020-12-07T11:58:00Z</dcterms:created>
  <dcterms:modified xsi:type="dcterms:W3CDTF">2020-12-07T11:58:00Z</dcterms:modified>
</cp:coreProperties>
</file>