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037E" w:rsidRDefault="0084037E" w:rsidP="0084037E">
      <w:pPr>
        <w:ind w:firstLine="5670"/>
        <w:rPr>
          <w:lang w:val="en-US"/>
        </w:rPr>
      </w:pPr>
    </w:p>
    <w:p w:rsidR="0084037E" w:rsidRPr="00DD407C" w:rsidRDefault="0084037E" w:rsidP="0084037E">
      <w:pPr>
        <w:spacing w:line="240" w:lineRule="auto"/>
        <w:ind w:firstLine="5670"/>
        <w:rPr>
          <w:rFonts w:ascii="Times New Roman" w:hAnsi="Times New Roman" w:cs="Times New Roman"/>
          <w:sz w:val="24"/>
          <w:szCs w:val="24"/>
        </w:rPr>
      </w:pPr>
      <w:r>
        <w:rPr>
          <w:rFonts w:ascii="Times New Roman" w:hAnsi="Times New Roman" w:cs="Times New Roman"/>
          <w:sz w:val="24"/>
          <w:szCs w:val="24"/>
          <w:lang w:val="ru-RU"/>
        </w:rPr>
        <w:t>ДОДАТОК</w:t>
      </w:r>
    </w:p>
    <w:p w:rsidR="0084037E" w:rsidRPr="00DD407C" w:rsidRDefault="0084037E" w:rsidP="0084037E">
      <w:pPr>
        <w:spacing w:line="240" w:lineRule="auto"/>
        <w:ind w:firstLine="5670"/>
        <w:rPr>
          <w:rFonts w:ascii="Times New Roman" w:hAnsi="Times New Roman" w:cs="Times New Roman"/>
          <w:sz w:val="24"/>
          <w:szCs w:val="24"/>
        </w:rPr>
      </w:pPr>
      <w:r>
        <w:rPr>
          <w:rFonts w:ascii="Times New Roman" w:hAnsi="Times New Roman" w:cs="Times New Roman"/>
          <w:sz w:val="24"/>
          <w:szCs w:val="24"/>
        </w:rPr>
        <w:t>до рішення виконавчого комітету</w:t>
      </w:r>
    </w:p>
    <w:p w:rsidR="0084037E" w:rsidRPr="00DD407C" w:rsidRDefault="0084037E" w:rsidP="0084037E">
      <w:pPr>
        <w:spacing w:line="240" w:lineRule="auto"/>
        <w:ind w:firstLine="5670"/>
        <w:rPr>
          <w:rFonts w:ascii="Times New Roman" w:hAnsi="Times New Roman" w:cs="Times New Roman"/>
          <w:sz w:val="24"/>
          <w:szCs w:val="24"/>
        </w:rPr>
      </w:pPr>
      <w:r>
        <w:rPr>
          <w:rFonts w:ascii="Times New Roman" w:hAnsi="Times New Roman" w:cs="Times New Roman"/>
          <w:sz w:val="24"/>
          <w:szCs w:val="24"/>
        </w:rPr>
        <w:t>від 2.12.</w:t>
      </w:r>
      <w:r w:rsidRPr="00DD407C">
        <w:rPr>
          <w:rFonts w:ascii="Times New Roman" w:hAnsi="Times New Roman" w:cs="Times New Roman"/>
          <w:sz w:val="24"/>
          <w:szCs w:val="24"/>
        </w:rPr>
        <w:t>2020року №</w:t>
      </w:r>
      <w:r>
        <w:rPr>
          <w:rFonts w:ascii="Times New Roman" w:hAnsi="Times New Roman" w:cs="Times New Roman"/>
          <w:sz w:val="24"/>
          <w:szCs w:val="24"/>
        </w:rPr>
        <w:t>38</w:t>
      </w:r>
    </w:p>
    <w:p w:rsidR="0084037E" w:rsidRPr="00DD407C" w:rsidRDefault="0084037E" w:rsidP="0084037E">
      <w:pPr>
        <w:spacing w:line="240" w:lineRule="auto"/>
        <w:ind w:firstLine="5670"/>
        <w:rPr>
          <w:rFonts w:ascii="Times New Roman" w:hAnsi="Times New Roman" w:cs="Times New Roman"/>
          <w:sz w:val="24"/>
          <w:szCs w:val="24"/>
        </w:rPr>
      </w:pPr>
    </w:p>
    <w:p w:rsidR="0084037E" w:rsidRPr="00240344" w:rsidRDefault="0084037E" w:rsidP="0084037E">
      <w:pPr>
        <w:spacing w:line="240" w:lineRule="auto"/>
        <w:jc w:val="center"/>
        <w:rPr>
          <w:rFonts w:ascii="Times New Roman" w:hAnsi="Times New Roman" w:cs="Times New Roman"/>
          <w:b/>
          <w:sz w:val="24"/>
          <w:szCs w:val="24"/>
        </w:rPr>
      </w:pPr>
      <w:r w:rsidRPr="00240344">
        <w:rPr>
          <w:rFonts w:ascii="Times New Roman" w:hAnsi="Times New Roman" w:cs="Times New Roman"/>
          <w:b/>
          <w:sz w:val="24"/>
          <w:szCs w:val="24"/>
        </w:rPr>
        <w:t>Методика</w:t>
      </w:r>
    </w:p>
    <w:p w:rsidR="0084037E" w:rsidRPr="00240344" w:rsidRDefault="0084037E" w:rsidP="0084037E">
      <w:pPr>
        <w:spacing w:line="240" w:lineRule="auto"/>
        <w:jc w:val="both"/>
        <w:rPr>
          <w:rFonts w:ascii="Times New Roman" w:hAnsi="Times New Roman" w:cs="Times New Roman"/>
          <w:b/>
          <w:sz w:val="24"/>
          <w:szCs w:val="24"/>
        </w:rPr>
      </w:pPr>
      <w:r w:rsidRPr="00240344">
        <w:rPr>
          <w:rFonts w:ascii="Times New Roman" w:hAnsi="Times New Roman" w:cs="Times New Roman"/>
          <w:b/>
          <w:sz w:val="24"/>
          <w:szCs w:val="24"/>
        </w:rPr>
        <w:t>розрахунку компенсації за надання послуг, що становлять загальний економічний інтерес - перевезення пасажирів міським пасажирським транспортом загального користування у Тернопільській міській територіальній громаді</w:t>
      </w:r>
    </w:p>
    <w:p w:rsidR="0084037E" w:rsidRPr="00DD407C" w:rsidRDefault="0084037E" w:rsidP="0084037E">
      <w:pPr>
        <w:spacing w:line="240" w:lineRule="auto"/>
        <w:jc w:val="center"/>
        <w:rPr>
          <w:rFonts w:ascii="Times New Roman" w:hAnsi="Times New Roman" w:cs="Times New Roman"/>
          <w:sz w:val="24"/>
          <w:szCs w:val="24"/>
        </w:rPr>
      </w:pPr>
      <w:r w:rsidRPr="00DD407C">
        <w:rPr>
          <w:rFonts w:ascii="Times New Roman" w:hAnsi="Times New Roman" w:cs="Times New Roman"/>
          <w:sz w:val="24"/>
          <w:szCs w:val="24"/>
        </w:rPr>
        <w:t>1. Загальні положення</w:t>
      </w:r>
    </w:p>
    <w:p w:rsidR="0084037E" w:rsidRPr="00DD407C" w:rsidRDefault="0084037E" w:rsidP="0084037E">
      <w:pPr>
        <w:spacing w:line="240" w:lineRule="auto"/>
        <w:ind w:firstLine="567"/>
        <w:jc w:val="both"/>
        <w:rPr>
          <w:rFonts w:ascii="Times New Roman" w:hAnsi="Times New Roman" w:cs="Times New Roman"/>
          <w:sz w:val="24"/>
          <w:szCs w:val="24"/>
        </w:rPr>
      </w:pPr>
      <w:r w:rsidRPr="00DD407C">
        <w:rPr>
          <w:rFonts w:ascii="Times New Roman" w:hAnsi="Times New Roman" w:cs="Times New Roman"/>
          <w:sz w:val="24"/>
          <w:szCs w:val="24"/>
        </w:rPr>
        <w:t xml:space="preserve">1.1. Методика визначає механізм обчислення компенсації </w:t>
      </w:r>
      <w:proofErr w:type="spellStart"/>
      <w:r w:rsidRPr="00DD407C">
        <w:rPr>
          <w:rFonts w:ascii="Times New Roman" w:hAnsi="Times New Roman" w:cs="Times New Roman"/>
          <w:sz w:val="24"/>
          <w:szCs w:val="24"/>
        </w:rPr>
        <w:t>обгрунтованих</w:t>
      </w:r>
      <w:proofErr w:type="spellEnd"/>
      <w:r w:rsidRPr="00DD407C">
        <w:rPr>
          <w:rFonts w:ascii="Times New Roman" w:hAnsi="Times New Roman" w:cs="Times New Roman"/>
          <w:sz w:val="24"/>
          <w:szCs w:val="24"/>
        </w:rPr>
        <w:t xml:space="preserve"> витрат за надання послуг, що становлять загальний економічний інтерес перевезення пасажирів міським пасажирським транспортом загального користування у Тернопільській територіальній громаді за регульованими цінами, в тому числі: автобусами, що працюють у звичайному режимі руху, тролейбусами (далі - ПЗЕІ).</w:t>
      </w:r>
    </w:p>
    <w:p w:rsidR="0084037E" w:rsidRDefault="0084037E" w:rsidP="0084037E">
      <w:pPr>
        <w:spacing w:line="240" w:lineRule="auto"/>
        <w:ind w:firstLine="567"/>
        <w:jc w:val="both"/>
        <w:rPr>
          <w:rFonts w:ascii="Times New Roman" w:hAnsi="Times New Roman" w:cs="Times New Roman"/>
          <w:sz w:val="24"/>
          <w:szCs w:val="24"/>
        </w:rPr>
      </w:pPr>
      <w:r w:rsidRPr="00DD407C">
        <w:rPr>
          <w:rFonts w:ascii="Times New Roman" w:hAnsi="Times New Roman" w:cs="Times New Roman"/>
          <w:sz w:val="24"/>
          <w:szCs w:val="24"/>
        </w:rPr>
        <w:t>1.2. Методика розроблена відповідно до частини четвертої статті</w:t>
      </w:r>
      <w:r>
        <w:rPr>
          <w:rFonts w:ascii="Times New Roman" w:hAnsi="Times New Roman" w:cs="Times New Roman"/>
          <w:sz w:val="24"/>
          <w:szCs w:val="24"/>
        </w:rPr>
        <w:t xml:space="preserve"> </w:t>
      </w:r>
      <w:r w:rsidRPr="00DD407C">
        <w:rPr>
          <w:rFonts w:ascii="Times New Roman" w:hAnsi="Times New Roman" w:cs="Times New Roman"/>
          <w:sz w:val="24"/>
          <w:szCs w:val="24"/>
        </w:rPr>
        <w:t>263, статті</w:t>
      </w:r>
      <w:r>
        <w:rPr>
          <w:rFonts w:ascii="Times New Roman" w:hAnsi="Times New Roman" w:cs="Times New Roman"/>
          <w:sz w:val="24"/>
          <w:szCs w:val="24"/>
        </w:rPr>
        <w:t xml:space="preserve"> </w:t>
      </w:r>
      <w:r w:rsidRPr="00DD407C">
        <w:rPr>
          <w:rFonts w:ascii="Times New Roman" w:hAnsi="Times New Roman" w:cs="Times New Roman"/>
          <w:sz w:val="24"/>
          <w:szCs w:val="24"/>
        </w:rPr>
        <w:t xml:space="preserve">264, пункту(с) додатку ХХІІІ до глави 10 Угоди про асоціацію між Україною, з одної сторони, та Європейським Союзом, Європейським співтовариством з атомної енергії і їхніми державами-членами, з іншої сторони, Регламенту (ЄС) №1370/2007 Європейського Парламенту та Ради від 23 жовтня 2007 року </w:t>
      </w:r>
      <w:r w:rsidRPr="00DD407C">
        <w:rPr>
          <w:rFonts w:ascii="Times New Roman" w:eastAsia="Calibri" w:hAnsi="Times New Roman" w:cs="Times New Roman"/>
          <w:color w:val="000000"/>
          <w:sz w:val="24"/>
          <w:szCs w:val="24"/>
        </w:rPr>
        <w:t>«</w:t>
      </w:r>
      <w:r w:rsidRPr="00DD407C">
        <w:rPr>
          <w:rFonts w:ascii="Times New Roman" w:hAnsi="Times New Roman" w:cs="Times New Roman"/>
          <w:sz w:val="24"/>
          <w:szCs w:val="24"/>
        </w:rPr>
        <w:t>Про громадські послуги з перевезення пасажирів залізницею і автомобільними шляхами</w:t>
      </w:r>
      <w:r w:rsidRPr="00DD407C">
        <w:rPr>
          <w:rFonts w:ascii="Times New Roman" w:eastAsia="Calibri" w:hAnsi="Times New Roman" w:cs="Times New Roman"/>
          <w:sz w:val="24"/>
          <w:szCs w:val="24"/>
        </w:rPr>
        <w:t>»</w:t>
      </w:r>
      <w:r w:rsidRPr="00DD407C">
        <w:rPr>
          <w:rFonts w:ascii="Times New Roman" w:hAnsi="Times New Roman" w:cs="Times New Roman"/>
          <w:sz w:val="24"/>
          <w:szCs w:val="24"/>
        </w:rPr>
        <w:t>, Бюдж</w:t>
      </w:r>
      <w:r>
        <w:rPr>
          <w:rFonts w:ascii="Times New Roman" w:hAnsi="Times New Roman" w:cs="Times New Roman"/>
          <w:sz w:val="24"/>
          <w:szCs w:val="24"/>
        </w:rPr>
        <w:t xml:space="preserve">етного кодексу України, Законів України </w:t>
      </w:r>
      <w:r w:rsidRPr="00DD407C">
        <w:rPr>
          <w:rFonts w:ascii="Times New Roman" w:eastAsia="Calibri" w:hAnsi="Times New Roman" w:cs="Times New Roman"/>
          <w:color w:val="000000"/>
          <w:sz w:val="24"/>
          <w:szCs w:val="24"/>
        </w:rPr>
        <w:t>«</w:t>
      </w:r>
      <w:r>
        <w:rPr>
          <w:rFonts w:ascii="Times New Roman" w:hAnsi="Times New Roman" w:cs="Times New Roman"/>
          <w:color w:val="000000"/>
          <w:sz w:val="24"/>
          <w:szCs w:val="24"/>
        </w:rPr>
        <w:t>Про місцеве самоврядування в Україні</w:t>
      </w:r>
      <w:r w:rsidRPr="00DD407C">
        <w:rPr>
          <w:rFonts w:ascii="Times New Roman" w:eastAsia="Calibri" w:hAnsi="Times New Roman" w:cs="Times New Roman"/>
          <w:sz w:val="24"/>
          <w:szCs w:val="24"/>
        </w:rPr>
        <w:t>»</w:t>
      </w:r>
      <w:r>
        <w:rPr>
          <w:rFonts w:ascii="Times New Roman" w:hAnsi="Times New Roman" w:cs="Times New Roman"/>
          <w:sz w:val="24"/>
          <w:szCs w:val="24"/>
        </w:rPr>
        <w:t xml:space="preserve">, </w:t>
      </w:r>
      <w:r w:rsidRPr="00DD407C">
        <w:rPr>
          <w:rFonts w:ascii="Times New Roman" w:eastAsia="Calibri" w:hAnsi="Times New Roman" w:cs="Times New Roman"/>
          <w:color w:val="000000"/>
          <w:sz w:val="24"/>
          <w:szCs w:val="24"/>
        </w:rPr>
        <w:t>«</w:t>
      </w:r>
      <w:r>
        <w:rPr>
          <w:rFonts w:ascii="Times New Roman" w:hAnsi="Times New Roman" w:cs="Times New Roman"/>
          <w:color w:val="000000"/>
          <w:sz w:val="24"/>
          <w:szCs w:val="24"/>
        </w:rPr>
        <w:t>Про автомобільний транспорт</w:t>
      </w:r>
      <w:r w:rsidRPr="00DD407C">
        <w:rPr>
          <w:rFonts w:ascii="Times New Roman" w:eastAsia="Calibri" w:hAnsi="Times New Roman" w:cs="Times New Roman"/>
          <w:sz w:val="24"/>
          <w:szCs w:val="24"/>
        </w:rPr>
        <w:t>»</w:t>
      </w:r>
      <w:r>
        <w:rPr>
          <w:rFonts w:ascii="Times New Roman" w:hAnsi="Times New Roman" w:cs="Times New Roman"/>
          <w:sz w:val="24"/>
          <w:szCs w:val="24"/>
        </w:rPr>
        <w:t xml:space="preserve">, частини третьої статті 8, статей 11,12,14, частини третьої статті 17 Закону України </w:t>
      </w:r>
      <w:r w:rsidRPr="00DD407C">
        <w:rPr>
          <w:rFonts w:ascii="Times New Roman" w:eastAsia="Calibri" w:hAnsi="Times New Roman" w:cs="Times New Roman"/>
          <w:color w:val="000000"/>
          <w:sz w:val="24"/>
          <w:szCs w:val="24"/>
        </w:rPr>
        <w:t>«</w:t>
      </w:r>
      <w:r>
        <w:rPr>
          <w:rFonts w:ascii="Times New Roman" w:hAnsi="Times New Roman" w:cs="Times New Roman"/>
          <w:color w:val="000000"/>
          <w:sz w:val="24"/>
          <w:szCs w:val="24"/>
        </w:rPr>
        <w:t>Про міський електричний транспорт</w:t>
      </w:r>
      <w:r w:rsidRPr="00DD407C">
        <w:rPr>
          <w:rFonts w:ascii="Times New Roman" w:eastAsia="Calibri" w:hAnsi="Times New Roman" w:cs="Times New Roman"/>
          <w:sz w:val="24"/>
          <w:szCs w:val="24"/>
        </w:rPr>
        <w:t>»</w:t>
      </w:r>
      <w:r>
        <w:rPr>
          <w:rFonts w:ascii="Times New Roman" w:hAnsi="Times New Roman" w:cs="Times New Roman"/>
          <w:sz w:val="24"/>
          <w:szCs w:val="24"/>
        </w:rPr>
        <w:t xml:space="preserve">, Правил надання населенню послуг з перевезень міським електротранспортом, затверджених постановою Кабінету Міністрів України від 23 грудня 2004 року №1735, Правил надання послуг пасажирського автомобільного транспорту, затверджених постановою Кабінету Міністрів України від 18 лютого 1997 року №176 та інших нормативно-правових актів, що регулюють відносини у відповідній сфері, на виконання рішень Антимонопольного комітету України </w:t>
      </w:r>
      <w:r w:rsidRPr="001E0014">
        <w:rPr>
          <w:rFonts w:ascii="Times New Roman" w:hAnsi="Times New Roman" w:cs="Times New Roman"/>
          <w:sz w:val="24"/>
          <w:szCs w:val="24"/>
        </w:rPr>
        <w:t>від 27.12.2018р. №792-р, від 16.07.2019р. №499-р, від 30.04.2020р. №269-р</w:t>
      </w:r>
      <w:r>
        <w:rPr>
          <w:rFonts w:ascii="Times New Roman" w:hAnsi="Times New Roman" w:cs="Times New Roman"/>
          <w:sz w:val="24"/>
          <w:szCs w:val="24"/>
        </w:rPr>
        <w:t>.</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1.3. Загальна сума компенсації за надання ПЗЕІ визначається кошторисними призначеннями на відповідний рік за рахунок коштів місцевого бюджету </w:t>
      </w:r>
      <w:r w:rsidRPr="00EA6624">
        <w:rPr>
          <w:rFonts w:ascii="Times New Roman" w:hAnsi="Times New Roman" w:cs="Times New Roman"/>
          <w:sz w:val="24"/>
          <w:szCs w:val="24"/>
          <w:lang w:val="ru-RU"/>
        </w:rPr>
        <w:t xml:space="preserve">(бюджету </w:t>
      </w:r>
      <w:proofErr w:type="spellStart"/>
      <w:r w:rsidRPr="00EA6624">
        <w:rPr>
          <w:rFonts w:ascii="Times New Roman" w:hAnsi="Times New Roman" w:cs="Times New Roman"/>
          <w:sz w:val="24"/>
          <w:szCs w:val="24"/>
          <w:lang w:val="ru-RU"/>
        </w:rPr>
        <w:t>територіальної</w:t>
      </w:r>
      <w:proofErr w:type="spellEnd"/>
      <w:r w:rsidRPr="00EA6624">
        <w:rPr>
          <w:rFonts w:ascii="Times New Roman" w:hAnsi="Times New Roman" w:cs="Times New Roman"/>
          <w:sz w:val="24"/>
          <w:szCs w:val="24"/>
          <w:lang w:val="ru-RU"/>
        </w:rPr>
        <w:t xml:space="preserve"> </w:t>
      </w:r>
      <w:proofErr w:type="spellStart"/>
      <w:r w:rsidRPr="00EA6624">
        <w:rPr>
          <w:rFonts w:ascii="Times New Roman" w:hAnsi="Times New Roman" w:cs="Times New Roman"/>
          <w:sz w:val="24"/>
          <w:szCs w:val="24"/>
          <w:lang w:val="ru-RU"/>
        </w:rPr>
        <w:t>громади</w:t>
      </w:r>
      <w:proofErr w:type="spellEnd"/>
      <w:r w:rsidRPr="00EA6624">
        <w:rPr>
          <w:rFonts w:ascii="Times New Roman" w:hAnsi="Times New Roman" w:cs="Times New Roman"/>
          <w:sz w:val="24"/>
          <w:szCs w:val="24"/>
          <w:lang w:val="ru-RU"/>
        </w:rPr>
        <w:t>)</w:t>
      </w:r>
      <w:r>
        <w:rPr>
          <w:rFonts w:ascii="Times New Roman" w:hAnsi="Times New Roman" w:cs="Times New Roman"/>
          <w:sz w:val="24"/>
          <w:szCs w:val="24"/>
        </w:rPr>
        <w:t>.</w:t>
      </w:r>
    </w:p>
    <w:p w:rsidR="0084037E" w:rsidRPr="00575CFF"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1.4. Компенсація за надання ПЗЕІ здійснюється на підставі рішень Тернопільської міської ради.</w:t>
      </w:r>
    </w:p>
    <w:p w:rsidR="0084037E" w:rsidRPr="00994413" w:rsidRDefault="0084037E" w:rsidP="0084037E">
      <w:pPr>
        <w:spacing w:line="240" w:lineRule="auto"/>
        <w:ind w:firstLine="567"/>
        <w:jc w:val="both"/>
        <w:rPr>
          <w:rFonts w:ascii="Times New Roman" w:hAnsi="Times New Roman" w:cs="Times New Roman"/>
          <w:sz w:val="24"/>
          <w:szCs w:val="24"/>
        </w:rPr>
      </w:pPr>
      <w:r w:rsidRPr="00994413">
        <w:rPr>
          <w:rFonts w:ascii="Times New Roman" w:hAnsi="Times New Roman" w:cs="Times New Roman"/>
          <w:sz w:val="24"/>
          <w:szCs w:val="24"/>
        </w:rPr>
        <w:t xml:space="preserve">1.5. Компенсації за пільгові перевезення здійснюються відповідно до </w:t>
      </w:r>
      <w:r>
        <w:rPr>
          <w:rFonts w:ascii="Times New Roman" w:hAnsi="Times New Roman" w:cs="Times New Roman"/>
          <w:sz w:val="24"/>
          <w:szCs w:val="24"/>
        </w:rPr>
        <w:t>"</w:t>
      </w:r>
      <w:r w:rsidRPr="00994413">
        <w:rPr>
          <w:rFonts w:ascii="Times New Roman" w:hAnsi="Times New Roman" w:cs="Times New Roman"/>
          <w:sz w:val="24"/>
          <w:szCs w:val="24"/>
        </w:rPr>
        <w:t>Положення про здійснення компенсаційних виплат за пільгові перевезення окремих категорій громадян у міському електричному та автомобільному транспорті загального користування міста Тернополя</w:t>
      </w:r>
      <w:r>
        <w:rPr>
          <w:rFonts w:ascii="Times New Roman" w:hAnsi="Times New Roman" w:cs="Times New Roman"/>
          <w:sz w:val="24"/>
          <w:szCs w:val="24"/>
        </w:rPr>
        <w:t>"</w:t>
      </w:r>
      <w:r w:rsidRPr="00994413">
        <w:rPr>
          <w:rFonts w:ascii="Times New Roman" w:hAnsi="Times New Roman" w:cs="Times New Roman"/>
          <w:sz w:val="24"/>
          <w:szCs w:val="24"/>
        </w:rPr>
        <w:t>, затвердженого рішенням вик</w:t>
      </w:r>
      <w:r>
        <w:rPr>
          <w:rFonts w:ascii="Times New Roman" w:hAnsi="Times New Roman" w:cs="Times New Roman"/>
          <w:sz w:val="24"/>
          <w:szCs w:val="24"/>
        </w:rPr>
        <w:t>онавчого комітету від 13.06.2018</w:t>
      </w:r>
      <w:r w:rsidRPr="00994413">
        <w:rPr>
          <w:rFonts w:ascii="Times New Roman" w:hAnsi="Times New Roman" w:cs="Times New Roman"/>
          <w:sz w:val="24"/>
          <w:szCs w:val="24"/>
        </w:rPr>
        <w:t xml:space="preserve"> року №472.</w:t>
      </w:r>
    </w:p>
    <w:p w:rsidR="0084037E" w:rsidRPr="00994413" w:rsidRDefault="0084037E" w:rsidP="0084037E">
      <w:pPr>
        <w:spacing w:line="240" w:lineRule="auto"/>
        <w:ind w:firstLine="567"/>
        <w:jc w:val="both"/>
        <w:rPr>
          <w:rFonts w:ascii="Times New Roman" w:hAnsi="Times New Roman" w:cs="Times New Roman"/>
          <w:sz w:val="24"/>
          <w:szCs w:val="24"/>
        </w:rPr>
      </w:pPr>
      <w:r w:rsidRPr="00994413">
        <w:rPr>
          <w:rFonts w:ascii="Times New Roman" w:hAnsi="Times New Roman" w:cs="Times New Roman"/>
          <w:sz w:val="24"/>
          <w:szCs w:val="24"/>
        </w:rPr>
        <w:t>1.6. Компенсація витрат за здійснення спеціальних перевезень здійснюється відповідно до "Механізму компенсації витрат за здійснення спеціальних перевезень</w:t>
      </w:r>
      <w:r>
        <w:rPr>
          <w:rFonts w:ascii="Times New Roman" w:hAnsi="Times New Roman" w:cs="Times New Roman"/>
          <w:sz w:val="24"/>
          <w:szCs w:val="24"/>
        </w:rPr>
        <w:t>"</w:t>
      </w:r>
      <w:r w:rsidRPr="00994413">
        <w:rPr>
          <w:rFonts w:ascii="Times New Roman" w:hAnsi="Times New Roman" w:cs="Times New Roman"/>
          <w:sz w:val="24"/>
          <w:szCs w:val="24"/>
        </w:rPr>
        <w:t>, затвердженого рішенням виконавчого комітету від 29.04.2020 року №343 "Про проведення компенсаційних виплат".</w:t>
      </w:r>
    </w:p>
    <w:p w:rsidR="0084037E" w:rsidRDefault="0084037E" w:rsidP="0084037E">
      <w:pPr>
        <w:spacing w:line="240" w:lineRule="auto"/>
        <w:ind w:firstLine="567"/>
        <w:jc w:val="center"/>
        <w:rPr>
          <w:rFonts w:ascii="Times New Roman" w:hAnsi="Times New Roman" w:cs="Times New Roman"/>
          <w:sz w:val="24"/>
          <w:szCs w:val="24"/>
        </w:rPr>
      </w:pPr>
    </w:p>
    <w:p w:rsidR="0084037E" w:rsidRDefault="0084037E" w:rsidP="0084037E">
      <w:pPr>
        <w:spacing w:line="240" w:lineRule="auto"/>
        <w:ind w:firstLine="567"/>
        <w:jc w:val="center"/>
        <w:rPr>
          <w:rFonts w:ascii="Times New Roman" w:hAnsi="Times New Roman" w:cs="Times New Roman"/>
          <w:sz w:val="24"/>
          <w:szCs w:val="24"/>
        </w:rPr>
      </w:pPr>
      <w:r>
        <w:rPr>
          <w:rFonts w:ascii="Times New Roman" w:hAnsi="Times New Roman" w:cs="Times New Roman"/>
          <w:sz w:val="24"/>
          <w:szCs w:val="24"/>
        </w:rPr>
        <w:lastRenderedPageBreak/>
        <w:t>ІІ. Розрахунок компенсації за надання ПЗЕІ</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2.1. Загальна сума компенсації за надання ПЗЕІ не повинна перевищувати суму, яка необхідна для покриття чистих витрат (чистої фінансової різниці) між понесеними при наданні ПЗЕІ витратами та доходами суб'єкта господарювання від надання ПЗЕІ, з урахуванням рівня прибутку.</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2.2. Перевізник забезпечує коректне відображення на окремих рахунках бухгалтерського обліку результатів фінансово-господарської діяльності відповідно до організаційної структури підприємства таким чином, щоб чітко відстежувались:</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витрати та доходи, пов'язані з послугами, які мають загальний економічний інтерес та які підприємство вповноважене надавати, і, з іншого боку, витрати та доходи, пов'язані з кожним іншим окремим товаром або послугою, щодо яких підприємство здійснює діяльність;</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 повна інформація щодо методів, відповідно до яких витрати та доходи призначаються за різними видами діяльності. Ці методи мають базуватися на принципах бухгалтерського обліку - обумовленості, об'єктивності, прозорості та послідовності відповідно до </w:t>
      </w:r>
      <w:proofErr w:type="spellStart"/>
      <w:r>
        <w:rPr>
          <w:rFonts w:ascii="Times New Roman" w:hAnsi="Times New Roman" w:cs="Times New Roman"/>
          <w:sz w:val="24"/>
          <w:szCs w:val="24"/>
        </w:rPr>
        <w:t>міжнародно</w:t>
      </w:r>
      <w:proofErr w:type="spellEnd"/>
      <w:r>
        <w:rPr>
          <w:rFonts w:ascii="Times New Roman" w:hAnsi="Times New Roman" w:cs="Times New Roman"/>
          <w:sz w:val="24"/>
          <w:szCs w:val="24"/>
        </w:rPr>
        <w:t xml:space="preserve"> визнаних методологій бухгалтерського обліку, зокрема калькуляції витрат за видом діяльності, та мають базуватися на даних аудиту та визначатись обліковою політикою підприємства.</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2.3. Обчислення чистої фінансової різниці здійснюється за наступним алгоритмом:</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витрати понесені у зв'язку з виконанням зобов'язання з надання громадської послуги, що містяться в договорі про таку послугу,</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за вирахуванням будь-якого доходу, що виникає під час виконання зобов'язань з надання відповідної громадської послуги, в тому числі отримання доходу від реклами чи будь-якої іншої діяльності, яка не пов'язана з наданням відповідної громадської послуги тощо,</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за вирахуванням надходжень від тарифу чи будь-якого іншого доходу, отриманого під час виконання відповідних зобов'язань щодо надання громадських послуг,</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за вирахуванням будь-яких інших компенсаційних виплат з бюджетів (державного, міського та громади), що стосується відповідної громадської послуги,</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 враховується прибуток, </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дорівнює чистій фінансовій різниці.</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2.4. Витрати та доходи розраховуються відповідно до чинних положень законодавства у сфері бухгалтерського обліку та вимог податкового законодавства.</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2.5. При розрахунку компенсації за надання ПЗЕІ можуть бути враховані витрати, понесені перевізником, у зв'язку з наданням ПЗЕІ такі як:</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витрати на оплату праці персоналу;</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відрахування на соціальні заходи;</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електроенергію, паливо-мастильні та інші експлуатаційні матеріали;</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технічне обслуговування, ремонт, придбання рухомого складу, обладнання та устаткування, необхідного для надання ПЗЕІ;</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постійні та інші витрати, передбачені законодавством.</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lastRenderedPageBreak/>
        <w:t>2.6. При укладанні з одним перевізником декількох договорів з надання громадської послуги, загальні витрати розподіляються як між різними договорами з надання громадської послуги та іншими видатками діяльності, так і між різними договорами з надання громадської послуги.</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2.7. Для підвищення прозорості та уникнення перехресних субсидій, якщо перевізник поряд із наданням ПЗЕІ займається й іншими видами діяльності, облікові рахунки різних видів діяльності повинні бути відокремлені та відповідати таким умовам:</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облікові рахунки, що відповідають кожному з видів діяльності, повинні бути окремими, а частка відповідних активів і постійних витрат повинна розподілятися відповідно до чинних положень бухгалтерського обліку та податкового законодавства;</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всі змінні витрати, відповідна частка постійних витрат і прибуток, пов'язані з будь-якою іншою діяльністю перевізника, не можуть бути віднесені до ПЗЕІ;</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 витрати на надання ПЗЕІ повинні бути врівноважені доходами та виплатами від замовника транспортних послуг, без будь-якої можливості передачі доходу в інший сектор діяльності.</w:t>
      </w:r>
    </w:p>
    <w:p w:rsidR="0084037E" w:rsidRDefault="0084037E" w:rsidP="0084037E">
      <w:pPr>
        <w:spacing w:line="240" w:lineRule="auto"/>
        <w:ind w:firstLine="567"/>
        <w:jc w:val="center"/>
        <w:rPr>
          <w:rFonts w:ascii="Times New Roman" w:hAnsi="Times New Roman" w:cs="Times New Roman"/>
          <w:sz w:val="24"/>
          <w:szCs w:val="24"/>
        </w:rPr>
      </w:pPr>
      <w:r>
        <w:rPr>
          <w:rFonts w:ascii="Times New Roman" w:hAnsi="Times New Roman" w:cs="Times New Roman"/>
          <w:sz w:val="24"/>
          <w:szCs w:val="24"/>
        </w:rPr>
        <w:t>ІІІ. Проведення відшкодування компенсації за надання ПЗЕІ</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3.1. Сума коштів, що підлягає перерахуванню перевізнику визначається в межах бюджетних асигнувань.</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3.2. Суми коштів, що підлягають перерахуванню перевізнику, повинні визначатися на основі звітних даних підприємства (у т.ч. управлінської звітності), а при закінченні бюджетного року - на основі очікуваних даних, з подальшим уточненням відповідно до показників річної звітності.</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Відповідальність за повноту та правильність даних несе перевізник.</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3.3. Фінансування кошторисних призначень на відшкодування витрат перевізникам здійснюється на підставі поданих ними заявок.</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3.4. Відшкодування компенсаційних виплат перевізникам проводиться на їх розрахунковий рахунок при надходженні коштів на зазначену мету.</w:t>
      </w:r>
    </w:p>
    <w:p w:rsidR="0084037E" w:rsidRDefault="0084037E" w:rsidP="0084037E">
      <w:pPr>
        <w:spacing w:line="240" w:lineRule="auto"/>
        <w:ind w:firstLine="567"/>
        <w:jc w:val="center"/>
        <w:rPr>
          <w:rFonts w:ascii="Times New Roman" w:hAnsi="Times New Roman" w:cs="Times New Roman"/>
          <w:sz w:val="24"/>
          <w:szCs w:val="24"/>
        </w:rPr>
      </w:pPr>
      <w:r>
        <w:rPr>
          <w:rFonts w:ascii="Times New Roman" w:hAnsi="Times New Roman" w:cs="Times New Roman"/>
          <w:sz w:val="24"/>
          <w:szCs w:val="24"/>
        </w:rPr>
        <w:t>ІV. Заходи щодо уникнення надмірної компенсації</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4.1. Компенсація не може перевищувати суму, необхідну для покриття чистої фінансової  різниці між понесеними витратами та отриманими доходами перевізника при наданні ПЗЕІ з урахуванням доходу, який залишається у підприємства, та рівня прибутку.</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4.2. З метою уникнення надмірної компенсації чи недостатньої компенсації під час обчислення фінансового результату від надання ПЗЕІ враховується кількісно виражений фінансовий вплив на діяльність перевізника.</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4.3. При здійснені відшкодування компенсації за надання ПЗЕІ застосовуються заходи контролю у бюджетному процесі відповідно до Бюджетного кодексу України.</w:t>
      </w:r>
    </w:p>
    <w:p w:rsidR="0084037E" w:rsidRDefault="0084037E" w:rsidP="0084037E">
      <w:pPr>
        <w:spacing w:line="240" w:lineRule="auto"/>
        <w:ind w:firstLine="567"/>
        <w:jc w:val="both"/>
        <w:rPr>
          <w:rFonts w:ascii="Times New Roman" w:hAnsi="Times New Roman" w:cs="Times New Roman"/>
          <w:sz w:val="24"/>
          <w:szCs w:val="24"/>
        </w:rPr>
      </w:pPr>
      <w:r>
        <w:rPr>
          <w:rFonts w:ascii="Times New Roman" w:hAnsi="Times New Roman" w:cs="Times New Roman"/>
          <w:sz w:val="24"/>
          <w:szCs w:val="24"/>
        </w:rPr>
        <w:t>4.4. У разі виявлення випадку надання надмірної компенсації її повернення здійснюється в порядку, встановленому Бюджетним кодексом України.</w:t>
      </w:r>
    </w:p>
    <w:p w:rsidR="0084037E" w:rsidRDefault="0084037E" w:rsidP="0084037E">
      <w:pPr>
        <w:spacing w:line="240" w:lineRule="auto"/>
        <w:ind w:firstLine="567"/>
        <w:jc w:val="both"/>
        <w:rPr>
          <w:rFonts w:ascii="Times New Roman" w:hAnsi="Times New Roman" w:cs="Times New Roman"/>
          <w:sz w:val="24"/>
          <w:szCs w:val="24"/>
        </w:rPr>
      </w:pPr>
    </w:p>
    <w:p w:rsidR="0084037E" w:rsidRPr="00C12102" w:rsidRDefault="0084037E" w:rsidP="0084037E">
      <w:pPr>
        <w:rPr>
          <w:rFonts w:ascii="Times New Roman" w:hAnsi="Times New Roman" w:cs="Times New Roman"/>
          <w:sz w:val="24"/>
          <w:szCs w:val="24"/>
        </w:rPr>
      </w:pPr>
      <w:r w:rsidRPr="00C12102">
        <w:rPr>
          <w:rFonts w:ascii="Times New Roman" w:hAnsi="Times New Roman" w:cs="Times New Roman"/>
          <w:sz w:val="24"/>
          <w:szCs w:val="24"/>
        </w:rPr>
        <w:t>Міський голова</w:t>
      </w:r>
      <w:r w:rsidRPr="00C12102">
        <w:rPr>
          <w:rFonts w:ascii="Times New Roman" w:hAnsi="Times New Roman" w:cs="Times New Roman"/>
          <w:sz w:val="24"/>
          <w:szCs w:val="24"/>
        </w:rPr>
        <w:tab/>
      </w:r>
      <w:r w:rsidRPr="00C12102">
        <w:rPr>
          <w:rFonts w:ascii="Times New Roman" w:hAnsi="Times New Roman" w:cs="Times New Roman"/>
          <w:sz w:val="24"/>
          <w:szCs w:val="24"/>
        </w:rPr>
        <w:tab/>
      </w:r>
      <w:r w:rsidRPr="00C12102">
        <w:rPr>
          <w:rFonts w:ascii="Times New Roman" w:hAnsi="Times New Roman" w:cs="Times New Roman"/>
          <w:sz w:val="24"/>
          <w:szCs w:val="24"/>
        </w:rPr>
        <w:tab/>
      </w:r>
      <w:r w:rsidRPr="00C12102">
        <w:rPr>
          <w:rFonts w:ascii="Times New Roman" w:hAnsi="Times New Roman" w:cs="Times New Roman"/>
          <w:sz w:val="24"/>
          <w:szCs w:val="24"/>
        </w:rPr>
        <w:tab/>
      </w:r>
      <w:r w:rsidRPr="00C12102">
        <w:rPr>
          <w:rFonts w:ascii="Times New Roman" w:hAnsi="Times New Roman" w:cs="Times New Roman"/>
          <w:sz w:val="24"/>
          <w:szCs w:val="24"/>
        </w:rPr>
        <w:tab/>
      </w:r>
      <w:r w:rsidRPr="00C12102">
        <w:rPr>
          <w:rFonts w:ascii="Times New Roman" w:hAnsi="Times New Roman" w:cs="Times New Roman"/>
          <w:sz w:val="24"/>
          <w:szCs w:val="24"/>
        </w:rPr>
        <w:tab/>
      </w:r>
      <w:r w:rsidRPr="00C12102">
        <w:rPr>
          <w:rFonts w:ascii="Times New Roman" w:hAnsi="Times New Roman" w:cs="Times New Roman"/>
          <w:sz w:val="24"/>
          <w:szCs w:val="24"/>
        </w:rPr>
        <w:tab/>
      </w:r>
      <w:r>
        <w:rPr>
          <w:rFonts w:ascii="Times New Roman" w:hAnsi="Times New Roman" w:cs="Times New Roman"/>
          <w:sz w:val="24"/>
          <w:szCs w:val="24"/>
        </w:rPr>
        <w:t xml:space="preserve">           </w:t>
      </w:r>
      <w:r w:rsidRPr="00C12102">
        <w:rPr>
          <w:rFonts w:ascii="Times New Roman" w:hAnsi="Times New Roman" w:cs="Times New Roman"/>
          <w:sz w:val="24"/>
          <w:szCs w:val="24"/>
        </w:rPr>
        <w:t xml:space="preserve">С.В. </w:t>
      </w:r>
      <w:proofErr w:type="spellStart"/>
      <w:r w:rsidRPr="00C12102">
        <w:rPr>
          <w:rFonts w:ascii="Times New Roman" w:hAnsi="Times New Roman" w:cs="Times New Roman"/>
          <w:sz w:val="24"/>
          <w:szCs w:val="24"/>
        </w:rPr>
        <w:t>Надал</w:t>
      </w:r>
      <w:proofErr w:type="spellEnd"/>
      <w:r w:rsidRPr="00C12102">
        <w:rPr>
          <w:rFonts w:ascii="Times New Roman" w:hAnsi="Times New Roman" w:cs="Times New Roman"/>
          <w:sz w:val="24"/>
          <w:szCs w:val="24"/>
        </w:rPr>
        <w:t xml:space="preserve">  </w:t>
      </w:r>
    </w:p>
    <w:p w:rsidR="0084037E" w:rsidRPr="00DD407C" w:rsidRDefault="0084037E" w:rsidP="0084037E">
      <w:pPr>
        <w:spacing w:line="240" w:lineRule="auto"/>
        <w:ind w:firstLine="567"/>
        <w:jc w:val="both"/>
        <w:rPr>
          <w:rFonts w:ascii="Times New Roman" w:hAnsi="Times New Roman" w:cs="Times New Roman"/>
          <w:sz w:val="24"/>
          <w:szCs w:val="24"/>
        </w:rPr>
      </w:pPr>
    </w:p>
    <w:p w:rsidR="00B77C3F" w:rsidRDefault="00B77C3F"/>
    <w:sectPr w:rsidR="00B77C3F" w:rsidSect="005A3D16">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4037E"/>
    <w:rsid w:val="0084037E"/>
    <w:rsid w:val="00B77C3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037E"/>
    <w:rPr>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1213</Words>
  <Characters>6917</Characters>
  <Application>Microsoft Office Word</Application>
  <DocSecurity>0</DocSecurity>
  <Lines>57</Lines>
  <Paragraphs>16</Paragraphs>
  <ScaleCrop>false</ScaleCrop>
  <Company>Reanimator Extreme Edition</Company>
  <LinksUpToDate>false</LinksUpToDate>
  <CharactersWithSpaces>8114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d07-Hnatyshyn</dc:creator>
  <cp:keywords/>
  <dc:description/>
  <cp:lastModifiedBy>d07-Hnatyshyn</cp:lastModifiedBy>
  <cp:revision>2</cp:revision>
  <dcterms:created xsi:type="dcterms:W3CDTF">2020-12-07T12:03:00Z</dcterms:created>
  <dcterms:modified xsi:type="dcterms:W3CDTF">2020-12-07T12:03:00Z</dcterms:modified>
</cp:coreProperties>
</file>