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37" w:rsidRPr="00A70C22" w:rsidRDefault="00993637" w:rsidP="00993637">
      <w:pPr>
        <w:spacing w:after="0" w:line="240" w:lineRule="auto"/>
        <w:rPr>
          <w:rStyle w:val="st"/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В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додаток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2 внесено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зміни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відповідно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р</w:t>
      </w:r>
      <w:proofErr w:type="gram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ішення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ВК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від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24.02.2021 №107</w:t>
      </w:r>
    </w:p>
    <w:p w:rsidR="00993637" w:rsidRPr="00DE588E" w:rsidRDefault="00993637" w:rsidP="00993637">
      <w:pPr>
        <w:spacing w:after="0" w:line="240" w:lineRule="auto"/>
        <w:rPr>
          <w:rStyle w:val="st"/>
          <w:rFonts w:ascii="Times New Roman" w:hAnsi="Times New Roman"/>
          <w:color w:val="FF0000"/>
          <w:sz w:val="28"/>
          <w:szCs w:val="28"/>
        </w:rPr>
      </w:pPr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В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додаток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1 внесено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зміни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відповідно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р</w:t>
      </w:r>
      <w:proofErr w:type="gram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ішення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ВК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від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09.12.2020 № 63</w:t>
      </w:r>
    </w:p>
    <w:p w:rsidR="00993637" w:rsidRPr="00CA7E42" w:rsidRDefault="00993637" w:rsidP="00993637">
      <w:pPr>
        <w:spacing w:after="0" w:line="240" w:lineRule="auto"/>
        <w:ind w:left="4932" w:firstLine="24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Додаток 1</w:t>
      </w:r>
    </w:p>
    <w:p w:rsidR="00993637" w:rsidRPr="00CA7E42" w:rsidRDefault="00993637" w:rsidP="00993637">
      <w:pPr>
        <w:spacing w:after="0" w:line="240" w:lineRule="auto"/>
        <w:ind w:left="4956" w:firstLine="6"/>
        <w:rPr>
          <w:rStyle w:val="st"/>
          <w:rFonts w:ascii="Times New Roman" w:hAnsi="Times New Roman"/>
          <w:sz w:val="28"/>
          <w:szCs w:val="28"/>
          <w:lang w:val="uk-UA"/>
        </w:rPr>
      </w:pPr>
      <w:r>
        <w:rPr>
          <w:rStyle w:val="st"/>
          <w:rFonts w:ascii="Times New Roman" w:hAnsi="Times New Roman"/>
          <w:sz w:val="28"/>
          <w:szCs w:val="28"/>
          <w:lang w:val="uk-UA"/>
        </w:rPr>
        <w:t xml:space="preserve"> до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рішення виконавчого комітету</w:t>
      </w:r>
    </w:p>
    <w:p w:rsidR="00993637" w:rsidRPr="00CA7E42" w:rsidRDefault="00993637" w:rsidP="00993637">
      <w:pPr>
        <w:spacing w:after="0" w:line="240" w:lineRule="auto"/>
        <w:ind w:firstLine="6"/>
        <w:rPr>
          <w:rStyle w:val="st"/>
          <w:rFonts w:ascii="Times New Roman" w:hAnsi="Times New Roman"/>
          <w:sz w:val="28"/>
          <w:szCs w:val="28"/>
          <w:lang w:val="uk-UA"/>
        </w:rPr>
      </w:pP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Style w:val="st"/>
          <w:rFonts w:ascii="Times New Roman" w:hAnsi="Times New Roman"/>
          <w:sz w:val="28"/>
          <w:szCs w:val="28"/>
          <w:lang w:val="uk-UA"/>
        </w:rPr>
        <w:t xml:space="preserve">29.04.2020р.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№</w:t>
      </w:r>
      <w:r>
        <w:rPr>
          <w:rStyle w:val="st"/>
          <w:rFonts w:ascii="Times New Roman" w:hAnsi="Times New Roman"/>
          <w:sz w:val="28"/>
          <w:szCs w:val="28"/>
          <w:lang w:val="uk-UA"/>
        </w:rPr>
        <w:t>332</w:t>
      </w:r>
    </w:p>
    <w:p w:rsidR="00993637" w:rsidRPr="00CA7E42" w:rsidRDefault="00993637" w:rsidP="00993637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A7E42" w:rsidRDefault="00993637" w:rsidP="00993637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A7E42" w:rsidRDefault="00993637" w:rsidP="00993637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Склад комісії</w:t>
      </w:r>
    </w:p>
    <w:p w:rsidR="00993637" w:rsidRPr="00CA7E42" w:rsidRDefault="00993637" w:rsidP="00993637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Fonts w:ascii="Times New Roman" w:hAnsi="Times New Roman"/>
          <w:sz w:val="28"/>
          <w:szCs w:val="28"/>
          <w:lang w:val="uk-UA"/>
        </w:rPr>
        <w:t xml:space="preserve">для звільнення від плати за надання соціальних послуг Тернопільським міським територіальним центром соціального   обслуговування населення (надання соціальних послуг) </w:t>
      </w:r>
    </w:p>
    <w:p w:rsidR="00993637" w:rsidRPr="00DE588E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color w:val="FF0000"/>
          <w:sz w:val="28"/>
          <w:szCs w:val="28"/>
        </w:rPr>
      </w:pPr>
      <w:r w:rsidRPr="00DE588E">
        <w:rPr>
          <w:rStyle w:val="st"/>
          <w:rFonts w:ascii="Times New Roman" w:hAnsi="Times New Roman"/>
          <w:color w:val="FF0000"/>
          <w:sz w:val="28"/>
          <w:szCs w:val="28"/>
          <w:lang w:val="uk-UA"/>
        </w:rPr>
        <w:t>Гірчак Ігор Ярославович</w:t>
      </w:r>
      <w:r w:rsidRPr="00DE588E">
        <w:rPr>
          <w:rStyle w:val="st"/>
          <w:rFonts w:ascii="Times New Roman" w:hAnsi="Times New Roman"/>
          <w:color w:val="FF0000"/>
          <w:sz w:val="28"/>
          <w:szCs w:val="28"/>
          <w:lang w:val="uk-UA"/>
        </w:rPr>
        <w:tab/>
        <w:t xml:space="preserve">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  <w:lang w:val="uk-UA"/>
        </w:rPr>
        <w:t>-</w:t>
      </w:r>
      <w:r w:rsidRPr="00DE588E">
        <w:rPr>
          <w:rFonts w:ascii="Times New Roman" w:hAnsi="Times New Roman"/>
          <w:color w:val="FF0000"/>
          <w:sz w:val="28"/>
          <w:szCs w:val="28"/>
          <w:lang w:val="uk-UA"/>
        </w:rPr>
        <w:t>секретар</w:t>
      </w:r>
      <w:proofErr w:type="spellEnd"/>
      <w:r w:rsidRPr="00DE588E">
        <w:rPr>
          <w:rFonts w:ascii="Times New Roman" w:hAnsi="Times New Roman"/>
          <w:color w:val="FF0000"/>
          <w:sz w:val="28"/>
          <w:szCs w:val="28"/>
          <w:lang w:val="uk-UA"/>
        </w:rPr>
        <w:t xml:space="preserve"> ради, голова комісії</w:t>
      </w:r>
      <w:r w:rsidRPr="00DE588E">
        <w:rPr>
          <w:rFonts w:ascii="Times New Roman" w:hAnsi="Times New Roman"/>
          <w:color w:val="FF0000"/>
          <w:sz w:val="28"/>
          <w:szCs w:val="28"/>
        </w:rPr>
        <w:t>;</w:t>
      </w:r>
    </w:p>
    <w:p w:rsidR="00993637" w:rsidRPr="00CA7E42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Хоркавий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Віталій Володимирович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директор Тернопільського міського територіального центру соціального обслуговування населення (надання соціальних послуг), заступник голови комісії;</w:t>
      </w:r>
    </w:p>
    <w:p w:rsidR="00993637" w:rsidRPr="00CA7E42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Руда Любов Миколаївна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завідувач відділення соціальної допомоги вдома Тернопільського міського територіального центру соціального обслуговування населення (надання соціальних послуг), секретар комісії.</w:t>
      </w:r>
    </w:p>
    <w:p w:rsidR="00993637" w:rsidRPr="00CA7E42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</w:p>
    <w:p w:rsidR="00993637" w:rsidRPr="00CA7E42" w:rsidRDefault="00993637" w:rsidP="00993637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ЧЛЕНИ КОМІСІЇ</w:t>
      </w:r>
    </w:p>
    <w:p w:rsidR="00993637" w:rsidRPr="00CA7E42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A7E42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Касперська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Оксана Євгенівна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заступник головного бухгалтера Тернопільського міського територіального центру соціального обслуговування населення (надання соціальних послуг);</w:t>
      </w:r>
    </w:p>
    <w:p w:rsidR="00993637" w:rsidRPr="00CA7E42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Копач Оксана Володимирівна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заступник начальника управління соціальної політики з економічних питань Тернопільської міської ради;</w:t>
      </w:r>
    </w:p>
    <w:p w:rsidR="00993637" w:rsidRPr="00CA7E42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Семанишин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Ірина Романівна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перший заступник директора Тернопільського міського територіального центру соціального обслуговування населення (надання соціальних послуг);</w:t>
      </w:r>
    </w:p>
    <w:p w:rsidR="00993637" w:rsidRPr="00CA7E42" w:rsidRDefault="00993637" w:rsidP="00993637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Олександра Павлівна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заступник директора Тернопільського міського територіального центру соціального обслуговування населення (надання соціальних послуг).</w:t>
      </w:r>
    </w:p>
    <w:p w:rsidR="00993637" w:rsidRPr="00CA7E42" w:rsidRDefault="00993637" w:rsidP="00993637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A7E42" w:rsidRDefault="00993637" w:rsidP="00993637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A7E42" w:rsidRDefault="00993637" w:rsidP="00993637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С.В.</w:t>
      </w: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Надал</w:t>
      </w:r>
      <w:proofErr w:type="spellEnd"/>
    </w:p>
    <w:p w:rsidR="00993637" w:rsidRPr="00CA7E42" w:rsidRDefault="00993637" w:rsidP="00993637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A70C22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color w:val="FF0000"/>
          <w:sz w:val="28"/>
          <w:szCs w:val="28"/>
        </w:rPr>
      </w:pPr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lastRenderedPageBreak/>
        <w:t xml:space="preserve">В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додаток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2 внесено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зміни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відповідно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р</w:t>
      </w:r>
      <w:proofErr w:type="gram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ішення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ВК </w:t>
      </w:r>
      <w:proofErr w:type="spellStart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>від</w:t>
      </w:r>
      <w:proofErr w:type="spellEnd"/>
      <w:r w:rsidRPr="00A70C22">
        <w:rPr>
          <w:rStyle w:val="st"/>
          <w:rFonts w:ascii="Times New Roman" w:hAnsi="Times New Roman"/>
          <w:color w:val="FF0000"/>
          <w:sz w:val="28"/>
          <w:szCs w:val="28"/>
        </w:rPr>
        <w:t xml:space="preserve"> 24.02.2021 №107</w:t>
      </w:r>
    </w:p>
    <w:p w:rsidR="00993637" w:rsidRPr="00CD7573" w:rsidRDefault="00993637" w:rsidP="00993637">
      <w:pPr>
        <w:spacing w:after="0" w:line="240" w:lineRule="auto"/>
        <w:ind w:left="4956" w:firstLine="6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Додаток 2</w:t>
      </w:r>
    </w:p>
    <w:p w:rsidR="00993637" w:rsidRPr="00CD7573" w:rsidRDefault="00993637" w:rsidP="00993637">
      <w:pPr>
        <w:spacing w:after="0" w:line="240" w:lineRule="auto"/>
        <w:ind w:left="4248" w:firstLine="708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993637" w:rsidRPr="00CD7573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Style w:val="st"/>
          <w:rFonts w:ascii="Times New Roman" w:hAnsi="Times New Roman"/>
          <w:sz w:val="28"/>
          <w:szCs w:val="28"/>
          <w:lang w:val="uk-UA"/>
        </w:rPr>
        <w:t xml:space="preserve">29.04.2020р.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№</w:t>
      </w:r>
      <w:r>
        <w:rPr>
          <w:rStyle w:val="st"/>
          <w:rFonts w:ascii="Times New Roman" w:hAnsi="Times New Roman"/>
          <w:sz w:val="28"/>
          <w:szCs w:val="28"/>
          <w:lang w:val="uk-UA"/>
        </w:rPr>
        <w:t>332</w:t>
      </w:r>
    </w:p>
    <w:p w:rsidR="00993637" w:rsidRPr="00CD7573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ind w:left="2832" w:firstLine="708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ПОЛОЖЕННЯ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CD7573">
        <w:rPr>
          <w:rFonts w:ascii="Times New Roman" w:hAnsi="Times New Roman"/>
          <w:sz w:val="28"/>
          <w:szCs w:val="28"/>
          <w:lang w:val="uk-UA"/>
        </w:rPr>
        <w:t xml:space="preserve">про комісію для звільнення від плати за надання соціальних послуг Тернопільським міським територіальним центром соціального обслуговування населення (надання соціальних послуг) </w:t>
      </w:r>
    </w:p>
    <w:p w:rsidR="00993637" w:rsidRPr="00CD7573" w:rsidRDefault="00993637" w:rsidP="0099363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1.</w:t>
      </w:r>
      <w:r w:rsidRPr="00CD7573">
        <w:rPr>
          <w:rStyle w:val="apple-converted-space"/>
          <w:rFonts w:ascii="Times New Roman" w:hAnsi="Times New Roman"/>
          <w:bCs/>
          <w:color w:val="091820"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Загальні положення</w:t>
      </w:r>
    </w:p>
    <w:p w:rsidR="00993637" w:rsidRPr="00CD7573" w:rsidRDefault="00993637" w:rsidP="0099363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1.1. Комісія для звільнення від плати за надання соціальних послуг Тернопільським міським територіальним центром соціального   обслуговування населення (надання соціальних послуг) (далі – Комісія) створюється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виконавчим комітетом Тернопільської міської ради.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1.2. У своїй діяльності Комісія керується Конституцією та законами України, постановами Верховної Ради України,  Кабінету Міністрів України,  актами Президента України та Кабінету Міністрів України,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рішеннями міської ради і виконавчого комітету, розпорядженнями міського голови,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Положенням про Тернопільський міський територіальний центр соціального обслуговування населення (надання соціальних послуг), цим Положенням, а також іншими нормативно-правовими актами, які регулюють порядок надання громадянам соціальних послуг.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</w:p>
    <w:p w:rsidR="00993637" w:rsidRPr="00CD7573" w:rsidRDefault="00993637" w:rsidP="0099363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 Завдання і функції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2.1.Головними завданнями Комісії є прийняття рішення про звільнення громадян, що мають рідних, які повинні забезпечити їм догляд і допомогу, від  плати за надання соціальних послуг Тернопільським міським територіальним центром соціального   обслуговування населення (надання соціальних послуг) (далі – Територіальний центр) у разі, коли такі рідні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через складні життєві обставини не мають можливості здійснювати належний догляд.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2.2.Комісія вивчає обставини, які стали причиною звернення громадян, що мають рідних, які повинні забезпечити їм догляд і допомогу, щодо звільнення від плати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за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надання соціальних послуг Територіальн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 центром.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2.3. Комісія при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розгляді заяви враховує всі обставини, що склалися в сім’ї: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матеріальні умови, склад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і вік членів сім’ї, доходи, розмір платежів за житлово-комунальні послуги, стан здоров’я, умови проживання, що впливають на соціальну незахищеність громадянина.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2.4. Комісія має право одержувати в установленому порядку необхідну для її діяльності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інформацію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для вирішення питання про звільнення від плати за надання соціальних послуг Територіальним центром.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A70C22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</w:pPr>
    </w:p>
    <w:p w:rsidR="00993637" w:rsidRPr="00A70C22" w:rsidRDefault="00993637" w:rsidP="00993637">
      <w:pPr>
        <w:spacing w:after="0" w:line="240" w:lineRule="auto"/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</w:pPr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Розділ 3 доповнено відповідно до рішення ВК  від 24.02.2021 № 107</w:t>
      </w:r>
    </w:p>
    <w:p w:rsidR="00993637" w:rsidRPr="00CD7573" w:rsidRDefault="00993637" w:rsidP="0099363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9A065A"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3. Організація роботи Комісії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E46EA7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</w:t>
      </w:r>
      <w:r w:rsidRPr="00E46EA7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 Організаційною формою діяльності Комісії є її засідання, які проводяться у разі потреби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 Засідання Комісії вважається правочинним, якщо на ньому присутні не менше як дві третини загальної кількості її членів.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веде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її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голова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або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заступник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голови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На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засіданні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по кожному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зверн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енню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sz w:val="28"/>
          <w:szCs w:val="28"/>
        </w:rPr>
        <w:t>доповідає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sz w:val="28"/>
          <w:szCs w:val="28"/>
        </w:rPr>
        <w:t>секретар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який готує матеріали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до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розгляду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оформл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яє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протокол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и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Комі</w:t>
      </w:r>
      <w:proofErr w:type="gramStart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с</w:t>
      </w:r>
      <w:proofErr w:type="gram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ії.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4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.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прий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має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ішен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ня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та письмово повідомляє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заявника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- про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звільнення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плати за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надання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соц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іальних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послуг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ом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;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- про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відмову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у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звільненні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плати за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надання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соц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іальних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послуг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ом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5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ішення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приймається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відкритим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голосуванням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більшістю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голосів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членів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присутніх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на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засіданні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У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разі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рівного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розподілу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голосів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вирішальним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є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голос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голови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</w:p>
    <w:p w:rsidR="00993637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6.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ішення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оформлюється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протоколом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,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підписується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головою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або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заступником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голови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і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секретарем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та передається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д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ериторіального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центру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протягом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робочих днів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993637" w:rsidRPr="00A70C22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</w:pPr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 xml:space="preserve">3.7. Засідання можуть проводитися в режимі </w:t>
      </w:r>
      <w:proofErr w:type="spellStart"/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відеоконференції</w:t>
      </w:r>
      <w:proofErr w:type="spellEnd"/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 xml:space="preserve">/аудіо конференцій (дистанційне засідання), в разі запровадження надзвичайної ситуації та/або надзвичайного стану, спричинених спалахами епідемій та </w:t>
      </w:r>
      <w:proofErr w:type="spellStart"/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пандемій</w:t>
      </w:r>
      <w:proofErr w:type="spellEnd"/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, що створюють загрозу життю і здоров’ю значних верств населення та введення такого стану відповідно до законодавства на всій території України, Тернопільської області, Тернопільської міської територіальної громади.</w:t>
      </w:r>
    </w:p>
    <w:p w:rsidR="00993637" w:rsidRPr="00A70C22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</w:pPr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3.7.1. Рішення про дистанційне засідання доводиться до відома учасників засідання не пізніш як за 24 години до його початку із зазначенням порядку денного та порядку відкритого доступу до трансляції дистанційного засідання.</w:t>
      </w:r>
    </w:p>
    <w:p w:rsidR="00993637" w:rsidRPr="00A70C22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</w:pPr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3.7.2. Запис дистанційного засідання є невід’ємною частиною протоколу засідання.</w:t>
      </w:r>
    </w:p>
    <w:p w:rsidR="00993637" w:rsidRPr="00A70C22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</w:pPr>
      <w:r w:rsidRPr="00A70C22">
        <w:rPr>
          <w:rStyle w:val="a3"/>
          <w:rFonts w:ascii="Times New Roman" w:hAnsi="Times New Roman"/>
          <w:b w:val="0"/>
          <w:bCs/>
          <w:color w:val="FF0000"/>
          <w:sz w:val="28"/>
          <w:szCs w:val="28"/>
          <w:lang w:val="uk-UA"/>
        </w:rPr>
        <w:t>3.7.3. Технічне забезпечення та організація дистанційних засідань покладається на управління соціальної політики.</w:t>
      </w:r>
    </w:p>
    <w:p w:rsidR="00993637" w:rsidRPr="00A70C22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</w:rPr>
        <w:t xml:space="preserve">4. </w:t>
      </w:r>
      <w:proofErr w:type="spellStart"/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</w:rPr>
        <w:t>Відповідальність</w:t>
      </w:r>
      <w:proofErr w:type="spellEnd"/>
    </w:p>
    <w:p w:rsidR="00993637" w:rsidRPr="00CD7573" w:rsidRDefault="00993637" w:rsidP="00993637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4.1. Голова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його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заступник,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секретар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та члени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несуть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відповідальність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згідно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чин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н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законодавством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993637" w:rsidRPr="00CD7573" w:rsidRDefault="00993637" w:rsidP="00993637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</w:p>
    <w:p w:rsidR="00993637" w:rsidRPr="00CD7573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993637" w:rsidRPr="00CD7573" w:rsidRDefault="00993637" w:rsidP="00993637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lastRenderedPageBreak/>
        <w:t xml:space="preserve">Міський голова </w:t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  <w:t>С.В.</w:t>
      </w:r>
      <w:proofErr w:type="spellStart"/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Надал</w:t>
      </w:r>
      <w:proofErr w:type="spellEnd"/>
    </w:p>
    <w:p w:rsidR="00993637" w:rsidRPr="00CD7573" w:rsidRDefault="00993637" w:rsidP="00993637">
      <w:pPr>
        <w:jc w:val="both"/>
        <w:rPr>
          <w:rFonts w:ascii="Times New Roman" w:hAnsi="Times New Roman"/>
          <w:sz w:val="28"/>
          <w:szCs w:val="28"/>
        </w:rPr>
      </w:pPr>
    </w:p>
    <w:p w:rsidR="0051028C" w:rsidRDefault="0051028C"/>
    <w:sectPr w:rsidR="0051028C" w:rsidSect="00E85D4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37"/>
    <w:rsid w:val="0051028C"/>
    <w:rsid w:val="0099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993637"/>
    <w:rPr>
      <w:rFonts w:cs="Times New Roman"/>
    </w:rPr>
  </w:style>
  <w:style w:type="character" w:styleId="a3">
    <w:name w:val="Strong"/>
    <w:basedOn w:val="a0"/>
    <w:qFormat/>
    <w:rsid w:val="00993637"/>
    <w:rPr>
      <w:b/>
    </w:rPr>
  </w:style>
  <w:style w:type="character" w:customStyle="1" w:styleId="apple-converted-space">
    <w:name w:val="apple-converted-space"/>
    <w:rsid w:val="0099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2021-03-03T14:29:00Z</dcterms:created>
  <dcterms:modified xsi:type="dcterms:W3CDTF">2021-03-03T14:29:00Z</dcterms:modified>
</cp:coreProperties>
</file>