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uk-UA"/>
        </w:rPr>
      </w:pPr>
    </w:p>
    <w:p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</w:t>
      </w:r>
      <w:r>
        <w:rPr>
          <w:color w:val="000000"/>
        </w:rPr>
        <w:t>Додаток</w:t>
      </w:r>
    </w:p>
    <w:p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ВИСНОВОК  </w:t>
      </w:r>
    </w:p>
    <w:p>
      <w:pPr>
        <w:pStyle w:val="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</w:rPr>
        <w:t xml:space="preserve">  щодо недоцільності встановлення способу участі батькові </w:t>
      </w:r>
      <w:r>
        <w:rPr>
          <w:rFonts w:hint="default"/>
          <w:smallCaps w:val="0"/>
          <w:snapToGrid/>
          <w:spacing w:val="0"/>
          <w:w w:val="100"/>
          <w:position w:val="0"/>
          <w:szCs w:val="22"/>
          <w:cs w:val="0"/>
          <w:lang w:val="uk-UA"/>
        </w:rPr>
        <w:t>....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</w:rPr>
        <w:t xml:space="preserve"> у вихованні дитини </w:t>
      </w:r>
      <w:r>
        <w:rPr>
          <w:rFonts w:hint="default"/>
          <w:smallCaps w:val="0"/>
          <w:snapToGrid/>
          <w:spacing w:val="0"/>
          <w:w w:val="100"/>
          <w:position w:val="0"/>
          <w:szCs w:val="22"/>
          <w:cs w:val="0"/>
          <w:lang w:val="uk-UA"/>
        </w:rPr>
        <w:t>...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Cs w:val="22"/>
          <w:cs w:val="0"/>
        </w:rPr>
        <w:t>, 07.06.2015 року народження</w:t>
      </w:r>
    </w:p>
    <w:p>
      <w:pPr>
        <w:jc w:val="both"/>
        <w:rPr>
          <w:sz w:val="28"/>
          <w:szCs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№607/10895/19, які надійшли із Тернопільського   міськрайонного суду Тернопільської області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про усунення перешкод у спілкуванні з дитиною,  шляхом встановлення способу участі у її вихованні.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Встановлено, що 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та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</w:rPr>
        <w:t xml:space="preserve"> від спільного шлюбу 07.06.2015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 народився син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</w:rPr>
        <w:t>.  Рішенням  Тернопільського міськрайонного суду від 04.08.2016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року шлюб між подружжям розірвано.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повідомив, що бажає брати участь у вихованні сина шляхом встановлення графіку побачень.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він не бачив більше чотирьох років, адреса проживання дитини та матері йому не відома.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явилася та не повідомила причини відсутності.  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Рішенням виконавчого комітету від  09.12.2020 року №81 затверджено висновок органу опіки та піклування щодо доцільності позбавлення батьківських прав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стосовно малолітньої дитини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>,07.06.2015 року народження.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 орган опіки і піклування вважає за не доцільне  встановлювати порядок участі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у вихованні малолітньої дитини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07.06.2015 року народження до вирішення питання в судовому порядку про позбавлення батьківських прав.  У разі не позбавлення в судовому порядку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батьківських прав щодо малолітньої дитини 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07.06.2015 року народження, орган опіки та піклування рекомендує  звернутися із заявою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за місцем проживання дитини для встановлення порядку участі у вихованні  сина  </w:t>
      </w:r>
      <w:r>
        <w:rPr>
          <w:rFonts w:hint="default"/>
          <w:sz w:val="28"/>
          <w:szCs w:val="28"/>
          <w:lang w:val="uk-UA"/>
        </w:rPr>
        <w:t xml:space="preserve">...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</w:p>
    <w:p>
      <w:pPr>
        <w:jc w:val="both"/>
        <w:rPr>
          <w:szCs w:val="28"/>
          <w:lang w:val="uk-UA"/>
        </w:rPr>
      </w:pPr>
    </w:p>
    <w:p>
      <w:pPr>
        <w:pStyle w:val="4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Міський голова   </w:t>
      </w:r>
      <w:r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Сергій НАДАЛ</w:t>
      </w:r>
    </w:p>
    <w:p>
      <w:pPr>
        <w:pStyle w:val="4"/>
        <w:rPr>
          <w:rFonts w:ascii="Times New Roman" w:hAnsi="Times New Roman"/>
          <w:szCs w:val="28"/>
          <w:lang w:val="ru-RU"/>
        </w:rPr>
      </w:pPr>
    </w:p>
    <w:p>
      <w:pPr>
        <w:rPr>
          <w:sz w:val="16"/>
          <w:szCs w:val="16"/>
          <w:lang w:val="uk-UA"/>
        </w:rPr>
      </w:pPr>
    </w:p>
    <w:p/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contextualSpacing w:val="0"/>
      <w:jc w:val="left"/>
      <w:outlineLvl w:val="9"/>
    </w:pPr>
    <w:rPr>
      <w:rFonts w:ascii="Times New Roman" w:hAnsi="Times New Roman" w:eastAsiaTheme="minorEastAsia" w:cstheme="minorBidi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2021-08-07T11:26:17Z</dcterms:created>
  <dc:creator>d03-shulga</dc:creator>
  <cp:lastModifiedBy>d03-shulga</cp:lastModifiedBy>
  <dcterms:modified xsi:type="dcterms:W3CDTF">2021-08-07T11:28:04Z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B9CAC82C53CC435A917E59A21A7349EE</vt:lpwstr>
  </property>
</Properties>
</file>