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FA" w:rsidRPr="000C2FFA" w:rsidRDefault="000C2FFA" w:rsidP="000C2FF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Додаток до рішення</w:t>
      </w:r>
    </w:p>
    <w:p w:rsidR="000C2FFA" w:rsidRPr="000C2FFA" w:rsidRDefault="000C2FFA" w:rsidP="000C2FF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0C2FFA" w:rsidRPr="000C2FFA" w:rsidRDefault="000C2FFA" w:rsidP="000C2FF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від ____._____.2020 №____</w:t>
      </w:r>
    </w:p>
    <w:p w:rsidR="000C2FFA" w:rsidRPr="000C2FFA" w:rsidRDefault="000C2FFA" w:rsidP="000C2FFA">
      <w:pPr>
        <w:spacing w:before="240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FA" w:rsidRPr="000C2FFA" w:rsidRDefault="000C2FFA" w:rsidP="000C2FFA">
      <w:pPr>
        <w:spacing w:before="240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>Звіт про роботу управління стратегічного розвитку міста за 2019-2020</w:t>
      </w:r>
      <w:bookmarkStart w:id="0" w:name="_GoBack"/>
      <w:bookmarkEnd w:id="0"/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>1. Міжнародне співробітництво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У 2020 році продовжено реалізацію діючої Програми розвитку міжнародного співробітництва і туризму Тернопільської міської територіальної громади на 2019-2021 роки. </w:t>
      </w:r>
    </w:p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зважаючи на карантинні обмеження, спричинені поширенням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коронавірусної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інфекції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Covid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-19, що унеможливили прямі контакти з міжнародними партнерами, зустрічі, участь та проведення міжнародних заходів, культурних, освітніх, спортивних та економічних обмінів, тощо, управління продовжує активно розвивати міжмуніципальне співробітництво, в тому числі в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онлайн-форматі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, з містами-побратимами і міжнародними організаціями, дипломатичними установами України за кордоном та іноземних країн в Україні та закордонними українцями, а також успадковує кращий досвід муніципального управління різних країн Європи.</w:t>
      </w:r>
    </w:p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Під час святкування Дня міста Тернополя, 29 серпня 2020 року підписано Угоду між Тернополем та містом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Замосць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, Республіка Польща, про співпрацю у галузі промоції, культури, спорту та туризму, охорони пам’яток,економіки, соціальних питань. </w:t>
      </w:r>
    </w:p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В рамках Програми транскордонного співробітництва реалізовується спільний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з м.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Замосць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Таким чином,  коло партнерських міст Тернопільської МТГ розширилося і на даний час місто співпрацює з 31 муніципалітетом європейських та інших міст (рис. 1).</w:t>
      </w:r>
    </w:p>
    <w:p w:rsidR="000C2FFA" w:rsidRPr="000C2FFA" w:rsidRDefault="000C2FFA" w:rsidP="000C2F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2244443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2FFA" w:rsidRPr="000C2FFA" w:rsidRDefault="000C2FFA" w:rsidP="000C2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b/>
          <w:bCs/>
          <w:sz w:val="24"/>
          <w:szCs w:val="24"/>
        </w:rPr>
        <w:t>Рис. 1. Динаміка кількості партнерських міст Тернопільської МТГ з</w:t>
      </w:r>
    </w:p>
    <w:p w:rsidR="000C2FFA" w:rsidRPr="000C2FFA" w:rsidRDefault="000C2FFA" w:rsidP="000C2F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FA">
        <w:rPr>
          <w:rFonts w:ascii="Times New Roman" w:hAnsi="Times New Roman" w:cs="Times New Roman"/>
          <w:b/>
          <w:bCs/>
          <w:sz w:val="24"/>
          <w:szCs w:val="24"/>
        </w:rPr>
        <w:t>муніципалітетами Європи та світу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Серед них – міста-побратими (4 міста), з якими урочисто укладені Присяги про побратимство: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Хожув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Батумі (Грузія),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Тарнув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Тирасполь (Молдова).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Партнерські міста (20 міст):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Ельблонг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Новотомишльський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повіт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Вільянді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(Естонія),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Шумен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(Болгарія),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Слівен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(Болгарія), Ялова (Туреччина),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Мурсія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(Іспанія),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Суленцінський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повіт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Таураге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(Литва),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ЄлєняГура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Ниса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Плонськ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Сувалки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Апостолес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(Аргентина),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Парма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(США), Пінськ (Білорусь), Гродно (Білорусь),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Прудентополіс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(Бразилія),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Замосць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(Польща). 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Дружні міста (7 міст): Люблін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Йонкерс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(США), Торонто (Канада),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Касторія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(Греція),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Бжег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Ольштин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(Польща),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Соколов-Подляський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повіт (Польща).</w:t>
      </w:r>
    </w:p>
    <w:p w:rsidR="000C2FFA" w:rsidRPr="000C2FFA" w:rsidRDefault="000C2FFA" w:rsidP="000C2F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F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276442" cy="2684679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FA">
        <w:rPr>
          <w:rFonts w:ascii="Times New Roman" w:hAnsi="Times New Roman" w:cs="Times New Roman"/>
          <w:b/>
          <w:bCs/>
          <w:sz w:val="24"/>
          <w:szCs w:val="24"/>
        </w:rPr>
        <w:t>Рис. 2. Динаміка діяльності громади у сфері міжнародного співробітництва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bCs/>
          <w:sz w:val="24"/>
          <w:szCs w:val="24"/>
        </w:rPr>
        <w:t>Міжнародна діяльність управління за 10міс. 2020 року: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FFA">
        <w:rPr>
          <w:rFonts w:ascii="Times New Roman" w:hAnsi="Times New Roman" w:cs="Times New Roman"/>
          <w:i/>
          <w:sz w:val="24"/>
          <w:szCs w:val="24"/>
        </w:rPr>
        <w:t xml:space="preserve">1. Забезпечено перебування представників міст-побратимів та партнерських міст та іноземних делегацій в міжнародних заходах </w:t>
      </w:r>
      <w:r w:rsidRPr="000C2FFA">
        <w:rPr>
          <w:rFonts w:ascii="Times New Roman" w:hAnsi="Times New Roman" w:cs="Times New Roman"/>
          <w:b/>
          <w:i/>
          <w:sz w:val="24"/>
          <w:szCs w:val="24"/>
        </w:rPr>
        <w:t xml:space="preserve">у Тернопільській МТГ, </w:t>
      </w:r>
      <w:r w:rsidRPr="000C2FFA">
        <w:rPr>
          <w:rFonts w:ascii="Times New Roman" w:hAnsi="Times New Roman" w:cs="Times New Roman"/>
          <w:i/>
          <w:sz w:val="24"/>
          <w:szCs w:val="24"/>
        </w:rPr>
        <w:t>візити представників міжнародних організацій та  ділових кіл, міжнародні зустрічі :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13 січня – візит делегації міста </w:t>
      </w:r>
      <w:proofErr w:type="spellStart"/>
      <w:r w:rsidRPr="000C2FFA">
        <w:rPr>
          <w:lang w:val="uk-UA"/>
        </w:rPr>
        <w:t>Замосць</w:t>
      </w:r>
      <w:proofErr w:type="spellEnd"/>
      <w:r w:rsidRPr="000C2FFA">
        <w:rPr>
          <w:lang w:val="uk-UA"/>
        </w:rPr>
        <w:t xml:space="preserve"> з метою підписання документів заявки на проект в рамках Програми транскордонної співпраці.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28 січня – візит консультанта Європейського інвестиційного банку в рамках підготовки та реалізації проекту «Глибока </w:t>
      </w:r>
      <w:proofErr w:type="spellStart"/>
      <w:r w:rsidRPr="000C2FFA">
        <w:rPr>
          <w:lang w:val="uk-UA"/>
        </w:rPr>
        <w:t>термомодернізація</w:t>
      </w:r>
      <w:proofErr w:type="spellEnd"/>
      <w:r w:rsidRPr="000C2FFA">
        <w:rPr>
          <w:lang w:val="uk-UA"/>
        </w:rPr>
        <w:t xml:space="preserve"> будівель закладів освіти міста Тернополя»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4 лютого – візит представників компанії </w:t>
      </w:r>
      <w:proofErr w:type="spellStart"/>
      <w:r w:rsidRPr="000C2FFA">
        <w:rPr>
          <w:lang w:val="en-US"/>
        </w:rPr>
        <w:t>KiekertAG</w:t>
      </w:r>
      <w:proofErr w:type="spellEnd"/>
      <w:r w:rsidRPr="000C2FFA">
        <w:rPr>
          <w:lang w:val="uk-UA"/>
        </w:rPr>
        <w:t xml:space="preserve">, Німеччина з метою вивчення бізнес середовища для проведення інвестування.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>6 лютого в міській раді перебувала делегація представників Асоціації «</w:t>
      </w:r>
      <w:proofErr w:type="spellStart"/>
      <w:r w:rsidRPr="000C2FFA">
        <w:rPr>
          <w:lang w:val="uk-UA"/>
        </w:rPr>
        <w:t>Венде</w:t>
      </w:r>
      <w:proofErr w:type="spellEnd"/>
      <w:r w:rsidRPr="000C2FFA">
        <w:rPr>
          <w:lang w:val="uk-UA"/>
        </w:rPr>
        <w:t xml:space="preserve"> Україна», яка регулярно надає гуманітарну допомогу закладам міста Тернополя.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21 лютого в Тернопільській міській раді перебувала делегація </w:t>
      </w:r>
      <w:r w:rsidRPr="000C2FFA">
        <w:rPr>
          <w:lang w:val="en-US"/>
        </w:rPr>
        <w:t>GRAERUALLC</w:t>
      </w:r>
      <w:r w:rsidRPr="000C2FFA">
        <w:rPr>
          <w:lang w:val="uk-UA"/>
        </w:rPr>
        <w:t xml:space="preserve">, Німеччина. Під час зустрічі відбулося обговорення питань залучення іноземних інвестицій в економіку міста. Досягнуто домовленостей про продовження співпраці з метою впровадження передових досягнень програмного забезпечення компанії в Тернополі.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27 лютого – зустріч в міській раді з делегацією партнерського міста </w:t>
      </w:r>
      <w:proofErr w:type="spellStart"/>
      <w:r w:rsidRPr="000C2FFA">
        <w:rPr>
          <w:lang w:val="uk-UA"/>
        </w:rPr>
        <w:t>Вільянді</w:t>
      </w:r>
      <w:proofErr w:type="spellEnd"/>
      <w:r w:rsidRPr="000C2FFA">
        <w:rPr>
          <w:lang w:val="uk-UA"/>
        </w:rPr>
        <w:t xml:space="preserve">, Естонія, під час якої обговорювались питання організації святкування Днів </w:t>
      </w:r>
      <w:proofErr w:type="spellStart"/>
      <w:r w:rsidRPr="000C2FFA">
        <w:rPr>
          <w:lang w:val="uk-UA"/>
        </w:rPr>
        <w:t>Вільянді</w:t>
      </w:r>
      <w:proofErr w:type="spellEnd"/>
      <w:r w:rsidRPr="000C2FFA">
        <w:rPr>
          <w:lang w:val="uk-UA"/>
        </w:rPr>
        <w:t xml:space="preserve"> в рамках відзначення Днів Європи 29 – 31 травня 2020 року. 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17 червня – зустріч начальника відділу міжнародного співробітництва і туризму з представниками скаутських організацій Європи . 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4 серпня – зустріч в міській раді з польською делегацією по </w:t>
      </w:r>
      <w:proofErr w:type="spellStart"/>
      <w:r w:rsidRPr="000C2FFA">
        <w:rPr>
          <w:lang w:val="uk-UA"/>
        </w:rPr>
        <w:t>проєкту</w:t>
      </w:r>
      <w:proofErr w:type="spellEnd"/>
      <w:r w:rsidRPr="000C2FFA">
        <w:rPr>
          <w:lang w:val="uk-UA"/>
        </w:rPr>
        <w:t xml:space="preserve"> Пілотний конкурс «Золота ділянка 2020» .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28 серпня в рамках святкування Дня міста відбулася зустріч міського голови з делегацією Генерального консульства Республіки Польща в складі Генерального консула РП в Луцьку </w:t>
      </w:r>
      <w:proofErr w:type="spellStart"/>
      <w:r w:rsidRPr="000C2FFA">
        <w:rPr>
          <w:lang w:val="uk-UA"/>
        </w:rPr>
        <w:t>СлавоміраМісяка</w:t>
      </w:r>
      <w:proofErr w:type="spellEnd"/>
      <w:r w:rsidRPr="000C2FFA">
        <w:rPr>
          <w:lang w:val="uk-UA"/>
        </w:rPr>
        <w:t xml:space="preserve"> та віце-консула </w:t>
      </w:r>
      <w:proofErr w:type="spellStart"/>
      <w:r w:rsidRPr="000C2FFA">
        <w:rPr>
          <w:lang w:val="uk-UA"/>
        </w:rPr>
        <w:t>Тереси</w:t>
      </w:r>
      <w:proofErr w:type="spellEnd"/>
      <w:r w:rsidRPr="000C2FFA">
        <w:rPr>
          <w:lang w:val="uk-UA"/>
        </w:rPr>
        <w:t xml:space="preserve"> Хрущ. </w:t>
      </w: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29 серпня рамках святкування Дня міста відбулася зустріч в міській раді з делегацією польського міста </w:t>
      </w:r>
      <w:proofErr w:type="spellStart"/>
      <w:r w:rsidRPr="000C2FFA">
        <w:rPr>
          <w:lang w:val="uk-UA"/>
        </w:rPr>
        <w:t>Замосць</w:t>
      </w:r>
      <w:proofErr w:type="spellEnd"/>
      <w:r w:rsidRPr="000C2FFA">
        <w:rPr>
          <w:lang w:val="uk-UA"/>
        </w:rPr>
        <w:t xml:space="preserve"> та підписано Угоду про співпрацю. </w:t>
      </w:r>
    </w:p>
    <w:p w:rsidR="000C2FFA" w:rsidRPr="000C2FFA" w:rsidRDefault="000C2FFA" w:rsidP="000C2FFA">
      <w:pPr>
        <w:pStyle w:val="a3"/>
        <w:suppressAutoHyphens/>
        <w:ind w:left="851"/>
        <w:contextualSpacing w:val="0"/>
        <w:jc w:val="both"/>
        <w:rPr>
          <w:lang w:val="uk-UA"/>
        </w:rPr>
      </w:pPr>
    </w:p>
    <w:p w:rsidR="000C2FFA" w:rsidRPr="000C2FFA" w:rsidRDefault="000C2FFA" w:rsidP="000C2FFA">
      <w:pPr>
        <w:pStyle w:val="a3"/>
        <w:numPr>
          <w:ilvl w:val="0"/>
          <w:numId w:val="3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29 серпня в рамках святкування Дня міста відбулися наступні зустріч представників делегації партнерського міста </w:t>
      </w:r>
      <w:proofErr w:type="spellStart"/>
      <w:r w:rsidRPr="000C2FFA">
        <w:rPr>
          <w:lang w:val="uk-UA"/>
        </w:rPr>
        <w:t>Хожув</w:t>
      </w:r>
      <w:proofErr w:type="spellEnd"/>
      <w:r w:rsidRPr="000C2FFA">
        <w:rPr>
          <w:lang w:val="uk-UA"/>
        </w:rPr>
        <w:t>:</w:t>
      </w:r>
    </w:p>
    <w:p w:rsidR="000C2FFA" w:rsidRPr="000C2FFA" w:rsidRDefault="000C2FFA" w:rsidP="000C2FFA">
      <w:pPr>
        <w:pStyle w:val="a3"/>
        <w:numPr>
          <w:ilvl w:val="0"/>
          <w:numId w:val="4"/>
        </w:numPr>
        <w:suppressAutoHyphens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В управлінні економіки, промисловості та праці, де було обговорено питання участі в спільних </w:t>
      </w:r>
      <w:proofErr w:type="spellStart"/>
      <w:r w:rsidRPr="000C2FFA">
        <w:rPr>
          <w:lang w:val="uk-UA"/>
        </w:rPr>
        <w:t>проєктах</w:t>
      </w:r>
      <w:proofErr w:type="spellEnd"/>
    </w:p>
    <w:p w:rsidR="000C2FFA" w:rsidRPr="000C2FFA" w:rsidRDefault="000C2FFA" w:rsidP="000C2FFA">
      <w:pPr>
        <w:pStyle w:val="a3"/>
        <w:numPr>
          <w:ilvl w:val="0"/>
          <w:numId w:val="4"/>
        </w:numPr>
        <w:suppressAutoHyphens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В управлінні надзвичайних ситуацій Тернопільської міської ради. 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FFA">
        <w:rPr>
          <w:rFonts w:ascii="Times New Roman" w:hAnsi="Times New Roman" w:cs="Times New Roman"/>
          <w:i/>
          <w:sz w:val="24"/>
          <w:szCs w:val="24"/>
        </w:rPr>
        <w:t xml:space="preserve">2. Забезпечення участі культурних, спортивних та освітніх колективів, офіційних делегацій міста Тернополя у міжнародних заходах та зустрічах </w:t>
      </w:r>
      <w:r w:rsidRPr="000C2FFA">
        <w:rPr>
          <w:rFonts w:ascii="Times New Roman" w:hAnsi="Times New Roman" w:cs="Times New Roman"/>
          <w:b/>
          <w:i/>
          <w:sz w:val="24"/>
          <w:szCs w:val="24"/>
        </w:rPr>
        <w:t>за кордоном.</w:t>
      </w:r>
    </w:p>
    <w:p w:rsidR="000C2FFA" w:rsidRPr="000C2FFA" w:rsidRDefault="000C2FFA" w:rsidP="000C2FFA">
      <w:pPr>
        <w:pStyle w:val="a3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lastRenderedPageBreak/>
        <w:t xml:space="preserve">20-22 січня – організовано візит міського голови в місто Брюссель (Бельгія), під час якого відбулася зустріч з депутатами Європарламенту п. Кшиштофом Гетьманом та п. Яном </w:t>
      </w:r>
      <w:proofErr w:type="spellStart"/>
      <w:r w:rsidRPr="000C2FFA">
        <w:rPr>
          <w:lang w:val="uk-UA"/>
        </w:rPr>
        <w:t>Олбрихтом</w:t>
      </w:r>
      <w:proofErr w:type="spellEnd"/>
      <w:r w:rsidRPr="000C2FFA">
        <w:rPr>
          <w:lang w:val="uk-UA"/>
        </w:rPr>
        <w:t>, де обговорено питання участі міста Тернополя в проектах ЄС.</w:t>
      </w:r>
    </w:p>
    <w:p w:rsidR="000C2FFA" w:rsidRPr="000C2FFA" w:rsidRDefault="000C2FFA" w:rsidP="000C2FFA">
      <w:pPr>
        <w:pStyle w:val="a3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26-31 січня – візит делегації Тернопільської міської ради в місто </w:t>
      </w:r>
      <w:proofErr w:type="spellStart"/>
      <w:r w:rsidRPr="000C2FFA">
        <w:rPr>
          <w:lang w:val="uk-UA"/>
        </w:rPr>
        <w:t>Баутцен</w:t>
      </w:r>
      <w:proofErr w:type="spellEnd"/>
      <w:r w:rsidRPr="000C2FFA">
        <w:rPr>
          <w:lang w:val="uk-UA"/>
        </w:rPr>
        <w:t xml:space="preserve"> (Саксонія, Німеччина). Взято участь у зустрічах з представниками адміністрації району, закладах освіти, бізнесу, тощо. </w:t>
      </w:r>
    </w:p>
    <w:p w:rsidR="000C2FFA" w:rsidRPr="000C2FFA" w:rsidRDefault="000C2FFA" w:rsidP="000C2FFA">
      <w:pPr>
        <w:pStyle w:val="a3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7-10 лютого – участь фут зальної команди Тернопільської міської ради в міжнародному турнірі на кубок бурмістра </w:t>
      </w:r>
      <w:proofErr w:type="spellStart"/>
      <w:r w:rsidRPr="000C2FFA">
        <w:rPr>
          <w:lang w:val="uk-UA"/>
        </w:rPr>
        <w:t>Плонська</w:t>
      </w:r>
      <w:proofErr w:type="spellEnd"/>
      <w:r w:rsidRPr="000C2FFA">
        <w:t>“</w:t>
      </w:r>
      <w:proofErr w:type="spellStart"/>
      <w:r w:rsidRPr="000C2FFA">
        <w:rPr>
          <w:lang w:val="en-US"/>
        </w:rPr>
        <w:t>OldBoy</w:t>
      </w:r>
      <w:proofErr w:type="spellEnd"/>
      <w:r w:rsidRPr="000C2FFA">
        <w:t xml:space="preserve">”. </w:t>
      </w:r>
    </w:p>
    <w:p w:rsidR="000C2FFA" w:rsidRPr="000C2FFA" w:rsidRDefault="000C2FFA" w:rsidP="000C2FFA">
      <w:pPr>
        <w:pStyle w:val="a3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 17-20 лютого – навчальний візит делегації Тернопільської міської ради до </w:t>
      </w:r>
      <w:proofErr w:type="spellStart"/>
      <w:r w:rsidRPr="000C2FFA">
        <w:rPr>
          <w:lang w:val="uk-UA"/>
        </w:rPr>
        <w:t>Хожува</w:t>
      </w:r>
      <w:proofErr w:type="spellEnd"/>
      <w:r w:rsidRPr="000C2FFA">
        <w:rPr>
          <w:lang w:val="uk-UA"/>
        </w:rPr>
        <w:t xml:space="preserve"> представників управління надзвичайних ситуацій.</w:t>
      </w:r>
    </w:p>
    <w:p w:rsidR="000C2FFA" w:rsidRPr="000C2FFA" w:rsidRDefault="000C2FFA" w:rsidP="000C2FF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2F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 період пандемії міжнародні контакти підтримувались шляхом проведення заходів  </w:t>
      </w:r>
      <w:r w:rsidRPr="000C2F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 </w:t>
      </w:r>
      <w:proofErr w:type="spellStart"/>
      <w:r w:rsidRPr="000C2F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онлайн</w:t>
      </w:r>
      <w:proofErr w:type="spellEnd"/>
      <w:r w:rsidRPr="000C2F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режимі:</w:t>
      </w:r>
    </w:p>
    <w:p w:rsidR="000C2FFA" w:rsidRPr="000C2FFA" w:rsidRDefault="000C2FFA" w:rsidP="000C2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19 травня проведено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скайп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-конференцію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між містами Тернопіль,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Вільянді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(Естонія),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Плонськ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(Польща) за участі начальника управління стратегічного розвитку міста Юрія Дейнеки, начальника відділу міжнародного співробітництва і туризму Володимира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Кашицькогоє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Бурмістра міста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ПлонськАнджеяПетрасіка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віце-мера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міста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ВільяндіЯнікиГедвіл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Тема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скайп-конференції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«Досвід роботи органів місцевого самоврядування в період пандемії». </w:t>
      </w:r>
    </w:p>
    <w:p w:rsidR="000C2FFA" w:rsidRPr="000C2FFA" w:rsidRDefault="000C2FFA" w:rsidP="000C2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27 травня проведено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скайп-конференцію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бразильським містом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Прудентополіс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метою якої було обговорення питань співпраці. </w:t>
      </w:r>
    </w:p>
    <w:p w:rsidR="000C2FFA" w:rsidRPr="000C2FFA" w:rsidRDefault="000C2FFA" w:rsidP="000C2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2 липня - представники готелю Тернопіль взяли участь у відео конференції в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форматі в рамках співпраці представників туристичних сфер України і Білорусі. </w:t>
      </w:r>
    </w:p>
    <w:p w:rsidR="000C2FFA" w:rsidRPr="000C2FFA" w:rsidRDefault="000C2FFA" w:rsidP="000C2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6-9 жовтня взято участь в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конференціях Конгресу транскордонної співпраці Люблін 2020.  </w:t>
      </w:r>
    </w:p>
    <w:p w:rsidR="000C2FFA" w:rsidRPr="000C2FFA" w:rsidRDefault="000C2FFA" w:rsidP="000C2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15 жовтня – участь начальника відділу міжнародного співробітництва і туризму в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форматі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“Згуртованість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 та населення під час пандемії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Covid</w:t>
      </w:r>
      <w:proofErr w:type="spellEnd"/>
      <w:r w:rsidRPr="000C2FFA">
        <w:rPr>
          <w:rFonts w:ascii="Times New Roman" w:hAnsi="Times New Roman" w:cs="Times New Roman"/>
          <w:sz w:val="24"/>
          <w:szCs w:val="24"/>
          <w:shd w:val="clear" w:color="auto" w:fill="FFFFFF"/>
        </w:rPr>
        <w:t>19 2.0”</w:t>
      </w:r>
    </w:p>
    <w:p w:rsidR="000C2FFA" w:rsidRPr="000C2FFA" w:rsidRDefault="000C2FFA" w:rsidP="000C2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6) 1 вересня – участь у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веб-конференції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в рамках проекту </w:t>
      </w:r>
      <w:r w:rsidRPr="000C2FFA">
        <w:rPr>
          <w:rFonts w:ascii="Times New Roman" w:hAnsi="Times New Roman" w:cs="Times New Roman"/>
          <w:sz w:val="24"/>
          <w:szCs w:val="24"/>
          <w:lang w:val="en-US"/>
        </w:rPr>
        <w:t>COPE</w:t>
      </w:r>
      <w:r w:rsidRPr="000C2FFA">
        <w:rPr>
          <w:rFonts w:ascii="Times New Roman" w:hAnsi="Times New Roman" w:cs="Times New Roman"/>
          <w:sz w:val="24"/>
          <w:szCs w:val="24"/>
        </w:rPr>
        <w:t>– “</w:t>
      </w:r>
      <w:r w:rsidRPr="000C2FF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півпраця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лікувальних закладів в період епідемії </w:t>
      </w:r>
      <w:proofErr w:type="spellStart"/>
      <w:r w:rsidRPr="000C2FFA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19”.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FFA">
        <w:rPr>
          <w:rFonts w:ascii="Times New Roman" w:hAnsi="Times New Roman" w:cs="Times New Roman"/>
          <w:i/>
          <w:sz w:val="24"/>
          <w:szCs w:val="24"/>
        </w:rPr>
        <w:t xml:space="preserve">3. Співпраця з </w:t>
      </w:r>
      <w:r w:rsidRPr="000C2FFA">
        <w:rPr>
          <w:rFonts w:ascii="Times New Roman" w:hAnsi="Times New Roman" w:cs="Times New Roman"/>
          <w:b/>
          <w:i/>
          <w:sz w:val="24"/>
          <w:szCs w:val="24"/>
        </w:rPr>
        <w:t>дипломатичними установами</w:t>
      </w:r>
      <w:r w:rsidRPr="000C2FFA">
        <w:rPr>
          <w:rFonts w:ascii="Times New Roman" w:hAnsi="Times New Roman" w:cs="Times New Roman"/>
          <w:i/>
          <w:sz w:val="24"/>
          <w:szCs w:val="24"/>
        </w:rPr>
        <w:t xml:space="preserve"> іноземних держав та українськими дипломатичними установами за кордоном. </w:t>
      </w:r>
    </w:p>
    <w:p w:rsidR="000C2FFA" w:rsidRPr="000C2FFA" w:rsidRDefault="000C2FFA" w:rsidP="000C2FFA">
      <w:pPr>
        <w:pStyle w:val="a3"/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1) </w:t>
      </w:r>
      <w:r w:rsidRPr="000C2FFA">
        <w:t xml:space="preserve">5 </w:t>
      </w:r>
      <w:r w:rsidRPr="000C2FFA">
        <w:rPr>
          <w:lang w:val="uk-UA"/>
        </w:rPr>
        <w:t xml:space="preserve">та 18 </w:t>
      </w:r>
      <w:proofErr w:type="spellStart"/>
      <w:r w:rsidRPr="000C2FFA">
        <w:t>лю</w:t>
      </w:r>
      <w:proofErr w:type="spellEnd"/>
      <w:r w:rsidRPr="000C2FFA">
        <w:rPr>
          <w:lang w:val="uk-UA"/>
        </w:rPr>
        <w:t xml:space="preserve">того – робочі зустрічі з почесним консулом Литовської Республіки в Тернополя Ярославом </w:t>
      </w:r>
      <w:proofErr w:type="spellStart"/>
      <w:r w:rsidRPr="000C2FFA">
        <w:rPr>
          <w:lang w:val="uk-UA"/>
        </w:rPr>
        <w:t>Візняком</w:t>
      </w:r>
      <w:proofErr w:type="spellEnd"/>
      <w:r w:rsidRPr="000C2FFA">
        <w:rPr>
          <w:lang w:val="uk-UA"/>
        </w:rPr>
        <w:t xml:space="preserve">, метою яких було обговорення питань розширення співпраці з литовськими партнерами. </w:t>
      </w:r>
    </w:p>
    <w:p w:rsidR="000C2FFA" w:rsidRPr="000C2FFA" w:rsidRDefault="000C2FFA" w:rsidP="000C2FFA">
      <w:pPr>
        <w:pStyle w:val="a3"/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2) 18 лютого міський голова брав участь в заходах з нагоди річниці почесного консульства Угорщини в місті Тернополі за участі генерального консула Угорщини в місті Ужгород Йожефа </w:t>
      </w:r>
      <w:proofErr w:type="spellStart"/>
      <w:r w:rsidRPr="000C2FFA">
        <w:rPr>
          <w:lang w:val="uk-UA"/>
        </w:rPr>
        <w:t>Бугайло</w:t>
      </w:r>
      <w:proofErr w:type="spellEnd"/>
      <w:r w:rsidRPr="000C2FFA">
        <w:rPr>
          <w:lang w:val="uk-UA"/>
        </w:rPr>
        <w:t xml:space="preserve">. 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FFA">
        <w:rPr>
          <w:rFonts w:ascii="Times New Roman" w:hAnsi="Times New Roman" w:cs="Times New Roman"/>
          <w:i/>
          <w:sz w:val="24"/>
          <w:szCs w:val="24"/>
        </w:rPr>
        <w:t xml:space="preserve">4. Налагодження співпраці між </w:t>
      </w:r>
      <w:r w:rsidRPr="000C2FFA">
        <w:rPr>
          <w:rFonts w:ascii="Times New Roman" w:hAnsi="Times New Roman" w:cs="Times New Roman"/>
          <w:b/>
          <w:i/>
          <w:sz w:val="24"/>
          <w:szCs w:val="24"/>
        </w:rPr>
        <w:t>освітніми</w:t>
      </w:r>
      <w:r w:rsidRPr="000C2FFA">
        <w:rPr>
          <w:rFonts w:ascii="Times New Roman" w:hAnsi="Times New Roman" w:cs="Times New Roman"/>
          <w:i/>
          <w:sz w:val="24"/>
          <w:szCs w:val="24"/>
        </w:rPr>
        <w:t xml:space="preserve"> закладами Тернопільської МТГ та іноземних міст. 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FFA" w:rsidRPr="000C2FFA" w:rsidRDefault="000C2FFA" w:rsidP="000C2FFA">
      <w:pPr>
        <w:pStyle w:val="a3"/>
        <w:numPr>
          <w:ilvl w:val="0"/>
          <w:numId w:val="2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10 березня підписана Угода про співпрацю між ЗОШ №5 Тернополя та школою з польського міста </w:t>
      </w:r>
      <w:proofErr w:type="spellStart"/>
      <w:r w:rsidRPr="000C2FFA">
        <w:rPr>
          <w:lang w:val="uk-UA"/>
        </w:rPr>
        <w:t>Вольштин</w:t>
      </w:r>
      <w:proofErr w:type="spellEnd"/>
      <w:r w:rsidRPr="000C2FFA">
        <w:rPr>
          <w:lang w:val="uk-UA"/>
        </w:rPr>
        <w:t xml:space="preserve">.  </w:t>
      </w:r>
    </w:p>
    <w:p w:rsidR="000C2FFA" w:rsidRPr="000C2FFA" w:rsidRDefault="000C2FFA" w:rsidP="000C2FFA">
      <w:pPr>
        <w:pStyle w:val="a3"/>
        <w:numPr>
          <w:ilvl w:val="0"/>
          <w:numId w:val="2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2-6 березня – участь ЗОШ №16 м Тернополя в </w:t>
      </w:r>
      <w:proofErr w:type="spellStart"/>
      <w:r w:rsidRPr="000C2FFA">
        <w:rPr>
          <w:lang w:val="uk-UA"/>
        </w:rPr>
        <w:t>україно-польсько-німецькому</w:t>
      </w:r>
      <w:proofErr w:type="spellEnd"/>
      <w:r w:rsidRPr="000C2FFA">
        <w:rPr>
          <w:lang w:val="uk-UA"/>
        </w:rPr>
        <w:t xml:space="preserve"> обміні в місті </w:t>
      </w:r>
      <w:proofErr w:type="spellStart"/>
      <w:r w:rsidRPr="000C2FFA">
        <w:rPr>
          <w:lang w:val="uk-UA"/>
        </w:rPr>
        <w:t>Карпач</w:t>
      </w:r>
      <w:proofErr w:type="spellEnd"/>
      <w:r w:rsidRPr="000C2FFA">
        <w:rPr>
          <w:lang w:val="uk-UA"/>
        </w:rPr>
        <w:t xml:space="preserve"> (Республіка Польща). </w:t>
      </w:r>
    </w:p>
    <w:p w:rsidR="000C2FFA" w:rsidRPr="000C2FFA" w:rsidRDefault="000C2FFA" w:rsidP="000C2FFA">
      <w:pPr>
        <w:pStyle w:val="a3"/>
        <w:numPr>
          <w:ilvl w:val="0"/>
          <w:numId w:val="2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rPr>
          <w:lang w:val="uk-UA"/>
        </w:rPr>
        <w:t xml:space="preserve">25 червня встановлено співпрацю між ЗОШ №3 міста Тернополя та прогімназією міста </w:t>
      </w:r>
      <w:proofErr w:type="spellStart"/>
      <w:r w:rsidRPr="000C2FFA">
        <w:rPr>
          <w:lang w:val="uk-UA"/>
        </w:rPr>
        <w:t>Таураге</w:t>
      </w:r>
      <w:proofErr w:type="spellEnd"/>
      <w:r w:rsidRPr="000C2FFA">
        <w:rPr>
          <w:lang w:val="uk-UA"/>
        </w:rPr>
        <w:t xml:space="preserve">, Литва. </w:t>
      </w:r>
    </w:p>
    <w:p w:rsidR="000C2FFA" w:rsidRPr="000C2FFA" w:rsidRDefault="000C2FFA" w:rsidP="000C2FFA">
      <w:pPr>
        <w:pStyle w:val="a3"/>
        <w:numPr>
          <w:ilvl w:val="0"/>
          <w:numId w:val="2"/>
        </w:numPr>
        <w:suppressAutoHyphens/>
        <w:ind w:left="0" w:firstLine="851"/>
        <w:contextualSpacing w:val="0"/>
        <w:jc w:val="both"/>
        <w:rPr>
          <w:lang w:val="uk-UA"/>
        </w:rPr>
      </w:pPr>
      <w:r w:rsidRPr="000C2FFA">
        <w:t xml:space="preserve">28-30 </w:t>
      </w:r>
      <w:proofErr w:type="spellStart"/>
      <w:r w:rsidRPr="000C2FFA">
        <w:t>вересня</w:t>
      </w:r>
      <w:proofErr w:type="spellEnd"/>
      <w:r w:rsidRPr="000C2FFA">
        <w:t xml:space="preserve"> – реал</w:t>
      </w:r>
      <w:proofErr w:type="spellStart"/>
      <w:r w:rsidRPr="000C2FFA">
        <w:rPr>
          <w:lang w:val="uk-UA"/>
        </w:rPr>
        <w:t>ізація</w:t>
      </w:r>
      <w:proofErr w:type="spellEnd"/>
      <w:r w:rsidRPr="000C2FFA">
        <w:rPr>
          <w:lang w:val="uk-UA"/>
        </w:rPr>
        <w:t xml:space="preserve"> трьохстороннього українсько-польсько-німецького </w:t>
      </w:r>
      <w:proofErr w:type="spellStart"/>
      <w:r w:rsidRPr="000C2FFA">
        <w:rPr>
          <w:lang w:val="uk-UA"/>
        </w:rPr>
        <w:t>проєкту</w:t>
      </w:r>
      <w:proofErr w:type="spellEnd"/>
      <w:r w:rsidRPr="000C2FFA">
        <w:rPr>
          <w:lang w:val="uk-UA"/>
        </w:rPr>
        <w:t xml:space="preserve"> «Приготування на екрані» за участі Галицького коледжу імен</w:t>
      </w:r>
      <w:proofErr w:type="gramStart"/>
      <w:r w:rsidRPr="000C2FFA">
        <w:rPr>
          <w:lang w:val="uk-UA"/>
        </w:rPr>
        <w:t>і В</w:t>
      </w:r>
      <w:proofErr w:type="gramEnd"/>
      <w:r w:rsidRPr="000C2FFA">
        <w:rPr>
          <w:lang w:val="uk-UA"/>
        </w:rPr>
        <w:t xml:space="preserve">’ячеслава Чорновола. 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5. </w:t>
      </w:r>
      <w:r w:rsidRPr="000C2FFA">
        <w:rPr>
          <w:rFonts w:ascii="Times New Roman" w:hAnsi="Times New Roman" w:cs="Times New Roman"/>
          <w:i/>
          <w:sz w:val="24"/>
          <w:szCs w:val="24"/>
        </w:rPr>
        <w:t xml:space="preserve">Налагодження співпраці між </w:t>
      </w:r>
      <w:r w:rsidRPr="000C2FFA">
        <w:rPr>
          <w:rFonts w:ascii="Times New Roman" w:hAnsi="Times New Roman" w:cs="Times New Roman"/>
          <w:b/>
          <w:i/>
          <w:sz w:val="24"/>
          <w:szCs w:val="24"/>
        </w:rPr>
        <w:t>медичними</w:t>
      </w:r>
      <w:r w:rsidRPr="000C2FFA">
        <w:rPr>
          <w:rFonts w:ascii="Times New Roman" w:hAnsi="Times New Roman" w:cs="Times New Roman"/>
          <w:i/>
          <w:sz w:val="24"/>
          <w:szCs w:val="24"/>
        </w:rPr>
        <w:t xml:space="preserve"> закладами Тернопільської МТГ та іноземних міст. </w:t>
      </w:r>
    </w:p>
    <w:p w:rsidR="000C2FFA" w:rsidRPr="000C2FFA" w:rsidRDefault="000C2FFA" w:rsidP="000C2FFA">
      <w:pPr>
        <w:pStyle w:val="a3"/>
        <w:suppressAutoHyphens/>
        <w:ind w:left="0" w:firstLine="851"/>
        <w:contextualSpacing w:val="0"/>
        <w:jc w:val="both"/>
      </w:pPr>
      <w:r w:rsidRPr="000C2FFA">
        <w:rPr>
          <w:lang w:val="uk-UA"/>
        </w:rPr>
        <w:t xml:space="preserve">1) 1 вересня – участь у </w:t>
      </w:r>
      <w:proofErr w:type="spellStart"/>
      <w:r w:rsidRPr="000C2FFA">
        <w:rPr>
          <w:lang w:val="uk-UA"/>
        </w:rPr>
        <w:t>веб-конференції</w:t>
      </w:r>
      <w:proofErr w:type="spellEnd"/>
      <w:r w:rsidRPr="000C2FFA">
        <w:rPr>
          <w:lang w:val="uk-UA"/>
        </w:rPr>
        <w:t xml:space="preserve"> в рамках проекту </w:t>
      </w:r>
      <w:r w:rsidRPr="000C2FFA">
        <w:rPr>
          <w:lang w:val="en-US"/>
        </w:rPr>
        <w:t>COPE</w:t>
      </w:r>
      <w:r w:rsidRPr="000C2FFA">
        <w:t>– “</w:t>
      </w:r>
      <w:r w:rsidRPr="000C2FFA">
        <w:rPr>
          <w:lang w:val="en-US"/>
        </w:rPr>
        <w:t>C</w:t>
      </w:r>
      <w:proofErr w:type="spellStart"/>
      <w:r w:rsidRPr="000C2FFA">
        <w:rPr>
          <w:lang w:val="uk-UA"/>
        </w:rPr>
        <w:t>півпраця</w:t>
      </w:r>
      <w:proofErr w:type="spellEnd"/>
      <w:r w:rsidRPr="000C2FFA">
        <w:rPr>
          <w:lang w:val="uk-UA"/>
        </w:rPr>
        <w:t xml:space="preserve"> лікувальних закладів в період епідемії </w:t>
      </w:r>
      <w:proofErr w:type="spellStart"/>
      <w:r w:rsidRPr="000C2FFA">
        <w:rPr>
          <w:lang w:val="en-US"/>
        </w:rPr>
        <w:t>Covid</w:t>
      </w:r>
      <w:proofErr w:type="spellEnd"/>
      <w:r w:rsidRPr="000C2FFA">
        <w:t xml:space="preserve"> 19”.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>2. Туризм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lastRenderedPageBreak/>
        <w:t xml:space="preserve">На 2020 рік з міського бюджету на Програму розвитку міжнародного співробітництва і туризму Тернопільської міської територіальної громадина 2019-2021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рокибуло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виділено 2 321,5тис. грн. Станом на 01.10.2020 року використано 1 862,7тис. грн. Структуру витрат по Програмі наведено на рис. 3.</w:t>
      </w:r>
    </w:p>
    <w:p w:rsidR="000C2FFA" w:rsidRPr="000C2FFA" w:rsidRDefault="000C2FFA" w:rsidP="000C2FF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1700" cy="3400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2FFA" w:rsidRPr="000C2FFA" w:rsidRDefault="000C2FFA" w:rsidP="000C2FF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 xml:space="preserve">Рис. 3. Структура витрат по Програмі розвитку міжнародного співробітництва і туризму Тернопільської міської територіальної громади на 2019-2021 роки </w:t>
      </w:r>
    </w:p>
    <w:p w:rsidR="000C2FFA" w:rsidRPr="000C2FFA" w:rsidRDefault="000C2FFA" w:rsidP="000C2FF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>за 9 міс. 2020 року, тис. грн.</w:t>
      </w:r>
    </w:p>
    <w:p w:rsidR="000C2FFA" w:rsidRPr="000C2FFA" w:rsidRDefault="000C2FFA" w:rsidP="000C2FF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C2FFA">
        <w:rPr>
          <w:rFonts w:ascii="Times New Roman" w:hAnsi="Times New Roman" w:cs="Times New Roman"/>
          <w:kern w:val="1"/>
          <w:sz w:val="24"/>
          <w:szCs w:val="24"/>
        </w:rPr>
        <w:t xml:space="preserve">У зв’язку з </w:t>
      </w:r>
      <w:proofErr w:type="spellStart"/>
      <w:r w:rsidRPr="000C2FFA">
        <w:rPr>
          <w:rFonts w:ascii="Times New Roman" w:hAnsi="Times New Roman" w:cs="Times New Roman"/>
          <w:kern w:val="1"/>
          <w:sz w:val="24"/>
          <w:szCs w:val="24"/>
        </w:rPr>
        <w:t>коронавірусною</w:t>
      </w:r>
      <w:proofErr w:type="spellEnd"/>
      <w:r w:rsidRPr="000C2FFA">
        <w:rPr>
          <w:rFonts w:ascii="Times New Roman" w:hAnsi="Times New Roman" w:cs="Times New Roman"/>
          <w:kern w:val="1"/>
          <w:sz w:val="24"/>
          <w:szCs w:val="24"/>
        </w:rPr>
        <w:t xml:space="preserve"> ситуацією розвитку сфери туризму зазнав значних змін та відхилення від позитивної динаміки минулих років.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Таблиця 1</w:t>
      </w:r>
    </w:p>
    <w:tbl>
      <w:tblPr>
        <w:tblStyle w:val="a4"/>
        <w:tblW w:w="9634" w:type="dxa"/>
        <w:jc w:val="center"/>
        <w:tblLook w:val="04A0"/>
      </w:tblPr>
      <w:tblGrid>
        <w:gridCol w:w="2456"/>
        <w:gridCol w:w="1821"/>
        <w:gridCol w:w="1821"/>
        <w:gridCol w:w="1694"/>
        <w:gridCol w:w="1842"/>
      </w:tblGrid>
      <w:tr w:rsidR="000C2FFA" w:rsidRPr="000C2FFA" w:rsidTr="0005408D">
        <w:trPr>
          <w:jc w:val="center"/>
        </w:trPr>
        <w:tc>
          <w:tcPr>
            <w:tcW w:w="2456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2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2017 рік</w:t>
            </w:r>
          </w:p>
        </w:tc>
        <w:tc>
          <w:tcPr>
            <w:tcW w:w="182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2018 рік</w:t>
            </w:r>
          </w:p>
        </w:tc>
        <w:tc>
          <w:tcPr>
            <w:tcW w:w="1694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01.11.2019 рік</w:t>
            </w:r>
          </w:p>
        </w:tc>
        <w:tc>
          <w:tcPr>
            <w:tcW w:w="184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01.11.2020 рік</w:t>
            </w:r>
          </w:p>
        </w:tc>
      </w:tr>
      <w:tr w:rsidR="000C2FFA" w:rsidRPr="000C2FFA" w:rsidTr="0005408D">
        <w:trPr>
          <w:jc w:val="center"/>
        </w:trPr>
        <w:tc>
          <w:tcPr>
            <w:tcW w:w="2456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Кількість туристичних заходів</w:t>
            </w:r>
          </w:p>
        </w:tc>
        <w:tc>
          <w:tcPr>
            <w:tcW w:w="182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25</w:t>
            </w:r>
          </w:p>
        </w:tc>
        <w:tc>
          <w:tcPr>
            <w:tcW w:w="182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1694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27</w:t>
            </w:r>
          </w:p>
        </w:tc>
        <w:tc>
          <w:tcPr>
            <w:tcW w:w="184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8</w:t>
            </w:r>
          </w:p>
        </w:tc>
      </w:tr>
    </w:tbl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C2FF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604520</wp:posOffset>
            </wp:positionH>
            <wp:positionV relativeFrom="paragraph">
              <wp:posOffset>5080</wp:posOffset>
            </wp:positionV>
            <wp:extent cx="5381625" cy="2362200"/>
            <wp:effectExtent l="0" t="0" r="0" b="0"/>
            <wp:wrapNone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FA">
        <w:rPr>
          <w:rFonts w:ascii="Times New Roman" w:hAnsi="Times New Roman" w:cs="Times New Roman"/>
          <w:b/>
          <w:bCs/>
          <w:sz w:val="24"/>
          <w:szCs w:val="24"/>
        </w:rPr>
        <w:t>Рис. 4. Динаміка туристичного збору (тис. грн.)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F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852170</wp:posOffset>
            </wp:positionH>
            <wp:positionV relativeFrom="paragraph">
              <wp:posOffset>6350</wp:posOffset>
            </wp:positionV>
            <wp:extent cx="4610100" cy="2445422"/>
            <wp:effectExtent l="0" t="0" r="0" b="0"/>
            <wp:wrapNone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FA">
        <w:rPr>
          <w:rFonts w:ascii="Times New Roman" w:hAnsi="Times New Roman" w:cs="Times New Roman"/>
          <w:b/>
          <w:bCs/>
          <w:sz w:val="24"/>
          <w:szCs w:val="24"/>
        </w:rPr>
        <w:t>Рис. 5. Динаміка кількості туристів (тис. осіб)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У таблиці 2 наведено динаміку кількості об’єктів туристичної інфраструктури у Тернопільській МТГ.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Таблиця 2</w:t>
      </w:r>
    </w:p>
    <w:p w:rsidR="000C2FFA" w:rsidRPr="000C2FFA" w:rsidRDefault="000C2FFA" w:rsidP="000C2FF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b/>
          <w:kern w:val="24"/>
          <w:sz w:val="24"/>
          <w:szCs w:val="24"/>
        </w:rPr>
        <w:t>Динаміка кількості об’єктів туристичної інфраструктури у Тернопільській МТГ</w:t>
      </w:r>
    </w:p>
    <w:tbl>
      <w:tblPr>
        <w:tblW w:w="9493" w:type="dxa"/>
        <w:tblLayout w:type="fixed"/>
        <w:tblLook w:val="0000"/>
      </w:tblPr>
      <w:tblGrid>
        <w:gridCol w:w="1555"/>
        <w:gridCol w:w="2139"/>
        <w:gridCol w:w="1688"/>
        <w:gridCol w:w="2268"/>
        <w:gridCol w:w="1843"/>
      </w:tblGrid>
      <w:tr w:rsidR="000C2FFA" w:rsidRPr="000C2FFA" w:rsidTr="0005408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Роки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Готелі та </w:t>
            </w:r>
            <w:proofErr w:type="spellStart"/>
            <w:r w:rsidRPr="000C2FFA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хостели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Ресторани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Інші заклади громадського харчування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Туристичні фірми</w:t>
            </w:r>
          </w:p>
        </w:tc>
      </w:tr>
      <w:tr w:rsidR="000C2FFA" w:rsidRPr="000C2FFA" w:rsidTr="0005408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2017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 (26/3)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85</w:t>
            </w:r>
          </w:p>
        </w:tc>
      </w:tr>
      <w:tr w:rsidR="000C2FFA" w:rsidRPr="000C2FFA" w:rsidTr="0005408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2018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 (23/7)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93</w:t>
            </w:r>
          </w:p>
        </w:tc>
      </w:tr>
      <w:tr w:rsidR="000C2FFA" w:rsidRPr="000C2FFA" w:rsidTr="0005408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2019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 (23/7)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94</w:t>
            </w:r>
          </w:p>
        </w:tc>
      </w:tr>
      <w:tr w:rsidR="000C2FFA" w:rsidRPr="000C2FFA" w:rsidTr="0005408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01.11.2020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 (23/7)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FA" w:rsidRPr="000C2FFA" w:rsidRDefault="000C2FFA" w:rsidP="000C2FFA">
            <w:pPr>
              <w:widowControl w:val="0"/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89</w:t>
            </w:r>
          </w:p>
        </w:tc>
      </w:tr>
    </w:tbl>
    <w:p w:rsidR="000C2FFA" w:rsidRPr="000C2FFA" w:rsidRDefault="000C2FFA" w:rsidP="000C2FFA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Таблиця 3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 xml:space="preserve">Фінансова діяльність </w:t>
      </w:r>
      <w:proofErr w:type="spellStart"/>
      <w:r w:rsidRPr="000C2FFA">
        <w:rPr>
          <w:rFonts w:ascii="Times New Roman" w:hAnsi="Times New Roman" w:cs="Times New Roman"/>
          <w:b/>
          <w:sz w:val="24"/>
          <w:szCs w:val="24"/>
        </w:rPr>
        <w:t>КП</w:t>
      </w:r>
      <w:proofErr w:type="spellEnd"/>
      <w:r w:rsidRPr="000C2FF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C2FFA">
        <w:rPr>
          <w:rFonts w:ascii="Times New Roman" w:hAnsi="Times New Roman" w:cs="Times New Roman"/>
          <w:b/>
          <w:sz w:val="24"/>
          <w:szCs w:val="24"/>
        </w:rPr>
        <w:t>ТІЦ</w:t>
      </w:r>
      <w:proofErr w:type="spellEnd"/>
      <w:r w:rsidRPr="000C2FFA">
        <w:rPr>
          <w:rFonts w:ascii="Times New Roman" w:hAnsi="Times New Roman" w:cs="Times New Roman"/>
          <w:b/>
          <w:sz w:val="24"/>
          <w:szCs w:val="24"/>
        </w:rPr>
        <w:t xml:space="preserve"> м. Тернополя»,тис. грн.</w:t>
      </w:r>
    </w:p>
    <w:tbl>
      <w:tblPr>
        <w:tblStyle w:val="a4"/>
        <w:tblW w:w="9493" w:type="dxa"/>
        <w:jc w:val="center"/>
        <w:tblLook w:val="04A0"/>
      </w:tblPr>
      <w:tblGrid>
        <w:gridCol w:w="2387"/>
        <w:gridCol w:w="1838"/>
        <w:gridCol w:w="1838"/>
        <w:gridCol w:w="1729"/>
        <w:gridCol w:w="1701"/>
      </w:tblGrid>
      <w:tr w:rsidR="000C2FFA" w:rsidRPr="000C2FFA" w:rsidTr="0005408D">
        <w:trPr>
          <w:jc w:val="center"/>
        </w:trPr>
        <w:tc>
          <w:tcPr>
            <w:tcW w:w="238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38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2017 рік</w:t>
            </w:r>
          </w:p>
        </w:tc>
        <w:tc>
          <w:tcPr>
            <w:tcW w:w="1838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2018 рік</w:t>
            </w:r>
          </w:p>
        </w:tc>
        <w:tc>
          <w:tcPr>
            <w:tcW w:w="172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01.10.2019 рік</w:t>
            </w:r>
          </w:p>
        </w:tc>
        <w:tc>
          <w:tcPr>
            <w:tcW w:w="170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01.10.2020 рік</w:t>
            </w:r>
          </w:p>
        </w:tc>
      </w:tr>
      <w:tr w:rsidR="000C2FFA" w:rsidRPr="000C2FFA" w:rsidTr="0005408D">
        <w:trPr>
          <w:jc w:val="center"/>
        </w:trPr>
        <w:tc>
          <w:tcPr>
            <w:tcW w:w="238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Доходи</w:t>
            </w:r>
          </w:p>
        </w:tc>
        <w:tc>
          <w:tcPr>
            <w:tcW w:w="1838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609</w:t>
            </w:r>
          </w:p>
        </w:tc>
        <w:tc>
          <w:tcPr>
            <w:tcW w:w="1838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601</w:t>
            </w:r>
          </w:p>
        </w:tc>
        <w:tc>
          <w:tcPr>
            <w:tcW w:w="172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648,8</w:t>
            </w:r>
          </w:p>
        </w:tc>
        <w:tc>
          <w:tcPr>
            <w:tcW w:w="170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367,2</w:t>
            </w:r>
          </w:p>
        </w:tc>
      </w:tr>
      <w:tr w:rsidR="000C2FFA" w:rsidRPr="000C2FFA" w:rsidTr="0005408D">
        <w:trPr>
          <w:jc w:val="center"/>
        </w:trPr>
        <w:tc>
          <w:tcPr>
            <w:tcW w:w="238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Витрати</w:t>
            </w:r>
          </w:p>
        </w:tc>
        <w:tc>
          <w:tcPr>
            <w:tcW w:w="1838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621</w:t>
            </w:r>
          </w:p>
        </w:tc>
        <w:tc>
          <w:tcPr>
            <w:tcW w:w="1838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657</w:t>
            </w:r>
          </w:p>
        </w:tc>
        <w:tc>
          <w:tcPr>
            <w:tcW w:w="172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645,7</w:t>
            </w:r>
          </w:p>
        </w:tc>
        <w:tc>
          <w:tcPr>
            <w:tcW w:w="170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410,3</w:t>
            </w:r>
          </w:p>
        </w:tc>
      </w:tr>
      <w:tr w:rsidR="000C2FFA" w:rsidRPr="000C2FFA" w:rsidTr="0005408D">
        <w:trPr>
          <w:jc w:val="center"/>
        </w:trPr>
        <w:tc>
          <w:tcPr>
            <w:tcW w:w="238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Прибуток / Збиток</w:t>
            </w:r>
          </w:p>
        </w:tc>
        <w:tc>
          <w:tcPr>
            <w:tcW w:w="1838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-12</w:t>
            </w:r>
          </w:p>
        </w:tc>
        <w:tc>
          <w:tcPr>
            <w:tcW w:w="1838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-56</w:t>
            </w:r>
          </w:p>
        </w:tc>
        <w:tc>
          <w:tcPr>
            <w:tcW w:w="172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3,1</w:t>
            </w:r>
          </w:p>
        </w:tc>
        <w:tc>
          <w:tcPr>
            <w:tcW w:w="170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-43,1</w:t>
            </w:r>
          </w:p>
        </w:tc>
      </w:tr>
    </w:tbl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>3. Зовнішня реклама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Інформація про виконання плану надходжень від плати за тимчасове користування місцями розташування рекламних засобів, що перебувають у комунальній власності (таблиця 4).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До місцевого бюджету  перераховано: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У 2017 р.                           -  3 450,0 тис. грн. (105% виконання).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У 2018 р.                           -  3 700,0 тис. грн. (103% виконання).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У 2019 р.                           -  7823,2 тис. грн. (107,5% виконання).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У 2020 р. (прогноз)          -  7 200,0 тис. грн.(100% виконання).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До державного бюджету (ПДВ) перераховано: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В 2017 р.                            -  748,9 тис. грн.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В 2018 р.                            -  850,6 тис. грн.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В 2019 р. -  1655,3 тис. грн.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В 2020 р. (10 міс.)             -  1001,4 тис. грн.</w:t>
      </w:r>
    </w:p>
    <w:p w:rsidR="000C2FFA" w:rsidRPr="000C2FFA" w:rsidRDefault="000C2FFA" w:rsidP="000C2FFA">
      <w:pPr>
        <w:tabs>
          <w:tab w:val="left" w:pos="777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Таблиця 4</w:t>
      </w:r>
    </w:p>
    <w:p w:rsidR="000C2FFA" w:rsidRPr="000C2FFA" w:rsidRDefault="000C2FFA" w:rsidP="000C2FF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b/>
          <w:kern w:val="24"/>
          <w:sz w:val="24"/>
          <w:szCs w:val="24"/>
        </w:rPr>
        <w:t>Надходження від плати за тимчасове користування місцями розташування рекламних засобів, що перебувають у комунальній власності, 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3209"/>
        <w:gridCol w:w="3208"/>
      </w:tblGrid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sz w:val="24"/>
                <w:szCs w:val="24"/>
              </w:rPr>
              <w:t>Місяць 2020 року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Вересень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FFA" w:rsidRPr="000C2FFA" w:rsidTr="0005408D">
        <w:tc>
          <w:tcPr>
            <w:tcW w:w="3212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10 місяців 2020 р.</w:t>
            </w:r>
          </w:p>
        </w:tc>
        <w:tc>
          <w:tcPr>
            <w:tcW w:w="3209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sz w:val="24"/>
                <w:szCs w:val="24"/>
              </w:rPr>
              <w:t>6 200,0</w:t>
            </w:r>
          </w:p>
        </w:tc>
        <w:tc>
          <w:tcPr>
            <w:tcW w:w="3208" w:type="dxa"/>
            <w:shd w:val="clear" w:color="auto" w:fill="auto"/>
          </w:tcPr>
          <w:p w:rsidR="000C2FFA" w:rsidRPr="000C2FFA" w:rsidRDefault="000C2FFA" w:rsidP="000C2FF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FA">
              <w:rPr>
                <w:rFonts w:ascii="Times New Roman" w:hAnsi="Times New Roman" w:cs="Times New Roman"/>
                <w:b/>
                <w:sz w:val="24"/>
                <w:szCs w:val="24"/>
              </w:rPr>
              <w:t>7200,0</w:t>
            </w:r>
          </w:p>
        </w:tc>
      </w:tr>
    </w:tbl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Протягом 10 місяців 2020 року управлінням розміщено соціальної реклами для 51 заходу на умовах взаємозаліку в розрахунках.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kern w:val="24"/>
          <w:sz w:val="24"/>
          <w:szCs w:val="24"/>
        </w:rPr>
        <w:t>Таблиця 5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b/>
          <w:kern w:val="24"/>
          <w:sz w:val="24"/>
          <w:szCs w:val="24"/>
        </w:rPr>
        <w:t>Динаміка розміщення соціальної реклами, од.</w:t>
      </w:r>
    </w:p>
    <w:tbl>
      <w:tblPr>
        <w:tblStyle w:val="a4"/>
        <w:tblW w:w="0" w:type="auto"/>
        <w:jc w:val="center"/>
        <w:tblLook w:val="04A0"/>
      </w:tblPr>
      <w:tblGrid>
        <w:gridCol w:w="2442"/>
        <w:gridCol w:w="2444"/>
        <w:gridCol w:w="2444"/>
        <w:gridCol w:w="2299"/>
      </w:tblGrid>
      <w:tr w:rsidR="000C2FFA" w:rsidRPr="000C2FFA" w:rsidTr="0005408D">
        <w:trPr>
          <w:jc w:val="center"/>
        </w:trPr>
        <w:tc>
          <w:tcPr>
            <w:tcW w:w="2442" w:type="dxa"/>
            <w:vAlign w:val="center"/>
          </w:tcPr>
          <w:p w:rsidR="000C2FFA" w:rsidRPr="000C2FFA" w:rsidRDefault="000C2FFA" w:rsidP="000C2FFA">
            <w:pPr>
              <w:widowControl w:val="0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b/>
                <w:kern w:val="24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2444" w:type="dxa"/>
            <w:vAlign w:val="center"/>
          </w:tcPr>
          <w:p w:rsidR="000C2FFA" w:rsidRPr="000C2FFA" w:rsidRDefault="000C2FFA" w:rsidP="000C2FFA">
            <w:pPr>
              <w:widowControl w:val="0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b/>
                <w:kern w:val="24"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2444" w:type="dxa"/>
            <w:vAlign w:val="center"/>
          </w:tcPr>
          <w:p w:rsidR="000C2FFA" w:rsidRPr="000C2FFA" w:rsidRDefault="000C2FFA" w:rsidP="000C2FFA">
            <w:pPr>
              <w:widowControl w:val="0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b/>
                <w:kern w:val="24"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2299" w:type="dxa"/>
          </w:tcPr>
          <w:p w:rsidR="000C2FFA" w:rsidRPr="000C2FFA" w:rsidRDefault="000C2FFA" w:rsidP="000C2FFA">
            <w:pPr>
              <w:widowControl w:val="0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b/>
                <w:kern w:val="24"/>
                <w:sz w:val="24"/>
                <w:szCs w:val="24"/>
                <w:lang w:val="uk-UA"/>
              </w:rPr>
              <w:t>01.11.2020 рік</w:t>
            </w:r>
          </w:p>
        </w:tc>
      </w:tr>
      <w:tr w:rsidR="000C2FFA" w:rsidRPr="000C2FFA" w:rsidTr="0005408D">
        <w:trPr>
          <w:jc w:val="center"/>
        </w:trPr>
        <w:tc>
          <w:tcPr>
            <w:tcW w:w="2442" w:type="dxa"/>
            <w:vAlign w:val="center"/>
          </w:tcPr>
          <w:p w:rsidR="000C2FFA" w:rsidRPr="000C2FFA" w:rsidRDefault="000C2FFA" w:rsidP="000C2FFA">
            <w:pPr>
              <w:widowControl w:val="0"/>
              <w:jc w:val="center"/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  <w:t>89</w:t>
            </w:r>
          </w:p>
        </w:tc>
        <w:tc>
          <w:tcPr>
            <w:tcW w:w="2444" w:type="dxa"/>
            <w:vAlign w:val="center"/>
          </w:tcPr>
          <w:p w:rsidR="000C2FFA" w:rsidRPr="000C2FFA" w:rsidRDefault="000C2FFA" w:rsidP="000C2FFA">
            <w:pPr>
              <w:widowControl w:val="0"/>
              <w:jc w:val="center"/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  <w:t>89</w:t>
            </w:r>
          </w:p>
        </w:tc>
        <w:tc>
          <w:tcPr>
            <w:tcW w:w="2444" w:type="dxa"/>
            <w:vAlign w:val="center"/>
          </w:tcPr>
          <w:p w:rsidR="000C2FFA" w:rsidRPr="000C2FFA" w:rsidRDefault="000C2FFA" w:rsidP="000C2FFA">
            <w:pPr>
              <w:widowControl w:val="0"/>
              <w:jc w:val="center"/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  <w:t>70</w:t>
            </w:r>
          </w:p>
        </w:tc>
        <w:tc>
          <w:tcPr>
            <w:tcW w:w="2299" w:type="dxa"/>
          </w:tcPr>
          <w:p w:rsidR="000C2FFA" w:rsidRPr="000C2FFA" w:rsidRDefault="000C2FFA" w:rsidP="000C2FFA">
            <w:pPr>
              <w:widowControl w:val="0"/>
              <w:jc w:val="center"/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  <w:t>51</w:t>
            </w:r>
          </w:p>
        </w:tc>
      </w:tr>
    </w:tbl>
    <w:p w:rsidR="000C2FFA" w:rsidRPr="000C2FFA" w:rsidRDefault="000C2FFA" w:rsidP="000C2FFA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Таблиця 6</w:t>
      </w: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0C2FFA">
        <w:rPr>
          <w:rFonts w:ascii="Times New Roman" w:hAnsi="Times New Roman" w:cs="Times New Roman"/>
          <w:b/>
          <w:kern w:val="24"/>
          <w:sz w:val="24"/>
          <w:szCs w:val="24"/>
        </w:rPr>
        <w:t xml:space="preserve">Фінансова діяльність </w:t>
      </w:r>
      <w:proofErr w:type="spellStart"/>
      <w:r w:rsidRPr="000C2FFA">
        <w:rPr>
          <w:rFonts w:ascii="Times New Roman" w:hAnsi="Times New Roman" w:cs="Times New Roman"/>
          <w:b/>
          <w:kern w:val="24"/>
          <w:sz w:val="24"/>
          <w:szCs w:val="24"/>
        </w:rPr>
        <w:t>КП</w:t>
      </w:r>
      <w:proofErr w:type="spellEnd"/>
      <w:r w:rsidRPr="000C2FFA">
        <w:rPr>
          <w:rFonts w:ascii="Times New Roman" w:hAnsi="Times New Roman" w:cs="Times New Roman"/>
          <w:b/>
          <w:kern w:val="24"/>
          <w:sz w:val="24"/>
          <w:szCs w:val="24"/>
        </w:rPr>
        <w:t xml:space="preserve"> «Парк Загребелля», тис. грн.</w:t>
      </w:r>
    </w:p>
    <w:tbl>
      <w:tblPr>
        <w:tblStyle w:val="a4"/>
        <w:tblW w:w="9634" w:type="dxa"/>
        <w:jc w:val="center"/>
        <w:tblLook w:val="04A0"/>
      </w:tblPr>
      <w:tblGrid>
        <w:gridCol w:w="2379"/>
        <w:gridCol w:w="1727"/>
        <w:gridCol w:w="1722"/>
        <w:gridCol w:w="1927"/>
        <w:gridCol w:w="1879"/>
      </w:tblGrid>
      <w:tr w:rsidR="000C2FFA" w:rsidRPr="000C2FFA" w:rsidTr="0005408D">
        <w:trPr>
          <w:jc w:val="center"/>
        </w:trPr>
        <w:tc>
          <w:tcPr>
            <w:tcW w:w="237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72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2017 рік</w:t>
            </w:r>
          </w:p>
        </w:tc>
        <w:tc>
          <w:tcPr>
            <w:tcW w:w="172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2018 рік</w:t>
            </w:r>
          </w:p>
        </w:tc>
        <w:tc>
          <w:tcPr>
            <w:tcW w:w="1927" w:type="dxa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01.10.2019 року</w:t>
            </w:r>
          </w:p>
        </w:tc>
        <w:tc>
          <w:tcPr>
            <w:tcW w:w="1879" w:type="dxa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01.10.2020 року</w:t>
            </w:r>
          </w:p>
        </w:tc>
      </w:tr>
      <w:tr w:rsidR="000C2FFA" w:rsidRPr="000C2FFA" w:rsidTr="0005408D">
        <w:trPr>
          <w:jc w:val="center"/>
        </w:trPr>
        <w:tc>
          <w:tcPr>
            <w:tcW w:w="237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Доходи</w:t>
            </w:r>
          </w:p>
        </w:tc>
        <w:tc>
          <w:tcPr>
            <w:tcW w:w="172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737,3</w:t>
            </w:r>
          </w:p>
        </w:tc>
        <w:tc>
          <w:tcPr>
            <w:tcW w:w="172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815,8</w:t>
            </w:r>
          </w:p>
        </w:tc>
        <w:tc>
          <w:tcPr>
            <w:tcW w:w="192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820,5</w:t>
            </w:r>
          </w:p>
        </w:tc>
        <w:tc>
          <w:tcPr>
            <w:tcW w:w="1879" w:type="dxa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723,8</w:t>
            </w:r>
          </w:p>
        </w:tc>
      </w:tr>
      <w:tr w:rsidR="000C2FFA" w:rsidRPr="000C2FFA" w:rsidTr="0005408D">
        <w:trPr>
          <w:jc w:val="center"/>
        </w:trPr>
        <w:tc>
          <w:tcPr>
            <w:tcW w:w="237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Витрати</w:t>
            </w:r>
          </w:p>
        </w:tc>
        <w:tc>
          <w:tcPr>
            <w:tcW w:w="172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712,8</w:t>
            </w:r>
          </w:p>
        </w:tc>
        <w:tc>
          <w:tcPr>
            <w:tcW w:w="172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779,9</w:t>
            </w:r>
          </w:p>
        </w:tc>
        <w:tc>
          <w:tcPr>
            <w:tcW w:w="192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763,8</w:t>
            </w:r>
          </w:p>
        </w:tc>
        <w:tc>
          <w:tcPr>
            <w:tcW w:w="1879" w:type="dxa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795,8</w:t>
            </w:r>
          </w:p>
        </w:tc>
      </w:tr>
      <w:tr w:rsidR="000C2FFA" w:rsidRPr="000C2FFA" w:rsidTr="0005408D">
        <w:trPr>
          <w:jc w:val="center"/>
        </w:trPr>
        <w:tc>
          <w:tcPr>
            <w:tcW w:w="237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Прибуток / Збиток</w:t>
            </w:r>
          </w:p>
        </w:tc>
        <w:tc>
          <w:tcPr>
            <w:tcW w:w="172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17,6</w:t>
            </w:r>
          </w:p>
        </w:tc>
        <w:tc>
          <w:tcPr>
            <w:tcW w:w="172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29,8</w:t>
            </w:r>
          </w:p>
        </w:tc>
        <w:tc>
          <w:tcPr>
            <w:tcW w:w="192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46,4</w:t>
            </w:r>
          </w:p>
        </w:tc>
        <w:tc>
          <w:tcPr>
            <w:tcW w:w="1879" w:type="dxa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-72,1</w:t>
            </w:r>
          </w:p>
        </w:tc>
      </w:tr>
    </w:tbl>
    <w:p w:rsidR="000C2FFA" w:rsidRPr="000C2FFA" w:rsidRDefault="000C2FFA" w:rsidP="000C2F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0C2FFA" w:rsidRPr="000C2FFA" w:rsidRDefault="000C2FFA" w:rsidP="000C2FF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kern w:val="24"/>
          <w:sz w:val="24"/>
          <w:szCs w:val="24"/>
        </w:rPr>
        <w:t>4. Інвестиційна діяльність та стратегічне планування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За 10 місяців 2020 року укладено 2 інвестиційні договори: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- від 31.01.2020 року №48 щодо модернізації частини центрального стадіону м. Тернополя з облаштуванням приміщень громадського призначення, просп. С. Бандери, 15;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- від 05.10.2020 року №49 щодо облаштування зони рекреаційно-відпочинкового комплексу на набережній Тернопільського ставу після ФСТ «Динамо» в сторону заводу «Опілля» в парку ім. Т. Г. Шевченка.</w:t>
      </w:r>
    </w:p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Реалізовано 2 інвестиційні договори:</w:t>
      </w:r>
    </w:p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- від 09.09.2015 року №28 щодо облаштування тенісних кортів на території парку Національного відродження;</w:t>
      </w:r>
    </w:p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- від 11.09.2017 року №40 щодо будівництва культурно-мистецького центру з приміщеннями громадського призначення, підземним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паркінгом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та житловим будинком по вул. Миру, 6;</w:t>
      </w:r>
    </w:p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- від 07.10.2019 року №47 щодо будівництва футбольного поля зі штучним покриттям (44×24 м), вул. Л. Українки, 3а.</w:t>
      </w:r>
    </w:p>
    <w:p w:rsidR="000C2FFA" w:rsidRPr="000C2FFA" w:rsidRDefault="000C2FFA" w:rsidP="000C2FF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Таблиця 7</w:t>
      </w:r>
    </w:p>
    <w:tbl>
      <w:tblPr>
        <w:tblStyle w:val="a4"/>
        <w:tblW w:w="9493" w:type="dxa"/>
        <w:jc w:val="center"/>
        <w:tblLook w:val="04A0"/>
      </w:tblPr>
      <w:tblGrid>
        <w:gridCol w:w="2494"/>
        <w:gridCol w:w="1612"/>
        <w:gridCol w:w="1559"/>
        <w:gridCol w:w="1911"/>
        <w:gridCol w:w="1917"/>
      </w:tblGrid>
      <w:tr w:rsidR="000C2FFA" w:rsidRPr="000C2FFA" w:rsidTr="0005408D">
        <w:trPr>
          <w:jc w:val="center"/>
        </w:trPr>
        <w:tc>
          <w:tcPr>
            <w:tcW w:w="2494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61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2017 рік</w:t>
            </w:r>
          </w:p>
        </w:tc>
        <w:tc>
          <w:tcPr>
            <w:tcW w:w="155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2018 рік</w:t>
            </w:r>
          </w:p>
        </w:tc>
        <w:tc>
          <w:tcPr>
            <w:tcW w:w="1911" w:type="dxa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2019 рік</w:t>
            </w:r>
          </w:p>
        </w:tc>
        <w:tc>
          <w:tcPr>
            <w:tcW w:w="1917" w:type="dxa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uk-UA" w:eastAsia="ar-SA"/>
              </w:rPr>
              <w:t>01.11.2020 року</w:t>
            </w:r>
          </w:p>
        </w:tc>
      </w:tr>
      <w:tr w:rsidR="000C2FFA" w:rsidRPr="000C2FFA" w:rsidTr="0005408D">
        <w:trPr>
          <w:jc w:val="center"/>
        </w:trPr>
        <w:tc>
          <w:tcPr>
            <w:tcW w:w="2494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Реалізовано інвестиційних договорів</w:t>
            </w:r>
          </w:p>
        </w:tc>
        <w:tc>
          <w:tcPr>
            <w:tcW w:w="161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91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91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3</w:t>
            </w:r>
          </w:p>
        </w:tc>
      </w:tr>
      <w:tr w:rsidR="000C2FFA" w:rsidRPr="000C2FFA" w:rsidTr="0005408D">
        <w:trPr>
          <w:jc w:val="center"/>
        </w:trPr>
        <w:tc>
          <w:tcPr>
            <w:tcW w:w="2494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Укладено інвестиційних договорів</w:t>
            </w:r>
          </w:p>
        </w:tc>
        <w:tc>
          <w:tcPr>
            <w:tcW w:w="1612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59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911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917" w:type="dxa"/>
            <w:vAlign w:val="center"/>
          </w:tcPr>
          <w:p w:rsidR="000C2FFA" w:rsidRPr="000C2FFA" w:rsidRDefault="000C2FFA" w:rsidP="000C2FFA">
            <w:pPr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</w:pPr>
            <w:r w:rsidRPr="000C2FFA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2</w:t>
            </w:r>
          </w:p>
        </w:tc>
      </w:tr>
    </w:tbl>
    <w:p w:rsidR="000C2FFA" w:rsidRPr="000C2FFA" w:rsidRDefault="000C2FFA" w:rsidP="000C2FF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Національне рейтингове агентство «</w:t>
      </w:r>
      <w:proofErr w:type="spellStart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ІВІ-Rating</w:t>
      </w:r>
      <w:proofErr w:type="spellEnd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» підтвердило рейтинг інвестиційної привабливості Тернопільської МТГ на </w:t>
      </w:r>
      <w:proofErr w:type="spellStart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рівніinvА</w:t>
      </w:r>
      <w:proofErr w:type="spellEnd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(високий) та кредитний рейтинг на рівні </w:t>
      </w:r>
      <w:proofErr w:type="spellStart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uaBBB</w:t>
      </w:r>
      <w:proofErr w:type="spellEnd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+ (у розвитку).</w:t>
      </w:r>
    </w:p>
    <w:p w:rsidR="000C2FFA" w:rsidRPr="000C2FFA" w:rsidRDefault="000C2FFA" w:rsidP="000C2FFA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noProof/>
          <w:kern w:val="1"/>
          <w:sz w:val="24"/>
          <w:szCs w:val="24"/>
        </w:rPr>
        <w:lastRenderedPageBreak/>
        <w:drawing>
          <wp:inline distT="0" distB="0" distL="0" distR="0">
            <wp:extent cx="4724400" cy="211415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5000" contrast="45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530" cy="212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FA" w:rsidRPr="000C2FFA" w:rsidRDefault="000C2FFA" w:rsidP="000C2FF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Рис. 6. Динаміка рейтингу інвестиційної привабливості Тернопільської МТГ</w:t>
      </w:r>
    </w:p>
    <w:p w:rsidR="000C2FFA" w:rsidRPr="000C2FFA" w:rsidRDefault="000C2FFA" w:rsidP="000C2FF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b/>
          <w:noProof/>
          <w:kern w:val="1"/>
          <w:sz w:val="24"/>
          <w:szCs w:val="24"/>
        </w:rPr>
        <w:drawing>
          <wp:inline distT="0" distB="0" distL="0" distR="0">
            <wp:extent cx="4829175" cy="180704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5000" contrast="45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850" cy="181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FA" w:rsidRPr="000C2FFA" w:rsidRDefault="000C2FFA" w:rsidP="000C2FF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Рис. 7. Динаміка кредитного рейтингу Тернопільської МТГ</w:t>
      </w:r>
    </w:p>
    <w:p w:rsidR="000C2FFA" w:rsidRPr="000C2FFA" w:rsidRDefault="000C2FFA" w:rsidP="000C2FFA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7. Місце Тернопільської МТГ у рейтингових оцінюваннях</w:t>
      </w:r>
    </w:p>
    <w:p w:rsidR="000C2FFA" w:rsidRPr="000C2FFA" w:rsidRDefault="000C2FFA" w:rsidP="000C2FF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Тернопільська МТГ продовжує займати перші або лідерські місця в національних та міжнародних рейтингах та конкурсах, а саме: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1) Рейтинг найкомфортніших міст України (журнал «Фокус») – 5 місце.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2) Рейтинг прозорості 100 найбільших міст України за результатами 2019 року («</w:t>
      </w:r>
      <w:proofErr w:type="spellStart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Трансперенсі</w:t>
      </w:r>
      <w:proofErr w:type="spellEnd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Інтернешнл Україна») – 3 місце.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3) Рейтинг міст України за результатами ЗНО-2020 – 4 місце.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4) Міста з найбільш сприятливим бізнес-кліматом та ефективним економічним врядуванням (індекс конкурентоспроможності міст України (ІКМ) 2019/2020) – 5 місце.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5) Міста України найкращі для ведення бізнесу (журнал «</w:t>
      </w:r>
      <w:proofErr w:type="spellStart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Forbes</w:t>
      </w:r>
      <w:proofErr w:type="spellEnd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») – 5 місце.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6) Рейтинг фінансової успішності територіальних громад (оцінювання експертів Програми «U-LEAD з Європою») – 2 місце.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7) Переможець в номінації «Найкраще </w:t>
      </w:r>
      <w:proofErr w:type="spellStart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енергоефективне</w:t>
      </w:r>
      <w:proofErr w:type="spellEnd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місто» (</w:t>
      </w:r>
      <w:proofErr w:type="spellStart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KyivSmartCityForum</w:t>
      </w:r>
      <w:proofErr w:type="spellEnd"/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2020).</w:t>
      </w:r>
    </w:p>
    <w:p w:rsidR="000C2FFA" w:rsidRPr="000C2FFA" w:rsidRDefault="000C2FFA" w:rsidP="000C2FF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8) Відзнака в конкурсі «Дієва громада» (Міністерство цифрової трансформації України).</w:t>
      </w:r>
      <w:r w:rsidRPr="000C2F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>8. Фонд заробітної плати управління</w:t>
      </w: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Фонд заробітної плати за 10 місяців 2020 року в порівнянні з аналогічним періодом минулого року наведено в табл. 8.</w:t>
      </w: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Таблиця 8</w:t>
      </w: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FA">
        <w:rPr>
          <w:rFonts w:ascii="Times New Roman" w:hAnsi="Times New Roman" w:cs="Times New Roman"/>
          <w:b/>
          <w:sz w:val="24"/>
          <w:szCs w:val="24"/>
        </w:rPr>
        <w:t>Фонд заробітної плати управління, тис. грн.</w:t>
      </w:r>
    </w:p>
    <w:tbl>
      <w:tblPr>
        <w:tblStyle w:val="a4"/>
        <w:tblW w:w="9776" w:type="dxa"/>
        <w:jc w:val="center"/>
        <w:tblLook w:val="04A0"/>
      </w:tblPr>
      <w:tblGrid>
        <w:gridCol w:w="1980"/>
        <w:gridCol w:w="1887"/>
        <w:gridCol w:w="1985"/>
        <w:gridCol w:w="1984"/>
        <w:gridCol w:w="1940"/>
      </w:tblGrid>
      <w:tr w:rsidR="000C2FFA" w:rsidRPr="000C2FFA" w:rsidTr="0005408D">
        <w:trPr>
          <w:jc w:val="center"/>
        </w:trPr>
        <w:tc>
          <w:tcPr>
            <w:tcW w:w="1980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01.11.2017 року</w:t>
            </w:r>
          </w:p>
        </w:tc>
        <w:tc>
          <w:tcPr>
            <w:tcW w:w="1985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01.11.2018 року</w:t>
            </w:r>
          </w:p>
        </w:tc>
        <w:tc>
          <w:tcPr>
            <w:tcW w:w="1984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01.11.2019 року</w:t>
            </w:r>
          </w:p>
        </w:tc>
        <w:tc>
          <w:tcPr>
            <w:tcW w:w="1940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01.11.2020 року</w:t>
            </w:r>
          </w:p>
        </w:tc>
      </w:tr>
      <w:tr w:rsidR="000C2FFA" w:rsidRPr="000C2FFA" w:rsidTr="0005408D">
        <w:trPr>
          <w:jc w:val="center"/>
        </w:trPr>
        <w:tc>
          <w:tcPr>
            <w:tcW w:w="1980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працівників</w:t>
            </w:r>
          </w:p>
        </w:tc>
        <w:tc>
          <w:tcPr>
            <w:tcW w:w="1887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40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0C2FFA" w:rsidRPr="000C2FFA" w:rsidTr="0005408D">
        <w:trPr>
          <w:jc w:val="center"/>
        </w:trPr>
        <w:tc>
          <w:tcPr>
            <w:tcW w:w="1980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Фонд заробітної плати</w:t>
            </w:r>
          </w:p>
        </w:tc>
        <w:tc>
          <w:tcPr>
            <w:tcW w:w="1887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1 260,3</w:t>
            </w:r>
          </w:p>
        </w:tc>
        <w:tc>
          <w:tcPr>
            <w:tcW w:w="1985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1 448,4</w:t>
            </w:r>
          </w:p>
        </w:tc>
        <w:tc>
          <w:tcPr>
            <w:tcW w:w="1984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1 742,0</w:t>
            </w:r>
          </w:p>
        </w:tc>
        <w:tc>
          <w:tcPr>
            <w:tcW w:w="1940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1752,7</w:t>
            </w:r>
          </w:p>
        </w:tc>
      </w:tr>
      <w:tr w:rsidR="000C2FFA" w:rsidRPr="000C2FFA" w:rsidTr="0005408D">
        <w:trPr>
          <w:jc w:val="center"/>
        </w:trPr>
        <w:tc>
          <w:tcPr>
            <w:tcW w:w="1980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В т.ч. премія</w:t>
            </w:r>
          </w:p>
        </w:tc>
        <w:tc>
          <w:tcPr>
            <w:tcW w:w="1887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356,9</w:t>
            </w:r>
          </w:p>
        </w:tc>
        <w:tc>
          <w:tcPr>
            <w:tcW w:w="1985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228,9</w:t>
            </w:r>
          </w:p>
        </w:tc>
        <w:tc>
          <w:tcPr>
            <w:tcW w:w="1984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296,3</w:t>
            </w:r>
          </w:p>
        </w:tc>
        <w:tc>
          <w:tcPr>
            <w:tcW w:w="1940" w:type="dxa"/>
            <w:vAlign w:val="center"/>
          </w:tcPr>
          <w:p w:rsidR="000C2FFA" w:rsidRPr="000C2FFA" w:rsidRDefault="000C2FFA" w:rsidP="000C2FFA">
            <w:pPr>
              <w:tabs>
                <w:tab w:val="left" w:pos="413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FFA">
              <w:rPr>
                <w:rFonts w:ascii="Times New Roman" w:hAnsi="Times New Roman"/>
                <w:sz w:val="24"/>
                <w:szCs w:val="24"/>
                <w:lang w:val="uk-UA"/>
              </w:rPr>
              <w:t>274,3</w:t>
            </w:r>
          </w:p>
        </w:tc>
      </w:tr>
    </w:tbl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lastRenderedPageBreak/>
        <w:t>Начальник управління</w:t>
      </w:r>
      <w:r w:rsidRPr="000C2FFA">
        <w:rPr>
          <w:rFonts w:ascii="Times New Roman" w:hAnsi="Times New Roman" w:cs="Times New Roman"/>
          <w:sz w:val="24"/>
          <w:szCs w:val="24"/>
        </w:rPr>
        <w:tab/>
      </w:r>
      <w:r w:rsidRPr="000C2FFA">
        <w:rPr>
          <w:rFonts w:ascii="Times New Roman" w:hAnsi="Times New Roman" w:cs="Times New Roman"/>
          <w:sz w:val="24"/>
          <w:szCs w:val="24"/>
        </w:rPr>
        <w:tab/>
      </w:r>
      <w:r w:rsidRPr="000C2FFA">
        <w:rPr>
          <w:rFonts w:ascii="Times New Roman" w:hAnsi="Times New Roman" w:cs="Times New Roman"/>
          <w:sz w:val="24"/>
          <w:szCs w:val="24"/>
        </w:rPr>
        <w:tab/>
      </w:r>
      <w:r w:rsidRPr="000C2FFA">
        <w:rPr>
          <w:rFonts w:ascii="Times New Roman" w:hAnsi="Times New Roman" w:cs="Times New Roman"/>
          <w:sz w:val="24"/>
          <w:szCs w:val="24"/>
        </w:rPr>
        <w:tab/>
      </w:r>
      <w:r w:rsidRPr="000C2FFA">
        <w:rPr>
          <w:rFonts w:ascii="Times New Roman" w:hAnsi="Times New Roman" w:cs="Times New Roman"/>
          <w:sz w:val="24"/>
          <w:szCs w:val="24"/>
        </w:rPr>
        <w:tab/>
      </w:r>
      <w:r w:rsidRPr="000C2FF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ЮрійДЕЙНЕКА</w:t>
      </w:r>
      <w:proofErr w:type="spellEnd"/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Заступник міського голови з питань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2FFA">
        <w:rPr>
          <w:rFonts w:ascii="Times New Roman" w:hAnsi="Times New Roman" w:cs="Times New Roman"/>
          <w:sz w:val="24"/>
          <w:szCs w:val="24"/>
        </w:rPr>
        <w:t>Володимир  ДІДИЧ</w:t>
      </w: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діяльності виконавчих органів ради</w:t>
      </w: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Сергій НАДАЛ</w:t>
      </w: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FA" w:rsidRPr="000C2FFA" w:rsidRDefault="000C2FFA" w:rsidP="000C2FFA">
      <w:pPr>
        <w:tabs>
          <w:tab w:val="left" w:pos="41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FA">
        <w:rPr>
          <w:rFonts w:ascii="Times New Roman" w:hAnsi="Times New Roman" w:cs="Times New Roman"/>
          <w:sz w:val="24"/>
          <w:szCs w:val="24"/>
        </w:rPr>
        <w:t xml:space="preserve">Віталій </w:t>
      </w:r>
      <w:proofErr w:type="spellStart"/>
      <w:r w:rsidRPr="000C2FFA">
        <w:rPr>
          <w:rFonts w:ascii="Times New Roman" w:hAnsi="Times New Roman" w:cs="Times New Roman"/>
          <w:sz w:val="24"/>
          <w:szCs w:val="24"/>
        </w:rPr>
        <w:t>Захарчук</w:t>
      </w:r>
      <w:proofErr w:type="spellEnd"/>
      <w:r w:rsidRPr="000C2FFA">
        <w:rPr>
          <w:rFonts w:ascii="Times New Roman" w:hAnsi="Times New Roman" w:cs="Times New Roman"/>
          <w:sz w:val="24"/>
          <w:szCs w:val="24"/>
        </w:rPr>
        <w:t xml:space="preserve"> 25-07-21</w:t>
      </w:r>
    </w:p>
    <w:p w:rsidR="00000000" w:rsidRPr="000C2FFA" w:rsidRDefault="000C2FFA" w:rsidP="000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0C2FFA" w:rsidSect="00FF59C8">
      <w:headerReference w:type="default" r:id="rId12"/>
      <w:pgSz w:w="11906" w:h="16838"/>
      <w:pgMar w:top="851" w:right="849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22243"/>
      <w:docPartObj>
        <w:docPartGallery w:val="Page Numbers (Top of Page)"/>
        <w:docPartUnique/>
      </w:docPartObj>
    </w:sdtPr>
    <w:sdtEndPr/>
    <w:sdtContent>
      <w:p w:rsidR="00C574DF" w:rsidRDefault="000C2F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74DF" w:rsidRDefault="000C2F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E7B01"/>
    <w:multiLevelType w:val="hybridMultilevel"/>
    <w:tmpl w:val="5896F5F0"/>
    <w:lvl w:ilvl="0" w:tplc="03E0113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19C2EE7"/>
    <w:multiLevelType w:val="hybridMultilevel"/>
    <w:tmpl w:val="829AD1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CE4A67"/>
    <w:multiLevelType w:val="hybridMultilevel"/>
    <w:tmpl w:val="AFB41BB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7A3068BF"/>
    <w:multiLevelType w:val="hybridMultilevel"/>
    <w:tmpl w:val="7FA2D648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2FFA"/>
    <w:rsid w:val="000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0C2FF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2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C2F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2.emf"/><Relationship Id="rId5" Type="http://schemas.openxmlformats.org/officeDocument/2006/relationships/chart" Target="charts/chart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plotArea>
      <c:layout>
        <c:manualLayout>
          <c:layoutTarget val="inner"/>
          <c:xMode val="edge"/>
          <c:yMode val="edge"/>
          <c:x val="4.7138047138047229E-2"/>
          <c:y val="7.4257425742574323E-2"/>
          <c:w val="0.72895622895622858"/>
          <c:h val="0.673267326732673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Міста-побратими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 (10 місяців)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39-4DEC-8AE6-C004CC4F333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Партнерські міста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 (10 місяців)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16</c:v>
                </c:pt>
                <c:pt idx="3">
                  <c:v>19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39-4DEC-8AE6-C004CC4F33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Дружні міста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 (10 місяців)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39-4DEC-8AE6-C004CC4F333F}"/>
            </c:ext>
          </c:extLst>
        </c:ser>
        <c:dLbls>
          <c:showVal val="1"/>
        </c:dLbls>
        <c:gapDepth val="0"/>
        <c:shape val="box"/>
        <c:axId val="89683840"/>
        <c:axId val="89716992"/>
        <c:axId val="0"/>
      </c:bar3DChart>
      <c:catAx>
        <c:axId val="896838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89716992"/>
        <c:crosses val="autoZero"/>
        <c:auto val="1"/>
        <c:lblAlgn val="ctr"/>
        <c:lblOffset val="100"/>
        <c:tickLblSkip val="1"/>
        <c:tickMarkSkip val="1"/>
      </c:catAx>
      <c:valAx>
        <c:axId val="897169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896838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566977529389296"/>
          <c:y val="0.3461268920415595"/>
          <c:w val="0.16177384705503775"/>
          <c:h val="0.2567092452929698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682926829268435E-2"/>
          <c:y val="7.6923076923076927E-2"/>
          <c:w val="0.61280487804878248"/>
          <c:h val="0.653846153846153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Організація міжнародних заходів у місті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 (10 місяців)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</c:v>
                </c:pt>
                <c:pt idx="1">
                  <c:v>11</c:v>
                </c:pt>
                <c:pt idx="2">
                  <c:v>11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22-4C5C-A3DB-09A3A54D116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Організація міжнародних візитів представників міської ради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 (10 місяців)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25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22-4C5C-A3DB-09A3A54D116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Організація міжнародних візитів до міської ради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 (10 місяців)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42</c:v>
                </c:pt>
                <c:pt idx="1">
                  <c:v>49</c:v>
                </c:pt>
                <c:pt idx="2">
                  <c:v>54</c:v>
                </c:pt>
                <c:pt idx="3">
                  <c:v>51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22-4C5C-A3DB-09A3A54D116C}"/>
            </c:ext>
          </c:extLst>
        </c:ser>
        <c:dLbls>
          <c:showVal val="1"/>
        </c:dLbls>
        <c:gapDepth val="0"/>
        <c:shape val="box"/>
        <c:axId val="109549440"/>
        <c:axId val="119738368"/>
        <c:axId val="0"/>
      </c:bar3DChart>
      <c:catAx>
        <c:axId val="1095494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19738368"/>
        <c:crosses val="autoZero"/>
        <c:auto val="1"/>
        <c:lblAlgn val="ctr"/>
        <c:lblOffset val="100"/>
        <c:tickLblSkip val="1"/>
        <c:tickMarkSkip val="1"/>
      </c:catAx>
      <c:valAx>
        <c:axId val="1197383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09549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644893444923249"/>
          <c:y val="0.22054652742875205"/>
          <c:w val="0.32164634146341481"/>
          <c:h val="0.54945054945054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0A-4FAC-9DE6-0E0699512471}"/>
              </c:ext>
            </c:extLst>
          </c:dPt>
          <c:dPt>
            <c:idx val="1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0A-4FAC-9DE6-0E0699512471}"/>
              </c:ext>
            </c:extLst>
          </c:dPt>
          <c:dPt>
            <c:idx val="2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0A-4FAC-9DE6-0E0699512471}"/>
              </c:ext>
            </c:extLst>
          </c:dPt>
          <c:dPt>
            <c:idx val="3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0A-4FAC-9DE6-0E0699512471}"/>
              </c:ext>
            </c:extLst>
          </c:dPt>
          <c:dPt>
            <c:idx val="4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A0A-4FAC-9DE6-0E0699512471}"/>
              </c:ext>
            </c:extLst>
          </c:dPt>
          <c:dPt>
            <c:idx val="5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A0A-4FAC-9DE6-0E0699512471}"/>
              </c:ext>
            </c:extLst>
          </c:dPt>
          <c:dPt>
            <c:idx val="6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A0A-4FAC-9DE6-0E0699512471}"/>
              </c:ext>
            </c:extLst>
          </c:dPt>
          <c:dPt>
            <c:idx val="7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AF44-4C7E-AEF6-74C08AC7FFBA}"/>
              </c:ext>
            </c:extLst>
          </c:dPt>
          <c:dLbls>
            <c:dLbl>
              <c:idx val="0"/>
              <c:layout>
                <c:manualLayout>
                  <c:x val="-0.11464968152866249"/>
                  <c:y val="-4.9968605579518106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5169065650233213"/>
                      <c:h val="0.16927051826204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A0A-4FAC-9DE6-0E0699512471}"/>
                </c:ext>
              </c:extLst>
            </c:dLbl>
            <c:dLbl>
              <c:idx val="1"/>
              <c:layout>
                <c:manualLayout>
                  <c:x val="4.6709129511677279E-2"/>
                  <c:y val="-6.7475544320232922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0A-4FAC-9DE6-0E0699512471}"/>
                </c:ext>
              </c:extLst>
            </c:dLbl>
            <c:dLbl>
              <c:idx val="2"/>
              <c:layout>
                <c:manualLayout>
                  <c:x val="0"/>
                  <c:y val="0.16239850093691438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0A-4FAC-9DE6-0E0699512471}"/>
                </c:ext>
              </c:extLst>
            </c:dLbl>
            <c:dLbl>
              <c:idx val="3"/>
              <c:layout>
                <c:manualLayout>
                  <c:x val="-0.15074309978768596"/>
                  <c:y val="0.13324988811126925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730076734038819"/>
                      <c:h val="0.19737008201894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A0A-4FAC-9DE6-0E0699512471}"/>
                </c:ext>
              </c:extLst>
            </c:dLbl>
            <c:dLbl>
              <c:idx val="4"/>
              <c:layout>
                <c:manualLayout>
                  <c:x val="-0.1493883009846699"/>
                  <c:y val="-1.6393953254281727E-7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5873347041810857"/>
                      <c:h val="0.19737008201894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A0A-4FAC-9DE6-0E0699512471}"/>
                </c:ext>
              </c:extLst>
            </c:dLbl>
            <c:dLbl>
              <c:idx val="5"/>
              <c:layout>
                <c:manualLayout>
                  <c:x val="0"/>
                  <c:y val="-8.5846280457915758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555594563418426"/>
                      <c:h val="0.192821743628080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A0A-4FAC-9DE6-0E0699512471}"/>
                </c:ext>
              </c:extLst>
            </c:dLbl>
            <c:dLbl>
              <c:idx val="6"/>
              <c:layout>
                <c:manualLayout>
                  <c:x val="-3.8216560509554152E-2"/>
                  <c:y val="-2.914844888611285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A0A-4FAC-9DE6-0E0699512471}"/>
                </c:ext>
              </c:extLst>
            </c:dLbl>
            <c:dLbl>
              <c:idx val="7"/>
              <c:layout>
                <c:manualLayout>
                  <c:x val="-1.2738853503184752E-2"/>
                  <c:y val="-1.2492192379762649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F44-4C7E-AEF6-74C08AC7FFB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Проживання та харчування іноземних делегацій</c:v>
                </c:pt>
                <c:pt idx="1">
                  <c:v>Транспортне забезпечення міжнародних делегацій та заходів</c:v>
                </c:pt>
                <c:pt idx="2">
                  <c:v>Закупівля та виготовлення сувенірної продукції</c:v>
                </c:pt>
                <c:pt idx="3">
                  <c:v>Друк поліграфічної продукції</c:v>
                </c:pt>
                <c:pt idx="4">
                  <c:v>Організація туристичних заходів</c:v>
                </c:pt>
                <c:pt idx="5">
                  <c:v>Друк та розміщення соціальної реклами</c:v>
                </c:pt>
                <c:pt idx="6">
                  <c:v>Фінансова підтримка КП «ТІЦ м. Тернополя»</c:v>
                </c:pt>
                <c:pt idx="7">
                  <c:v>Інші витрати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280.10000000000002</c:v>
                </c:pt>
                <c:pt idx="1">
                  <c:v>53.4</c:v>
                </c:pt>
                <c:pt idx="2">
                  <c:v>100</c:v>
                </c:pt>
                <c:pt idx="3">
                  <c:v>432.1</c:v>
                </c:pt>
                <c:pt idx="4">
                  <c:v>219.3</c:v>
                </c:pt>
                <c:pt idx="5">
                  <c:v>398</c:v>
                </c:pt>
                <c:pt idx="6">
                  <c:v>200</c:v>
                </c:pt>
                <c:pt idx="7">
                  <c:v>179.8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A0A-4FAC-9DE6-0E0699512471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124423963133744E-2"/>
          <c:y val="4.4827586206896627E-2"/>
          <c:w val="0.9155145929339471"/>
          <c:h val="0.810344827586206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ysClr val="windowText" lastClr="000000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662221491160135E-3"/>
                  <c:y val="0.10352955506310223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lang="ru-RU" sz="1199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47-4AE5-BB12-3B2D5ED48300}"/>
                </c:ext>
              </c:extLst>
            </c:dLbl>
            <c:dLbl>
              <c:idx val="1"/>
              <c:layout>
                <c:manualLayout>
                  <c:x val="4.2646349496957689E-3"/>
                  <c:y val="0.10764455341285951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lang="ru-RU" sz="1199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47-4AE5-BB12-3B2D5ED48300}"/>
                </c:ext>
              </c:extLst>
            </c:dLbl>
            <c:dLbl>
              <c:idx val="2"/>
              <c:layout>
                <c:manualLayout>
                  <c:x val="0"/>
                  <c:y val="0.1043295299165449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47-4AE5-BB12-3B2D5ED48300}"/>
                </c:ext>
              </c:extLst>
            </c:dLbl>
            <c:dLbl>
              <c:idx val="3"/>
              <c:layout>
                <c:manualLayout>
                  <c:x val="7.0796460176990421E-3"/>
                  <c:y val="8.80600880600882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F0-4C33-9E6B-2F253C3C0166}"/>
                </c:ext>
              </c:extLst>
            </c:dLbl>
            <c:spPr>
              <a:noFill/>
              <a:ln w="253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199" b="1" i="0" u="none" strike="noStrike" baseline="0">
                    <a:solidFill>
                      <a:schemeClr val="bg1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dd/mm/yyyy">
                  <c:v>44136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119</c:v>
                </c:pt>
                <c:pt idx="1">
                  <c:v>204</c:v>
                </c:pt>
                <c:pt idx="2">
                  <c:v>464</c:v>
                </c:pt>
                <c:pt idx="3">
                  <c:v>249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F47-4AE5-BB12-3B2D5ED48300}"/>
            </c:ext>
          </c:extLst>
        </c:ser>
        <c:gapDepth val="0"/>
        <c:shape val="box"/>
        <c:axId val="122424704"/>
        <c:axId val="122471552"/>
        <c:axId val="0"/>
      </c:bar3DChart>
      <c:catAx>
        <c:axId val="12242470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1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22471552"/>
        <c:crosses val="autoZero"/>
        <c:auto val="1"/>
        <c:lblAlgn val="ctr"/>
        <c:lblOffset val="100"/>
        <c:tickLblSkip val="1"/>
        <c:tickMarkSkip val="1"/>
      </c:catAx>
      <c:valAx>
        <c:axId val="122471552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1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22424704"/>
        <c:crosses val="autoZero"/>
        <c:crossBetween val="between"/>
        <c:majorUnit val="60"/>
      </c:valAx>
      <c:spPr>
        <a:noFill/>
        <a:ln w="2538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4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097372488408042E-2"/>
          <c:y val="4.0498442367601292E-2"/>
          <c:w val="0.91344667697063353"/>
          <c:h val="0.825545171339563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ysClr val="windowText" lastClr="000000"/>
            </a:solidFill>
            <a:ln w="1265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5600202321243554E-3"/>
                  <c:y val="8.6144428321082434E-2"/>
                </c:manualLayout>
              </c:layout>
              <c:spPr>
                <a:noFill/>
                <a:ln w="25318">
                  <a:noFill/>
                </a:ln>
              </c:spPr>
              <c:txPr>
                <a:bodyPr/>
                <a:lstStyle/>
                <a:p>
                  <a:pPr>
                    <a:defRPr lang="ru-RU" sz="1196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99-4230-95CB-31A27CD019FA}"/>
                </c:ext>
              </c:extLst>
            </c:dLbl>
            <c:dLbl>
              <c:idx val="1"/>
              <c:layout>
                <c:manualLayout>
                  <c:x val="0"/>
                  <c:y val="8.45921450151057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99-4230-95CB-31A27CD019FA}"/>
                </c:ext>
              </c:extLst>
            </c:dLbl>
            <c:dLbl>
              <c:idx val="2"/>
              <c:layout>
                <c:manualLayout>
                  <c:x val="0"/>
                  <c:y val="0.1246429498831472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29-4194-B462-AB7BF28902B4}"/>
                </c:ext>
              </c:extLst>
            </c:dLbl>
            <c:dLbl>
              <c:idx val="3"/>
              <c:layout>
                <c:manualLayout>
                  <c:x val="1.1019283746556479E-2"/>
                  <c:y val="0.1194494936380160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F7-4501-9741-4253FF733D5D}"/>
                </c:ext>
              </c:extLst>
            </c:dLbl>
            <c:spPr>
              <a:noFill/>
              <a:ln w="2531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196" b="1" i="0" u="none" strike="noStrike" baseline="0">
                    <a:solidFill>
                      <a:schemeClr val="bg1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0</c:formatCode>
                <c:ptCount val="4"/>
                <c:pt idx="0" formatCode="General">
                  <c:v>2017</c:v>
                </c:pt>
                <c:pt idx="1">
                  <c:v>2018</c:v>
                </c:pt>
                <c:pt idx="2" formatCode="General">
                  <c:v>2019</c:v>
                </c:pt>
                <c:pt idx="3" formatCode="dd/mm/yyyy">
                  <c:v>44136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170</c:v>
                </c:pt>
                <c:pt idx="1">
                  <c:v>205</c:v>
                </c:pt>
                <c:pt idx="2">
                  <c:v>210</c:v>
                </c:pt>
                <c:pt idx="3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699-4230-95CB-31A27CD019FA}"/>
            </c:ext>
          </c:extLst>
        </c:ser>
        <c:gapDepth val="0"/>
        <c:shape val="box"/>
        <c:axId val="126460672"/>
        <c:axId val="126462208"/>
        <c:axId val="0"/>
      </c:bar3DChart>
      <c:catAx>
        <c:axId val="126460672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1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26462208"/>
        <c:crosses val="autoZero"/>
        <c:auto val="1"/>
        <c:lblAlgn val="ctr"/>
        <c:lblOffset val="100"/>
        <c:tickLblSkip val="1"/>
        <c:tickMarkSkip val="1"/>
      </c:catAx>
      <c:valAx>
        <c:axId val="126462208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1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26460672"/>
        <c:crosses val="autoZero"/>
        <c:crossBetween val="between"/>
        <c:majorUnit val="40"/>
      </c:valAx>
      <c:spPr>
        <a:noFill/>
        <a:ln w="2531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39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8974</Words>
  <Characters>5116</Characters>
  <Application>Microsoft Office Word</Application>
  <DocSecurity>0</DocSecurity>
  <Lines>42</Lines>
  <Paragraphs>28</Paragraphs>
  <ScaleCrop>false</ScaleCrop>
  <Company>Reanimator Extreme Edition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2020-11-02T14:37:00Z</dcterms:created>
  <dcterms:modified xsi:type="dcterms:W3CDTF">2020-11-02T14:38:00Z</dcterms:modified>
</cp:coreProperties>
</file>