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36" w:rsidRPr="001B1936" w:rsidRDefault="001B1936" w:rsidP="001B193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1B1936" w:rsidRDefault="001B1936" w:rsidP="001B193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1B1936" w:rsidRDefault="001B1936" w:rsidP="001B193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від __ .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.20___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 №____</w:t>
      </w:r>
    </w:p>
    <w:p w:rsidR="001B1936" w:rsidRPr="001B1936" w:rsidRDefault="001B1936" w:rsidP="001B1936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936" w:rsidRPr="001B1936" w:rsidRDefault="001B1936" w:rsidP="001B193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936" w:rsidRPr="001B1936" w:rsidRDefault="001B1936" w:rsidP="001B1936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Звіт </w:t>
      </w:r>
    </w:p>
    <w:p w:rsidR="001B1936" w:rsidRPr="001B1936" w:rsidRDefault="001B1936" w:rsidP="001B1936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відділу охорони здоров’я та медичного забезпечення</w:t>
      </w:r>
    </w:p>
    <w:p w:rsidR="001B1936" w:rsidRPr="001B1936" w:rsidRDefault="001B1936" w:rsidP="001B1936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Тернопільської міської ради</w:t>
      </w:r>
    </w:p>
    <w:p w:rsidR="001B1936" w:rsidRPr="001B1936" w:rsidRDefault="001B1936" w:rsidP="001B1936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</w:p>
    <w:p w:rsidR="001B1936" w:rsidRPr="001B1936" w:rsidRDefault="001B1936" w:rsidP="001B1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Головна мета</w:t>
      </w:r>
      <w:r w:rsidRPr="001B19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подальший динамічний розвиток системи охорони здоров’я міста в умовах пандемії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коронавірусної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хвороби, 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забезпечення доступної кваліфікованої медичної допомоги кожному </w:t>
      </w:r>
      <w:proofErr w:type="spellStart"/>
      <w:r w:rsidRPr="001B1936">
        <w:rPr>
          <w:rFonts w:ascii="Times New Roman" w:hAnsi="Times New Roman" w:cs="Times New Roman"/>
          <w:sz w:val="24"/>
          <w:szCs w:val="24"/>
          <w:lang w:eastAsia="ru-RU"/>
        </w:rPr>
        <w:t>тернополянину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та забезпечення високоякісної і доступної медичної допомоги населенню, 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>упорядкування мережі лікувально-профілактичних закладів, зміцнення їх матеріально-технічної бази</w:t>
      </w: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B1936" w:rsidRPr="001B1936" w:rsidRDefault="001B1936" w:rsidP="001B1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галузі охорони здоров’я міста функціонує 8 комунальних неприбуткових підприємств - закладів охорони здоров’я. Усі заклади охорони здоров’я надають медичну допомогу по Програмі медичних гарантій та уклали контракти із Національною службою охорони здоров’я України, а також отримують значну підтримку із бюджету Тернопільської міської територіальної громади шляхом виділення коштів на зміцнення матеріально-технічної бази, оплату праці медичним працівникам, оплату енергоносіїв, забезпечення безкоштовними медичними послугами та медикаментами пільгових категорій населення та інші видатки.</w:t>
      </w:r>
    </w:p>
    <w:p w:rsidR="001B1936" w:rsidRPr="001B1936" w:rsidRDefault="001B1936" w:rsidP="001B1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даному етапі свого розвитку галузь охорони здоров’я Тернопільської територіальної громади, реалізуючи державну політику, функціонує як єдиний медичний простір, що дає можливість отримати жителям громади і області повноцінну медичну допомогу від первинної ланки до високоспеціалізованої.</w:t>
      </w:r>
    </w:p>
    <w:p w:rsidR="001B1936" w:rsidRPr="001B1936" w:rsidRDefault="001B1936" w:rsidP="001B1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2020 році галузь «Охорона здоров’я» міста працювала в умовах пандемії, продовжувалась робота щодо </w:t>
      </w:r>
      <w:r w:rsidRPr="001B1936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зміцнення матеріально-технічної бази, оснащення медичною апаратурою, запроваджувались нові форми роботи і 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передового досвіду, втілення нових методик діагностики та лікування. </w:t>
      </w:r>
    </w:p>
    <w:p w:rsidR="001B1936" w:rsidRPr="001B1936" w:rsidRDefault="001B1936" w:rsidP="001B19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 утримання закладів охорони здоров’я міста в 2020 році передбачено видатки в сумі 196,8 </w:t>
      </w:r>
      <w:proofErr w:type="spellStart"/>
      <w:r w:rsidRPr="001B1936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., в тому числі субвенція з державного та обласного бюджетів 55,5 </w:t>
      </w:r>
      <w:proofErr w:type="spellStart"/>
      <w:r w:rsidRPr="001B1936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., в 2019 році видатки на утримання закладів становили 268,2 </w:t>
      </w:r>
      <w:proofErr w:type="spellStart"/>
      <w:r w:rsidRPr="001B1936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., в тому числі з державного бюджету 169,4 </w:t>
      </w:r>
      <w:proofErr w:type="spellStart"/>
      <w:r w:rsidRPr="001B1936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1B1936" w:rsidRPr="001B1936" w:rsidRDefault="001B1936" w:rsidP="001B1936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В 2020 році з міського бюджету на утримання закладів охорони здоров’я виділено  141,3 млн. грн., проти 2019 року – 98,8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936" w:rsidRPr="001B1936" w:rsidRDefault="001B1936" w:rsidP="001B1936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>В місті Тернополі діє Комплексна програма «Здоров’я громади» на 2019-2021 роки, яка фінансується за рахунок коштів міського бюджету. Основним завданням реалізації даної програми є забезпечення надання високоспеціалізованої, кваліфікованої своєчасної та якісної медичної допомоги.</w:t>
      </w:r>
    </w:p>
    <w:p w:rsidR="001B1936" w:rsidRPr="001B1936" w:rsidRDefault="001B1936" w:rsidP="001B193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Так, Тернопільською міською радою на </w:t>
      </w: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запобігання занесенню і поширенню на території Тернопільської міської територіальної громади гострої респіраторної хвороби, спричиненої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коронавірусом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1936">
        <w:rPr>
          <w:rFonts w:ascii="Times New Roman" w:hAnsi="Times New Roman" w:cs="Times New Roman"/>
          <w:bCs/>
          <w:sz w:val="24"/>
          <w:szCs w:val="24"/>
          <w:lang w:val="en-US" w:eastAsia="ru-RU"/>
        </w:rPr>
        <w:t>COVID</w:t>
      </w: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–19 протягом березня – вересня місяця було виділено 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52856,9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.: </w:t>
      </w:r>
    </w:p>
    <w:p w:rsidR="001B1936" w:rsidRPr="001B1936" w:rsidRDefault="001B1936" w:rsidP="001B1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на забезпечення медичних працівників засобами індивідуального захисту,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деззасобами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проведення швидких тестів та ІФА тестів серед медичних працівників, забезпечення медикаментами для лікування хворих на 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коронавірус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1936">
        <w:rPr>
          <w:rFonts w:ascii="Times New Roman" w:hAnsi="Times New Roman" w:cs="Times New Roman"/>
          <w:bCs/>
          <w:sz w:val="24"/>
          <w:szCs w:val="24"/>
          <w:lang w:val="en-US" w:eastAsia="ru-RU"/>
        </w:rPr>
        <w:t>COVID</w:t>
      </w: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19 – 7953,8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B1936" w:rsidRPr="001B1936" w:rsidRDefault="001B1936" w:rsidP="001B1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на виплату премій працівникам лікувальних закладів, які безпосередньо зайняті наданням медичної допомоги хворим на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коронавірус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1936">
        <w:rPr>
          <w:rFonts w:ascii="Times New Roman" w:hAnsi="Times New Roman" w:cs="Times New Roman"/>
          <w:bCs/>
          <w:sz w:val="24"/>
          <w:szCs w:val="24"/>
          <w:lang w:val="en-US" w:eastAsia="ru-RU"/>
        </w:rPr>
        <w:t>COVID</w:t>
      </w: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19 – 9757,7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B1936" w:rsidRPr="001B1936" w:rsidRDefault="001B1936" w:rsidP="001B1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на забезпечення виплати заробітної плати медичним працівникам 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ЗОЗ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  </w:t>
      </w:r>
      <w:r w:rsidRPr="001B1936">
        <w:rPr>
          <w:rFonts w:ascii="Times New Roman" w:hAnsi="Times New Roman" w:cs="Times New Roman"/>
          <w:bCs/>
          <w:sz w:val="24"/>
          <w:szCs w:val="24"/>
          <w:lang w:val="en-US" w:eastAsia="ru-RU"/>
        </w:rPr>
        <w:t>II</w:t>
      </w: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кварталі 2020 року – 8953,0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B1936" w:rsidRPr="001B1936" w:rsidRDefault="001B1936" w:rsidP="001B1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на придбання медичного обладнання - 24213,0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B1936" w:rsidRPr="001B1936" w:rsidRDefault="001B1936" w:rsidP="001B19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в т.ч.</w:t>
      </w:r>
      <w:r w:rsidRPr="001B19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Апарати</w:t>
      </w:r>
      <w:r w:rsidRPr="001B19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ШВЛ - 13шт.,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монітори спостережень пацієнта 15шт.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бронхоскоп</w:t>
      </w:r>
      <w:proofErr w:type="spellEnd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-  2шт, кисневе обладнання для 3-х закладів охорони здоров’я – 6730,0 </w:t>
      </w:r>
      <w:proofErr w:type="spellStart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B193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дефибрілятори</w:t>
      </w:r>
      <w:proofErr w:type="spellEnd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6шт.,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кисневі концентратори - 6шт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переносні </w:t>
      </w:r>
      <w:proofErr w:type="spellStart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ренгенапарати-</w:t>
      </w:r>
      <w:proofErr w:type="spellEnd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2шт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УЗД апарат – 1580,0 </w:t>
      </w:r>
      <w:proofErr w:type="spellStart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., </w:t>
      </w:r>
      <w:proofErr w:type="spellStart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ПЛР-система</w:t>
      </w:r>
      <w:proofErr w:type="spellEnd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887,5 </w:t>
      </w:r>
      <w:proofErr w:type="spellStart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інфузомати</w:t>
      </w:r>
      <w:proofErr w:type="spellEnd"/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- 11шт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1B1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інше медичне обладнання (рамки, шприцеві насоси, ЕКГ - апарати).</w:t>
      </w:r>
    </w:p>
    <w:p w:rsidR="001B1936" w:rsidRPr="001B1936" w:rsidRDefault="001B1936" w:rsidP="001B19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сприянням Тернопільської міської ради проведено збір благодійних коштів у освітніх закладах,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ВУЗах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міста, приватних та державних підприємствах міста, які були направлені на придбання обладнання, засобів індивідуального захисту та медикаментів для </w:t>
      </w: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хворих на 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коронавірус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1936">
        <w:rPr>
          <w:rFonts w:ascii="Times New Roman" w:hAnsi="Times New Roman" w:cs="Times New Roman"/>
          <w:bCs/>
          <w:sz w:val="24"/>
          <w:szCs w:val="24"/>
          <w:lang w:val="en-US" w:eastAsia="ru-RU"/>
        </w:rPr>
        <w:t>COVID</w:t>
      </w: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–19, сума коштів склала – 3626,2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А також, медичним закладам міста підприємцями, приватними особами було передано засоби індивідуального захисту, медикаменти,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деззасоби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та  вкрай необхідне медичне обладнання на суму біля 20,0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млн.грн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B1936" w:rsidRPr="001B1936" w:rsidRDefault="001B1936" w:rsidP="001B193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Так, благодійниками передано лікувальним закладам 13 апаратів ШВЛ, монітори догляду за важкохворими – 23 шт., апарат УЗД вартістю майже 1,0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млн.грн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., біохімічні та гематологічні аналізатори – 2 шт., шприцеві насоси та інше обладнання.</w:t>
      </w:r>
    </w:p>
    <w:p w:rsidR="001B1936" w:rsidRPr="001B1936" w:rsidRDefault="001B1936" w:rsidP="001B193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 обласного бюджету на заходи щодо подолання пандемії </w:t>
      </w:r>
      <w:r w:rsidRPr="001B1936">
        <w:rPr>
          <w:rFonts w:ascii="Times New Roman" w:hAnsi="Times New Roman" w:cs="Times New Roman"/>
          <w:bCs/>
          <w:sz w:val="24"/>
          <w:szCs w:val="24"/>
          <w:lang w:val="en-US" w:eastAsia="ru-RU"/>
        </w:rPr>
        <w:t>COVID</w:t>
      </w: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-19 КНП «Тернопільська міська комунальна лікарня швидкої допомоги» виділено 1500,0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., в тому числі на придбання ЗІЗ – 500,0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., на придбання медичного обладнання 1000,0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(переносний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рентгенапарат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інфузомат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11 шт., монітор спостереження пацієнта – 4 шт.).</w:t>
      </w:r>
    </w:p>
    <w:p w:rsidR="001B1936" w:rsidRPr="001B1936" w:rsidRDefault="001B1936" w:rsidP="001B1936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На виконання заходів програми з метою забезпечення потреб малозабезпечених, соціально незахищених, пільгових верст населення безкоштовними медикаментами, виробами медичного призначення, лікувальним харчуванням заплановано видатки в сумі 13,3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., в т.ч. на забезпечення хворих на цукровий діабет 6,1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. В 2019 році видатки склали 17,7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., в т.ч. на забезпечення хворих на цукровий діабет 10,9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936" w:rsidRPr="001B1936" w:rsidRDefault="001B1936" w:rsidP="001B1936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На впровадження новітніх методик лікування хворих на серцево-судинні захворювання видатки склали 0,5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., в 2019 році видатки склали 0,4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936" w:rsidRPr="001B1936" w:rsidRDefault="001B1936" w:rsidP="001B1936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забезпечення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належному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рівні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надання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стоматологічної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допомоги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дитячому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населенню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міського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бюджету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виділено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кошти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сумі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4,6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B1936" w:rsidRPr="001B1936" w:rsidRDefault="001B1936" w:rsidP="001B1936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В 2020 році видатки на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безкоштовне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зубне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протезування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пільгових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категорій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населення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936">
        <w:rPr>
          <w:rFonts w:ascii="Times New Roman" w:hAnsi="Times New Roman" w:cs="Times New Roman"/>
          <w:color w:val="000000"/>
          <w:sz w:val="24"/>
          <w:szCs w:val="24"/>
        </w:rPr>
        <w:t>проводяться виключно з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рахунок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коштів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міського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бюджету</w:t>
      </w: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, видатки склали 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1,1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, в 2019 році видатки на пільгове зубопротезування склали 1,2 млн. грн., в тому числі за рахунок коштів медичної субвенції – 0,8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936" w:rsidRPr="001B1936" w:rsidRDefault="001B1936" w:rsidP="001B1936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На покращення надання медичної допомоги учасникам АТО та членів їх сімей спрямовано 1,6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., в т.ч. на безкоштовне зубне протезування 1,0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. В 2019 році видатки склали 1,1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., в т.ч. зубне протезування 0,8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936" w:rsidRPr="001B1936" w:rsidRDefault="001B1936" w:rsidP="001B1936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На проведення безкоштовних профілактичних оглядів серед працівників бюджетної сфери, оплату праці військово-лікарської комісії, надання меддопомоги у навчальних закладах, утриманні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ФАПів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 в населених пунктах ТМТГ з міського бюджету заплановано 9,7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936" w:rsidRPr="001B1936" w:rsidRDefault="001B1936" w:rsidP="001B193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Крім, того по програмі виділено кошти міського бюджету на зміцнення матеріально-технічного бази та проведення капітальних ремонтів в закладах охорони здоров’я в сумі 16,2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млн.грн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(2019 рік – 17,4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млн.грн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.):</w:t>
      </w:r>
    </w:p>
    <w:p w:rsidR="001B1936" w:rsidRPr="001B1936" w:rsidRDefault="001B1936" w:rsidP="001B193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КНП «Тернопільська міська комунальна лікарня швидкої допомоги» - придбано обладнання на суму 2110,0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саме: столи операційні в кількості 2шт. на суму 758,6тис.грн, лампи операційні 3шт. на суму 510,0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., пересувний апарат для анестезії – 532,1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., дефібрилятори – 309,3 Завершуються роботи по капітальному ремонту хірургічного відділення, вартість робіт складе 1000,0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Розпочато роботи по заміні вікон та дверей в лікарні, вартість робіт складе 3624,2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(з міського бюджету виділено кошти в сумі 1624,2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.).  </w:t>
      </w:r>
    </w:p>
    <w:p w:rsidR="001B1936" w:rsidRPr="001B1936" w:rsidRDefault="001B1936" w:rsidP="001B193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КНП «Тернопільська комунальна міська лікарня №2» - придбано обладнання на суму 4380,0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саме: УЗД апарат для кардіології  на суму 2000,0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апарат ШВЛ – 2 шт. на суму 1600,0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., кардіомонітори в кількості 4шт. на суму 200,0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комп’ютерна техніка в сумі 99,4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та інше медобладнання. Проведено капітальний ремонт приміщення лікарні на суму 300,0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B1936" w:rsidRPr="001B1936" w:rsidRDefault="001B1936" w:rsidP="001B193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КНП «Міська комунальна лікарня № 3» ТМР – 765,0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.: придбано функціональні ліжка на суму 310,0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., шприцеві насоси 4 шт. на суму 125,0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., концентратори кисню 186,0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та інше медобладнання. Завершуються роботи по капітальному ремонту відділення паліативної та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хоспісної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терапії  по вул. Стрілецька 11,с.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Малашівці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Зборівського району, вартість робіт складе 3007,7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В 2019 році спрямовано кошти 3170,8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., в т.ч. субвенція з державного бюджету 1455,1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B1936" w:rsidRPr="001B1936" w:rsidRDefault="001B1936" w:rsidP="001B193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КНП «Тернопільська міська дитяча комунальна лікарня» -  проведено капітальний ремонт відділення відновного лікування №2, на який виділено кошти в сумі 1492,7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B1936" w:rsidRPr="001B1936" w:rsidRDefault="001B1936" w:rsidP="001B193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КП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«Тернопільський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лікувально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діагностичний центр» ТМР - придбано медичне обладнання в сумі 383,6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саме: аналізатор біохімічний в сумі 126,4тис.грн., мікроскоп – 57,0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 та інше медичне обладнання. Завершується капітальний ремонт приміщень на суму 634,7тис.грн.</w:t>
      </w:r>
    </w:p>
    <w:p w:rsidR="001B1936" w:rsidRPr="001B1936" w:rsidRDefault="001B1936" w:rsidP="001B19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КНП «Тернопільська міська стоматологічна поліклініка № 1» ТМР - придбано обладнання на суму 304,0тис.грн, а саме: установка стоматологічна в кількості 2шт. на суму 176,3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рентгенологічне обладнання та компресор – 127,7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Проведено капітальний ремонт філіалу поліклініки по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вул.С.Стадникової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,1 на суму 180,0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B1936" w:rsidRPr="001B1936" w:rsidRDefault="001B1936" w:rsidP="001B193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На базі опорних лікарень: КНП «Тернопільська міська комунальна лікарня швидкої допомоги» та КНП «Тернопільська комунальна міська лікарня № 2» розпочато проведення робіт по реконструкції приймальних відділень  під відділення невідкладної допомоги, на що виділено кошти в сумі 20572,0 </w:t>
      </w:r>
      <w:proofErr w:type="spellStart"/>
      <w:r w:rsidRPr="001B1936">
        <w:rPr>
          <w:rFonts w:ascii="Times New Roman" w:hAnsi="Times New Roman" w:cs="Times New Roman"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., в тому числі з міського бюджету 4155,36 </w:t>
      </w:r>
      <w:proofErr w:type="spellStart"/>
      <w:r w:rsidRPr="001B1936">
        <w:rPr>
          <w:rFonts w:ascii="Times New Roman" w:hAnsi="Times New Roman" w:cs="Times New Roman"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., з державного бюджету виділено субвенцію на суму 16416,64 </w:t>
      </w:r>
      <w:proofErr w:type="spellStart"/>
      <w:r w:rsidRPr="001B1936">
        <w:rPr>
          <w:rFonts w:ascii="Times New Roman" w:hAnsi="Times New Roman" w:cs="Times New Roman"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B1936" w:rsidRPr="001B1936" w:rsidRDefault="001B1936" w:rsidP="001B1936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Вперше за тривалий період часу закладам охорони здоров’я міста виділено кошти та проведено поточні ремонти санвузлів на загальну суму 2960,0 </w:t>
      </w:r>
      <w:proofErr w:type="spellStart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тис.грн</w:t>
      </w:r>
      <w:proofErr w:type="spellEnd"/>
      <w:r w:rsidRPr="001B193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B1936" w:rsidRPr="001B1936" w:rsidRDefault="001B1936" w:rsidP="001B1936">
      <w:pPr>
        <w:shd w:val="clear" w:color="auto" w:fill="FFFFFF"/>
        <w:spacing w:after="0" w:line="240" w:lineRule="auto"/>
        <w:ind w:right="-6" w:firstLine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Також з міського бюджету виділено кошти на оплату енергоносіїв в сумі 22,25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., проти 2019 року – 27,5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936" w:rsidRPr="001B1936" w:rsidRDefault="001B1936" w:rsidP="001B1936">
      <w:pPr>
        <w:shd w:val="clear" w:color="auto" w:fill="FFFFFF"/>
        <w:spacing w:before="45" w:after="0" w:line="240" w:lineRule="auto"/>
        <w:ind w:left="45" w:right="45" w:firstLine="48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   За 9 місяців 2020 року  закладами охорони здоров’я отримано додатково власних надходжень в сумі 42,1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. (2019 рік – 23,9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.), в тому числі:</w:t>
      </w:r>
    </w:p>
    <w:p w:rsidR="001B1936" w:rsidRPr="001B1936" w:rsidRDefault="001B1936" w:rsidP="001B1936">
      <w:pPr>
        <w:numPr>
          <w:ilvl w:val="0"/>
          <w:numId w:val="1"/>
        </w:numPr>
        <w:shd w:val="clear" w:color="auto" w:fill="FFFFFF"/>
        <w:spacing w:before="45"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від надання платних послуг, за договорами та ін. – 11,1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936" w:rsidRPr="001B1936" w:rsidRDefault="001B1936" w:rsidP="001B1936">
      <w:pPr>
        <w:numPr>
          <w:ilvl w:val="0"/>
          <w:numId w:val="1"/>
        </w:numPr>
        <w:shd w:val="clear" w:color="auto" w:fill="FFFFFF"/>
        <w:spacing w:before="45"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від надання в оренду нежитлових приміщень – 2,0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936" w:rsidRPr="001B1936" w:rsidRDefault="001B1936" w:rsidP="001B1936">
      <w:pPr>
        <w:numPr>
          <w:ilvl w:val="0"/>
          <w:numId w:val="1"/>
        </w:numPr>
        <w:shd w:val="clear" w:color="auto" w:fill="FFFFFF"/>
        <w:spacing w:before="45"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доходи від депозиту – 0,5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936" w:rsidRPr="001B1936" w:rsidRDefault="001B1936" w:rsidP="001B1936">
      <w:pPr>
        <w:numPr>
          <w:ilvl w:val="0"/>
          <w:numId w:val="1"/>
        </w:numPr>
        <w:shd w:val="clear" w:color="auto" w:fill="FFFFFF"/>
        <w:spacing w:before="45"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від благодійної допомоги – 28,5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 xml:space="preserve">., в тому числі в натуральній формі 24,1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</w:rPr>
        <w:t>млн.грн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1936" w:rsidRPr="001B1936" w:rsidRDefault="001B1936" w:rsidP="001B1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Демографічна ситуація в місті залишається стабільною. 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Народжуваність переважає над смертністю. 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Так, за </w:t>
      </w:r>
      <w:r w:rsidRPr="001B1936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 місяців 2020 року  в місті народилось 1904 новонароджених ( за 9 місяців 2019 року – 2146). Смертність дітей першого року життя - це показник, що найбільше адекватно характеризує рівень  організації медичної  допомоги  дітям. Показник дитячої смертності по місту за </w:t>
      </w:r>
      <w:r w:rsidRPr="001B193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9 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місяців 2020 року становить </w:t>
      </w:r>
      <w:r w:rsidRPr="001B1936">
        <w:rPr>
          <w:rFonts w:ascii="Times New Roman" w:hAnsi="Times New Roman" w:cs="Times New Roman"/>
          <w:sz w:val="24"/>
          <w:szCs w:val="24"/>
          <w:lang w:val="ru-RU" w:eastAsia="ru-RU"/>
        </w:rPr>
        <w:t>3,2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 на 1000 новонароджених (</w:t>
      </w:r>
      <w:r w:rsidRPr="001B1936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 дітей).  За 9 місяців 2019 року показник дитячої смертності становив 2,3 (5 дітей). Ефективним шляхом зменшення дитячих втрат є впровадження сучасних </w:t>
      </w:r>
      <w:proofErr w:type="spellStart"/>
      <w:r w:rsidRPr="001B1936">
        <w:rPr>
          <w:rFonts w:ascii="Times New Roman" w:hAnsi="Times New Roman" w:cs="Times New Roman"/>
          <w:sz w:val="24"/>
          <w:szCs w:val="24"/>
          <w:lang w:eastAsia="ru-RU"/>
        </w:rPr>
        <w:t>перинатальних</w:t>
      </w:r>
      <w:proofErr w:type="spellEnd"/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технологій для запобігання патологічним станам у </w:t>
      </w:r>
      <w:proofErr w:type="spellStart"/>
      <w:r w:rsidRPr="001B1936">
        <w:rPr>
          <w:rFonts w:ascii="Times New Roman" w:hAnsi="Times New Roman" w:cs="Times New Roman"/>
          <w:sz w:val="24"/>
          <w:szCs w:val="24"/>
          <w:lang w:eastAsia="ru-RU"/>
        </w:rPr>
        <w:t>породіль</w:t>
      </w:r>
      <w:proofErr w:type="spellEnd"/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 та немовлят, створення умов для безпечних пологів, ефективного своєчасного лікування станів, що виникають у </w:t>
      </w:r>
      <w:proofErr w:type="spellStart"/>
      <w:r w:rsidRPr="001B1936">
        <w:rPr>
          <w:rFonts w:ascii="Times New Roman" w:hAnsi="Times New Roman" w:cs="Times New Roman"/>
          <w:sz w:val="24"/>
          <w:szCs w:val="24"/>
          <w:lang w:eastAsia="ru-RU"/>
        </w:rPr>
        <w:t>перинатальному</w:t>
      </w:r>
      <w:proofErr w:type="spellEnd"/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 періоді. </w:t>
      </w:r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Функціонує палата інтенсивної терапії для новонароджених. Створено умови для надання невідкладної допомоги </w:t>
      </w:r>
      <w:proofErr w:type="spellStart"/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маловаговим</w:t>
      </w:r>
      <w:proofErr w:type="spellEnd"/>
      <w:r w:rsidRPr="001B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новонародженим. </w:t>
      </w:r>
    </w:p>
    <w:p w:rsidR="001B1936" w:rsidRPr="001B1936" w:rsidRDefault="001B1936" w:rsidP="001B1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B1936">
        <w:rPr>
          <w:rFonts w:ascii="Times New Roman" w:eastAsia="Calibri" w:hAnsi="Times New Roman" w:cs="Times New Roman"/>
          <w:sz w:val="24"/>
          <w:szCs w:val="24"/>
          <w:lang w:eastAsia="en-US"/>
        </w:rPr>
        <w:t>Епідситуація</w:t>
      </w:r>
      <w:proofErr w:type="spellEnd"/>
      <w:r w:rsidRPr="001B1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території Тернопільської міської територіальної громади залишається стабільно нестійкою.</w:t>
      </w:r>
    </w:p>
    <w:p w:rsidR="001B1936" w:rsidRPr="001B1936" w:rsidRDefault="001B1936" w:rsidP="001B1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Станом на 21.10.2020р. (224-й день карантину), на території Тернопільської міської територіальної  громади продовжує ускладнюватись епідемічна ситуація щодо захворюваності на 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val="en-US" w:eastAsia="ru-RU"/>
        </w:rPr>
        <w:t>COVID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-19, так,  зареєстровано  4947  лабораторно підтверджених випадків COVID-19 методом ПЛР,  що склало 318,7 на 100 тис. населення за останні 14 днів.</w:t>
      </w:r>
    </w:p>
    <w:p w:rsidR="001B1936" w:rsidRPr="001B1936" w:rsidRDefault="001B1936" w:rsidP="001B1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Звертає на себе увагу зростання захворюваності серед медичних працівників,  що становить 195 випадків, активно хворих 58. </w:t>
      </w:r>
    </w:p>
    <w:p w:rsidR="001B1936" w:rsidRPr="001B1936" w:rsidRDefault="001B1936" w:rsidP="001B1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Згідно постанови Кабінету Міністрів України від 12 серпня 2020 року № 712 «Про внесення змін до постанови Кабінету Міністрів України від 24 квітня 2020 року № 331 і від 22 липня 2020 року №641», критеріями оцінки епідеміологічної небезпеки є:</w:t>
      </w:r>
    </w:p>
    <w:p w:rsidR="001B1936" w:rsidRPr="001B1936" w:rsidRDefault="001B1936" w:rsidP="001B1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lastRenderedPageBreak/>
        <w:t xml:space="preserve">Завантаженість ліжок у закладах охорони здоров’я, визначених для госпіталізації пацієнтів з підтвердженим 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val="en-US" w:eastAsia="ru-RU"/>
        </w:rPr>
        <w:t>COVID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-19 і становить на території ТМТГ - 02.09.2020 року – 45,66% (критерій не більше, як 50 відсотків протягом п’яти днів підряд).</w:t>
      </w:r>
    </w:p>
    <w:p w:rsidR="001B1936" w:rsidRPr="001B1936" w:rsidRDefault="001B1936" w:rsidP="001B1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Середня кількість тестувань методом ПЛР та ІФА та становить – 62,6 на 100 </w:t>
      </w:r>
      <w:proofErr w:type="spellStart"/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тис.населення</w:t>
      </w:r>
      <w:proofErr w:type="spellEnd"/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 (критерій - не менше, як 24 тестувань на 100 </w:t>
      </w:r>
      <w:proofErr w:type="spellStart"/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тис.населення</w:t>
      </w:r>
      <w:proofErr w:type="spellEnd"/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 протягом останніх семи днів).</w:t>
      </w:r>
    </w:p>
    <w:p w:rsidR="001B1936" w:rsidRPr="001B1936" w:rsidRDefault="001B1936" w:rsidP="001B1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Показник захворюваності на 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val="en-US" w:eastAsia="ru-RU"/>
        </w:rPr>
        <w:t>COVID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val="ru-RU" w:eastAsia="ru-RU"/>
        </w:rPr>
        <w:t>-19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 за 14 днів  –318,7 на 100 </w:t>
      </w:r>
      <w:proofErr w:type="spellStart"/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тис.населення</w:t>
      </w:r>
      <w:proofErr w:type="spellEnd"/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 за 14 днів (базовий рівень захворюваності-40 вип. на 100 тис. населення, від 40 до 120 «жовтий», від  120 до 240 «помаранчевий» , більше 240 « червоний»).</w:t>
      </w:r>
    </w:p>
    <w:p w:rsidR="001B1936" w:rsidRPr="001B1936" w:rsidRDefault="001B1936" w:rsidP="001B1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В місті розгорнуто 321 ліжко для хворих </w:t>
      </w:r>
      <w:proofErr w:type="spellStart"/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коронавірусною</w:t>
      </w:r>
      <w:proofErr w:type="spellEnd"/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 хворобою 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val="en-US" w:eastAsia="ru-RU"/>
        </w:rPr>
        <w:t>C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О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val="en-US" w:eastAsia="ru-RU"/>
        </w:rPr>
        <w:t>VID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-19 (з 18 серпня 2020 року в КНП «ТМКЛШД» розгорнуто інфекційний госпіталь на 135 ліжок,  в КНП  «МКЛ №3» ТМР  з 21.08.2020 року розгорнуто 50 ліжок, в КНП «ТМДКЛ» розгорнуто 56 ліжок, в КНП «ТКМЛ №2» -50 ліжок) . Станом на даний момент в закладах охорони здоров’я міста  знаходиться 185 хворих, з них 35 осіб з підозрою на 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val="en-US" w:eastAsia="ru-RU"/>
        </w:rPr>
        <w:t>COVID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-19. Один хворий з підозрою на 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val="en-US" w:eastAsia="ru-RU"/>
        </w:rPr>
        <w:t>COVID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-19 займає 4 ліжка згідно принципів інфекційного контролю. На амбулаторному лікуванні знаходиться 1163 хворих, на самоізоляції—515 осіб, одужало 3315 осіб. Зафіксовано в ТМТГ 51 смертельний випадок. Слід зауважити, що є труднощі із госпіталізацією хворих (з підозрою на 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val="en-US" w:eastAsia="ru-RU"/>
        </w:rPr>
        <w:t>COVID</w:t>
      </w:r>
      <w:r w:rsidRPr="001B1936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-19) та кількістю медичних працівників в закладах охорони здоров’я.</w:t>
      </w:r>
    </w:p>
    <w:p w:rsidR="001B1936" w:rsidRPr="001B1936" w:rsidRDefault="001B1936" w:rsidP="001B1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936" w:rsidRPr="001B1936" w:rsidRDefault="001B1936" w:rsidP="001B1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936" w:rsidRPr="001B1936" w:rsidRDefault="001B1936" w:rsidP="001B1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відділу </w:t>
      </w: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охорони здоров’я та </w:t>
      </w: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медичного забезпечення  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>Василь ДАНЬЧАК</w:t>
      </w: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Заступник міського голови </w:t>
      </w: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z w:val="24"/>
          <w:szCs w:val="24"/>
          <w:lang w:eastAsia="ru-RU"/>
        </w:rPr>
        <w:t xml:space="preserve">з питань діяльності виконавчих </w:t>
      </w: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z w:val="24"/>
          <w:szCs w:val="24"/>
          <w:lang w:eastAsia="ru-RU"/>
        </w:rPr>
        <w:t>органів ради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  <w:t>Володимир ДІДИЧ</w:t>
      </w: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936">
        <w:rPr>
          <w:rFonts w:ascii="Times New Roman" w:hAnsi="Times New Roman" w:cs="Times New Roman"/>
          <w:sz w:val="24"/>
          <w:szCs w:val="24"/>
          <w:lang w:eastAsia="ru-RU"/>
        </w:rPr>
        <w:t>Міський голова</w:t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1936">
        <w:rPr>
          <w:rFonts w:ascii="Times New Roman" w:hAnsi="Times New Roman" w:cs="Times New Roman"/>
          <w:sz w:val="24"/>
          <w:szCs w:val="24"/>
          <w:lang w:eastAsia="ru-RU"/>
        </w:rPr>
        <w:tab/>
        <w:t>Сергій НАДАЛ</w:t>
      </w:r>
    </w:p>
    <w:p w:rsidR="001B1936" w:rsidRPr="001B1936" w:rsidRDefault="001B1936" w:rsidP="001B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000" w:rsidRPr="001B1936" w:rsidRDefault="001B1936" w:rsidP="001B1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1B1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DAA"/>
    <w:multiLevelType w:val="hybridMultilevel"/>
    <w:tmpl w:val="3962DCFC"/>
    <w:lvl w:ilvl="0" w:tplc="D0C0F51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1936"/>
    <w:rsid w:val="001B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8331</Words>
  <Characters>4750</Characters>
  <Application>Microsoft Office Word</Application>
  <DocSecurity>0</DocSecurity>
  <Lines>39</Lines>
  <Paragraphs>26</Paragraphs>
  <ScaleCrop>false</ScaleCrop>
  <Company>Reanimator Extreme Edition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2020-10-28T14:36:00Z</dcterms:created>
  <dcterms:modified xsi:type="dcterms:W3CDTF">2020-10-28T14:37:00Z</dcterms:modified>
</cp:coreProperties>
</file>