
<file path=[Content_Types].xml><?xml version="1.0" encoding="utf-8"?>
<Types xmlns="http://schemas.openxmlformats.org/package/2006/content-types">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31" w:rsidRDefault="000C7D31" w:rsidP="000C7D31">
      <w:pPr>
        <w:spacing w:after="0"/>
      </w:pPr>
    </w:p>
    <w:p w:rsidR="000C7D31" w:rsidRDefault="000C7D31" w:rsidP="000C7D31">
      <w:pPr>
        <w:tabs>
          <w:tab w:val="left" w:pos="3375"/>
        </w:tabs>
        <w:spacing w:after="0" w:line="240" w:lineRule="auto"/>
        <w:rPr>
          <w:rFonts w:ascii="Times New Roman" w:eastAsia="Calibri" w:hAnsi="Times New Roman" w:cs="Times New Roman"/>
          <w:b/>
          <w:sz w:val="24"/>
          <w:szCs w:val="24"/>
        </w:rPr>
      </w:pPr>
      <w:r>
        <w:tab/>
      </w:r>
      <w:r>
        <w:tab/>
      </w:r>
      <w:r>
        <w:tab/>
      </w:r>
      <w:r>
        <w:tab/>
      </w:r>
      <w:r>
        <w:tab/>
      </w:r>
      <w:r>
        <w:rPr>
          <w:rFonts w:ascii="Times New Roman" w:eastAsia="Calibri" w:hAnsi="Times New Roman" w:cs="Times New Roman"/>
          <w:sz w:val="24"/>
          <w:szCs w:val="24"/>
        </w:rPr>
        <w:t>Додаток</w:t>
      </w:r>
    </w:p>
    <w:p w:rsidR="000C7D31" w:rsidRDefault="000C7D31" w:rsidP="000C7D31">
      <w:pPr>
        <w:tabs>
          <w:tab w:val="left" w:pos="337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до рішення виконавчого комітету</w:t>
      </w:r>
    </w:p>
    <w:p w:rsidR="000C7D31" w:rsidRDefault="000C7D31" w:rsidP="000C7D31">
      <w:pPr>
        <w:tabs>
          <w:tab w:val="left" w:pos="337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від___.___.20___</w:t>
      </w:r>
    </w:p>
    <w:p w:rsidR="000C7D31" w:rsidRDefault="000C7D31" w:rsidP="000C7D31">
      <w:pPr>
        <w:tabs>
          <w:tab w:val="left" w:pos="337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sz w:val="24"/>
          <w:szCs w:val="24"/>
        </w:rPr>
        <w:t>№_____</w:t>
      </w:r>
    </w:p>
    <w:p w:rsidR="000C7D31" w:rsidRDefault="000C7D31" w:rsidP="000C7D31">
      <w:pPr>
        <w:tabs>
          <w:tab w:val="left" w:pos="3375"/>
        </w:tabs>
        <w:spacing w:after="0" w:line="240" w:lineRule="auto"/>
        <w:rPr>
          <w:rFonts w:ascii="Times New Roman" w:eastAsia="Calibri" w:hAnsi="Times New Roman" w:cs="Times New Roman"/>
          <w:b/>
          <w:sz w:val="24"/>
          <w:szCs w:val="24"/>
        </w:rPr>
      </w:pPr>
    </w:p>
    <w:p w:rsidR="000C7D31" w:rsidRDefault="000C7D31" w:rsidP="000C7D31">
      <w:pPr>
        <w:tabs>
          <w:tab w:val="left" w:pos="337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Звіт</w:t>
      </w:r>
    </w:p>
    <w:p w:rsidR="000C7D31" w:rsidRDefault="000C7D31" w:rsidP="000C7D31">
      <w:pPr>
        <w:tabs>
          <w:tab w:val="left" w:pos="337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 роботу відділу державного архітектурно-будівельного контролю</w:t>
      </w:r>
    </w:p>
    <w:p w:rsidR="000C7D31" w:rsidRDefault="000C7D31" w:rsidP="000C7D31">
      <w:pPr>
        <w:tabs>
          <w:tab w:val="left" w:pos="337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Тернопільської міської ради за 2019-2020</w:t>
      </w:r>
    </w:p>
    <w:p w:rsidR="000C7D31" w:rsidRDefault="000C7D31" w:rsidP="000C7D31">
      <w:pPr>
        <w:tabs>
          <w:tab w:val="left" w:pos="3375"/>
        </w:tabs>
        <w:spacing w:after="0" w:line="240" w:lineRule="auto"/>
        <w:rPr>
          <w:rFonts w:ascii="Times New Roman" w:eastAsia="Calibri" w:hAnsi="Times New Roman" w:cs="Times New Roman"/>
          <w:b/>
          <w:sz w:val="24"/>
          <w:szCs w:val="24"/>
        </w:rPr>
      </w:pPr>
    </w:p>
    <w:p w:rsidR="000C7D31" w:rsidRDefault="000C7D31" w:rsidP="000C7D31">
      <w:pPr>
        <w:spacing w:after="0" w:line="240" w:lineRule="auto"/>
        <w:ind w:right="-2" w:firstLine="708"/>
        <w:jc w:val="both"/>
        <w:rPr>
          <w:rFonts w:ascii="Times New Roman" w:eastAsia="Calibri" w:hAnsi="Times New Roman" w:cs="Times New Roman"/>
          <w:b/>
          <w:i/>
          <w:sz w:val="26"/>
          <w:szCs w:val="26"/>
        </w:rPr>
      </w:pPr>
      <w:r>
        <w:rPr>
          <w:rFonts w:ascii="Times New Roman" w:eastAsia="Calibri" w:hAnsi="Times New Roman" w:cs="Times New Roman"/>
          <w:sz w:val="24"/>
          <w:szCs w:val="24"/>
          <w:lang w:eastAsia="en-GB"/>
        </w:rPr>
        <w:t xml:space="preserve">Відділ державного архітектурно-будівельного контролю Тернопільської міської ради (далі - Відділ) є виконавчим органом Тернопільської міської ради, нею утворюється, їй підзвітний та підконтрольний, підпорядкований виконавчому комітету та міському голові. </w:t>
      </w:r>
    </w:p>
    <w:p w:rsidR="000C7D31" w:rsidRDefault="000C7D31" w:rsidP="000C7D31">
      <w:pPr>
        <w:spacing w:after="0" w:line="240" w:lineRule="auto"/>
        <w:ind w:right="-2" w:firstLine="708"/>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Відділ з питань здійснення повноважень, передбачених Законом України “Про регулювання містобудівної діяльності”, є підконтрольним Державній архітектурно-будівельній інспекції України (далі – Держархбудінспекції).</w:t>
      </w:r>
    </w:p>
    <w:p w:rsidR="000C7D31" w:rsidRDefault="000C7D31" w:rsidP="000C7D31">
      <w:pPr>
        <w:spacing w:after="0" w:line="240" w:lineRule="auto"/>
        <w:ind w:right="-2" w:firstLine="708"/>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Відділ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розвитку громад та територій України, а також Держархбудінспекції, рішеннями Тернопільської міської ради та її виконавчого комітету, розпорядженнями міського голови, стандартом ISO 9001:2015, Політикою у сфері якості виконавчих органів Тернопільської міської ради,  Настановою у сфері якості Тернопільської міської ради та Положенням про відділ, затвердженого рішенням виконавчого комітету Тернопільської міської ради від 23.09.2015 №870.</w:t>
      </w:r>
    </w:p>
    <w:p w:rsidR="000C7D31" w:rsidRDefault="000C7D31" w:rsidP="000C7D31">
      <w:pPr>
        <w:spacing w:after="0" w:line="240" w:lineRule="auto"/>
        <w:ind w:right="-2"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рамках децентралізації системи державного архітектурно – будівельного контролю 25 березня 2016 року підписано акт приймання-передавання справ від Держархбудінспекції до виконкому міської ради головою ДАБІ Олексієм Кудрявцевим та міським головою Сергієм Надалом.</w:t>
      </w:r>
    </w:p>
    <w:p w:rsidR="000C7D31" w:rsidRDefault="000C7D31" w:rsidP="000C7D31">
      <w:pPr>
        <w:spacing w:after="0" w:line="240" w:lineRule="auto"/>
        <w:ind w:right="-2"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Відповідно до п.2 постанови Кабінету Міністрів України №671 від 19.08.2015 р. Деякі питання діяльності органів державного архітектурно-будівельного контролю, органи державного архітектурно-будівельного контролю є правонаступниками прав та обов'язків Державної архітектурно-будівельної інспекції щодо здійснення переданих повноважень відповідно до Закону України "Про регулювання містобудівної діяльності".</w:t>
      </w:r>
    </w:p>
    <w:p w:rsidR="000C7D31" w:rsidRDefault="000C7D31" w:rsidP="000C7D31">
      <w:pPr>
        <w:spacing w:after="0" w:line="240" w:lineRule="auto"/>
        <w:ind w:right="-2"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Одним із завдань Відділу державного архітектурно-будівельного контролю Тернопільської міської ради є здійснення контролю за дотримання вимог законодавства у сфері містобудівної діяльності, будівельних норм, державних стандартів і правил під час виконання підготовчих  та будівельних робіт.</w:t>
      </w:r>
    </w:p>
    <w:p w:rsidR="000C7D31" w:rsidRDefault="000C7D31" w:rsidP="000C7D31">
      <w:pPr>
        <w:spacing w:after="0" w:line="240" w:lineRule="auto"/>
        <w:ind w:right="-2"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Відділ під час виконання покладених на нього завдань взаємодіє в установленому порядку з органами виконавчої влади, органами місцевого самоврядування, громадськими об’єднаннями, а також підприємствами, установами та організаціями.</w:t>
      </w:r>
    </w:p>
    <w:p w:rsidR="000C7D31" w:rsidRDefault="000C7D31" w:rsidP="000C7D31">
      <w:pPr>
        <w:pStyle w:val="a3"/>
        <w:ind w:right="-2" w:firstLine="708"/>
        <w:jc w:val="both"/>
        <w:rPr>
          <w:rFonts w:ascii="Times New Roman" w:hAnsi="Times New Roman"/>
          <w:sz w:val="24"/>
          <w:szCs w:val="24"/>
          <w:lang w:eastAsia="ru-RU"/>
        </w:rPr>
      </w:pPr>
      <w:r>
        <w:rPr>
          <w:rFonts w:ascii="Times New Roman" w:hAnsi="Times New Roman"/>
          <w:sz w:val="24"/>
          <w:szCs w:val="24"/>
          <w:lang w:eastAsia="ru-RU"/>
        </w:rPr>
        <w:t>Постійно проводиться робота, пов’язана із підвищенням рівня професійних знань працівників.</w:t>
      </w:r>
    </w:p>
    <w:p w:rsidR="000C7D31" w:rsidRDefault="000C7D31" w:rsidP="000C7D31">
      <w:pPr>
        <w:pStyle w:val="a3"/>
        <w:ind w:right="-2" w:firstLine="708"/>
        <w:jc w:val="both"/>
        <w:rPr>
          <w:rFonts w:ascii="Times New Roman" w:hAnsi="Times New Roman"/>
          <w:sz w:val="24"/>
          <w:szCs w:val="24"/>
          <w:lang w:eastAsia="ru-RU"/>
        </w:rPr>
      </w:pPr>
      <w:r>
        <w:rPr>
          <w:rFonts w:ascii="Times New Roman" w:hAnsi="Times New Roman"/>
          <w:sz w:val="24"/>
          <w:szCs w:val="24"/>
          <w:lang w:eastAsia="ru-RU"/>
        </w:rPr>
        <w:t>Здійснюється прийом громадян з питань, що відносяться до компетенції Відділу згідно встановленого графіку.</w:t>
      </w:r>
    </w:p>
    <w:p w:rsidR="000C7D31" w:rsidRDefault="000C7D31" w:rsidP="000C7D31">
      <w:pPr>
        <w:pStyle w:val="a3"/>
        <w:ind w:right="-2" w:firstLine="708"/>
        <w:jc w:val="both"/>
        <w:rPr>
          <w:rFonts w:ascii="Times New Roman" w:hAnsi="Times New Roman"/>
          <w:sz w:val="24"/>
          <w:szCs w:val="24"/>
          <w:lang w:eastAsia="ru-RU"/>
        </w:rPr>
      </w:pPr>
      <w:r>
        <w:rPr>
          <w:rFonts w:ascii="Times New Roman" w:hAnsi="Times New Roman"/>
          <w:sz w:val="24"/>
          <w:szCs w:val="24"/>
          <w:lang w:eastAsia="ru-RU"/>
        </w:rPr>
        <w:t>Штат відділу державного архітектурно-будівельного контролю Тернопільської міської ради  в кількості 8 штатних одиниць затверджено міським головою 08.06.2017 року.</w:t>
      </w:r>
    </w:p>
    <w:p w:rsidR="000C7D31" w:rsidRDefault="000C7D31" w:rsidP="000C7D31">
      <w:pPr>
        <w:pStyle w:val="a3"/>
        <w:ind w:right="-2" w:firstLine="708"/>
        <w:jc w:val="both"/>
        <w:rPr>
          <w:rFonts w:ascii="Times New Roman" w:hAnsi="Times New Roman"/>
          <w:sz w:val="24"/>
          <w:szCs w:val="24"/>
          <w:lang w:eastAsia="ru-RU"/>
        </w:rPr>
      </w:pPr>
      <w:r>
        <w:rPr>
          <w:rFonts w:ascii="Times New Roman" w:hAnsi="Times New Roman"/>
          <w:sz w:val="24"/>
          <w:szCs w:val="24"/>
          <w:lang w:eastAsia="ru-RU"/>
        </w:rPr>
        <w:t>Фонд заробітної плати працівників відділу  за 9 місяців 2020 року становить  1 923 620, 08 грн. в тому числі премія 283 873, 60 грн.</w:t>
      </w:r>
    </w:p>
    <w:p w:rsidR="000C7D31" w:rsidRDefault="000C7D31" w:rsidP="000C7D31">
      <w:pPr>
        <w:pStyle w:val="a3"/>
        <w:ind w:right="-2" w:firstLine="708"/>
        <w:jc w:val="both"/>
        <w:rPr>
          <w:rFonts w:ascii="Times New Roman" w:hAnsi="Times New Roman"/>
          <w:sz w:val="24"/>
          <w:szCs w:val="24"/>
        </w:rPr>
      </w:pPr>
      <w:r>
        <w:rPr>
          <w:rFonts w:ascii="Times New Roman" w:hAnsi="Times New Roman"/>
          <w:sz w:val="24"/>
          <w:szCs w:val="24"/>
          <w:lang w:eastAsia="en-GB"/>
        </w:rPr>
        <w:t>За період роботи з 01.01.2020 за 10 місяців опрацьовано 366 звернень фізичних осіб, фізичних осіб підприємців та юридичних осіб, в тому числі електронні звернення</w:t>
      </w:r>
      <w:r>
        <w:rPr>
          <w:rFonts w:ascii="Times New Roman" w:hAnsi="Times New Roman"/>
          <w:sz w:val="24"/>
          <w:szCs w:val="24"/>
        </w:rPr>
        <w:t xml:space="preserve">від фізичних осіб, фізичних осіб-підприємців становлять 15, а також 3 електронних звернення від юридичних осіб, що на </w:t>
      </w:r>
      <w:r>
        <w:rPr>
          <w:rFonts w:ascii="Times New Roman" w:hAnsi="Times New Roman"/>
          <w:b/>
          <w:sz w:val="24"/>
          <w:szCs w:val="24"/>
        </w:rPr>
        <w:t>33,2%</w:t>
      </w:r>
      <w:r>
        <w:rPr>
          <w:rFonts w:ascii="Times New Roman" w:hAnsi="Times New Roman"/>
          <w:sz w:val="24"/>
          <w:szCs w:val="24"/>
        </w:rPr>
        <w:t xml:space="preserve"> менше ніж за 2019 рік.</w:t>
      </w:r>
    </w:p>
    <w:p w:rsidR="000C7D31" w:rsidRDefault="000C7D31" w:rsidP="000C7D31"/>
    <w:tbl>
      <w:tblPr>
        <w:tblStyle w:val="a4"/>
        <w:tblpPr w:leftFromText="180" w:rightFromText="180" w:vertAnchor="text" w:horzAnchor="margin" w:tblpXSpec="center" w:tblpY="-38"/>
        <w:tblW w:w="7935" w:type="dxa"/>
        <w:tblInd w:w="0" w:type="dxa"/>
        <w:tblLayout w:type="fixed"/>
        <w:tblLook w:val="04A0"/>
      </w:tblPr>
      <w:tblGrid>
        <w:gridCol w:w="2179"/>
        <w:gridCol w:w="3035"/>
        <w:gridCol w:w="2721"/>
      </w:tblGrid>
      <w:tr w:rsidR="000C7D31" w:rsidTr="000C7D31">
        <w:trPr>
          <w:trHeight w:val="90"/>
        </w:trPr>
        <w:tc>
          <w:tcPr>
            <w:tcW w:w="2179" w:type="dxa"/>
            <w:tcBorders>
              <w:top w:val="single" w:sz="4" w:space="0" w:color="auto"/>
              <w:left w:val="single" w:sz="4" w:space="0" w:color="auto"/>
              <w:bottom w:val="single" w:sz="4" w:space="0" w:color="auto"/>
              <w:right w:val="single" w:sz="4" w:space="0" w:color="auto"/>
            </w:tcBorders>
            <w:hideMark/>
          </w:tcPr>
          <w:p w:rsidR="000C7D31" w:rsidRDefault="000C7D31">
            <w:pPr>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Процесуальна дія</w:t>
            </w:r>
          </w:p>
        </w:tc>
        <w:tc>
          <w:tcPr>
            <w:tcW w:w="3034" w:type="dxa"/>
            <w:tcBorders>
              <w:top w:val="single" w:sz="4" w:space="0" w:color="auto"/>
              <w:left w:val="single" w:sz="4" w:space="0" w:color="auto"/>
              <w:bottom w:val="single" w:sz="4" w:space="0" w:color="auto"/>
              <w:right w:val="single" w:sz="4" w:space="0" w:color="auto"/>
            </w:tcBorders>
            <w:hideMark/>
          </w:tcPr>
          <w:p w:rsidR="000C7D31" w:rsidRDefault="000C7D31">
            <w:pPr>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За 10 місяців 2020 року</w:t>
            </w:r>
          </w:p>
        </w:tc>
        <w:tc>
          <w:tcPr>
            <w:tcW w:w="2720" w:type="dxa"/>
            <w:tcBorders>
              <w:top w:val="single" w:sz="4" w:space="0" w:color="auto"/>
              <w:left w:val="single" w:sz="4" w:space="0" w:color="auto"/>
              <w:bottom w:val="single" w:sz="4" w:space="0" w:color="auto"/>
              <w:right w:val="single" w:sz="4" w:space="0" w:color="auto"/>
            </w:tcBorders>
            <w:hideMark/>
          </w:tcPr>
          <w:p w:rsidR="000C7D31" w:rsidRDefault="000C7D31">
            <w:pPr>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За 10 місяців 2019 року</w:t>
            </w:r>
          </w:p>
        </w:tc>
      </w:tr>
      <w:tr w:rsidR="000C7D31" w:rsidTr="000C7D31">
        <w:trPr>
          <w:trHeight w:val="309"/>
        </w:trPr>
        <w:tc>
          <w:tcPr>
            <w:tcW w:w="2179" w:type="dxa"/>
            <w:tcBorders>
              <w:top w:val="single" w:sz="4" w:space="0" w:color="auto"/>
              <w:left w:val="single" w:sz="4" w:space="0" w:color="auto"/>
              <w:bottom w:val="single" w:sz="4" w:space="0" w:color="auto"/>
              <w:right w:val="single" w:sz="4" w:space="0" w:color="auto"/>
            </w:tcBorders>
          </w:tcPr>
          <w:p w:rsidR="000C7D31" w:rsidRDefault="000C7D31">
            <w:pPr>
              <w:rPr>
                <w:rFonts w:ascii="Times New Roman" w:eastAsia="Calibri" w:hAnsi="Times New Roman" w:cs="Times New Roman"/>
                <w:bCs/>
                <w:color w:val="000000"/>
                <w:sz w:val="24"/>
                <w:szCs w:val="24"/>
              </w:rPr>
            </w:pPr>
          </w:p>
          <w:p w:rsidR="000C7D31" w:rsidRDefault="000C7D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Кількість звернень фізичних осіб, фізичних осіб-підприємців, юридичних осіб</w:t>
            </w:r>
          </w:p>
          <w:p w:rsidR="000C7D31" w:rsidRDefault="000C7D31">
            <w:pPr>
              <w:rPr>
                <w:rFonts w:ascii="Times New Roman" w:eastAsia="Calibri" w:hAnsi="Times New Roman" w:cs="Times New Roman"/>
                <w:bCs/>
                <w:color w:val="000000"/>
                <w:sz w:val="24"/>
                <w:szCs w:val="24"/>
              </w:rPr>
            </w:pPr>
          </w:p>
        </w:tc>
        <w:tc>
          <w:tcPr>
            <w:tcW w:w="3034" w:type="dxa"/>
            <w:tcBorders>
              <w:top w:val="single" w:sz="4" w:space="0" w:color="auto"/>
              <w:left w:val="single" w:sz="4" w:space="0" w:color="auto"/>
              <w:bottom w:val="single" w:sz="4" w:space="0" w:color="auto"/>
              <w:right w:val="single" w:sz="4" w:space="0" w:color="auto"/>
            </w:tcBorders>
          </w:tcPr>
          <w:p w:rsidR="000C7D31" w:rsidRDefault="000C7D31">
            <w:pPr>
              <w:rPr>
                <w:rFonts w:ascii="Times New Roman" w:eastAsia="Calibri" w:hAnsi="Times New Roman" w:cs="Times New Roman"/>
                <w:bCs/>
                <w:color w:val="000000"/>
                <w:sz w:val="24"/>
                <w:szCs w:val="24"/>
              </w:rPr>
            </w:pPr>
          </w:p>
          <w:p w:rsidR="000C7D31" w:rsidRDefault="000C7D31">
            <w:pPr>
              <w:jc w:val="center"/>
              <w:rPr>
                <w:rFonts w:ascii="Times New Roman" w:eastAsia="Calibri" w:hAnsi="Times New Roman" w:cs="Times New Roman"/>
                <w:bCs/>
                <w:color w:val="000000"/>
                <w:sz w:val="24"/>
                <w:szCs w:val="24"/>
              </w:rPr>
            </w:pPr>
          </w:p>
          <w:p w:rsidR="000C7D31" w:rsidRDefault="000C7D31">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366</w:t>
            </w:r>
          </w:p>
        </w:tc>
        <w:tc>
          <w:tcPr>
            <w:tcW w:w="2720" w:type="dxa"/>
            <w:tcBorders>
              <w:top w:val="single" w:sz="4" w:space="0" w:color="auto"/>
              <w:left w:val="single" w:sz="4" w:space="0" w:color="auto"/>
              <w:bottom w:val="single" w:sz="4" w:space="0" w:color="auto"/>
              <w:right w:val="single" w:sz="4" w:space="0" w:color="auto"/>
            </w:tcBorders>
          </w:tcPr>
          <w:p w:rsidR="000C7D31" w:rsidRDefault="000C7D31">
            <w:pPr>
              <w:rPr>
                <w:rFonts w:ascii="Times New Roman" w:eastAsia="Calibri" w:hAnsi="Times New Roman" w:cs="Times New Roman"/>
                <w:bCs/>
                <w:color w:val="000000"/>
                <w:sz w:val="24"/>
                <w:szCs w:val="24"/>
              </w:rPr>
            </w:pPr>
          </w:p>
          <w:p w:rsidR="000C7D31" w:rsidRDefault="000C7D31">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548</w:t>
            </w:r>
          </w:p>
        </w:tc>
      </w:tr>
      <w:tr w:rsidR="000C7D31" w:rsidTr="000C7D31">
        <w:trPr>
          <w:trHeight w:val="194"/>
        </w:trPr>
        <w:tc>
          <w:tcPr>
            <w:tcW w:w="2179" w:type="dxa"/>
            <w:tcBorders>
              <w:top w:val="single" w:sz="4" w:space="0" w:color="auto"/>
              <w:left w:val="single" w:sz="4" w:space="0" w:color="auto"/>
              <w:bottom w:val="single" w:sz="4" w:space="0" w:color="auto"/>
              <w:right w:val="single" w:sz="4" w:space="0" w:color="auto"/>
            </w:tcBorders>
          </w:tcPr>
          <w:p w:rsidR="000C7D31" w:rsidRDefault="000C7D31">
            <w:pPr>
              <w:rPr>
                <w:rFonts w:ascii="Times New Roman" w:eastAsia="Calibri" w:hAnsi="Times New Roman" w:cs="Times New Roman"/>
                <w:bCs/>
                <w:color w:val="000000"/>
                <w:sz w:val="24"/>
                <w:szCs w:val="24"/>
              </w:rPr>
            </w:pPr>
          </w:p>
          <w:p w:rsidR="000C7D31" w:rsidRDefault="000C7D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Кількість електронних звернень фізичних осіб, фізичних осіб-підприємців</w:t>
            </w:r>
          </w:p>
        </w:tc>
        <w:tc>
          <w:tcPr>
            <w:tcW w:w="5754" w:type="dxa"/>
            <w:gridSpan w:val="2"/>
            <w:tcBorders>
              <w:top w:val="single" w:sz="4" w:space="0" w:color="auto"/>
              <w:left w:val="single" w:sz="4" w:space="0" w:color="auto"/>
              <w:bottom w:val="single" w:sz="4" w:space="0" w:color="auto"/>
              <w:right w:val="single" w:sz="4" w:space="0" w:color="auto"/>
            </w:tcBorders>
          </w:tcPr>
          <w:p w:rsidR="000C7D31" w:rsidRDefault="000C7D31">
            <w:pPr>
              <w:rPr>
                <w:rFonts w:ascii="Times New Roman" w:eastAsia="Calibri" w:hAnsi="Times New Roman" w:cs="Times New Roman"/>
                <w:bCs/>
                <w:color w:val="000000"/>
                <w:sz w:val="24"/>
                <w:szCs w:val="24"/>
              </w:rPr>
            </w:pPr>
          </w:p>
          <w:p w:rsidR="000C7D31" w:rsidRDefault="000C7D31">
            <w:pPr>
              <w:rPr>
                <w:rFonts w:ascii="Times New Roman" w:eastAsia="Calibri" w:hAnsi="Times New Roman" w:cs="Times New Roman"/>
                <w:bCs/>
                <w:color w:val="000000"/>
                <w:sz w:val="24"/>
                <w:szCs w:val="24"/>
              </w:rPr>
            </w:pPr>
          </w:p>
          <w:p w:rsidR="000C7D31" w:rsidRDefault="000C7D31">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15</w:t>
            </w:r>
          </w:p>
        </w:tc>
      </w:tr>
      <w:tr w:rsidR="000C7D31" w:rsidTr="000C7D31">
        <w:trPr>
          <w:trHeight w:val="41"/>
        </w:trPr>
        <w:tc>
          <w:tcPr>
            <w:tcW w:w="2179" w:type="dxa"/>
            <w:tcBorders>
              <w:top w:val="single" w:sz="4" w:space="0" w:color="auto"/>
              <w:left w:val="single" w:sz="4" w:space="0" w:color="auto"/>
              <w:bottom w:val="single" w:sz="4" w:space="0" w:color="auto"/>
              <w:right w:val="single" w:sz="4" w:space="0" w:color="auto"/>
            </w:tcBorders>
          </w:tcPr>
          <w:p w:rsidR="000C7D31" w:rsidRDefault="000C7D31">
            <w:pPr>
              <w:rPr>
                <w:rFonts w:ascii="Times New Roman" w:eastAsia="Calibri" w:hAnsi="Times New Roman" w:cs="Times New Roman"/>
                <w:bCs/>
                <w:color w:val="000000"/>
                <w:sz w:val="24"/>
                <w:szCs w:val="24"/>
              </w:rPr>
            </w:pPr>
          </w:p>
          <w:p w:rsidR="000C7D31" w:rsidRDefault="000C7D31">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Кількість електронних звернень юридичних осіб</w:t>
            </w:r>
          </w:p>
          <w:p w:rsidR="000C7D31" w:rsidRDefault="000C7D31">
            <w:pPr>
              <w:rPr>
                <w:rFonts w:ascii="Times New Roman" w:eastAsia="Calibri" w:hAnsi="Times New Roman" w:cs="Times New Roman"/>
                <w:bCs/>
                <w:color w:val="000000"/>
                <w:sz w:val="24"/>
                <w:szCs w:val="24"/>
              </w:rPr>
            </w:pPr>
          </w:p>
          <w:p w:rsidR="000C7D31" w:rsidRDefault="000C7D31">
            <w:pPr>
              <w:rPr>
                <w:rFonts w:ascii="Times New Roman" w:eastAsia="Calibri" w:hAnsi="Times New Roman" w:cs="Times New Roman"/>
                <w:bCs/>
                <w:color w:val="000000"/>
                <w:sz w:val="24"/>
                <w:szCs w:val="24"/>
              </w:rPr>
            </w:pPr>
          </w:p>
        </w:tc>
        <w:tc>
          <w:tcPr>
            <w:tcW w:w="5754" w:type="dxa"/>
            <w:gridSpan w:val="2"/>
            <w:tcBorders>
              <w:top w:val="single" w:sz="4" w:space="0" w:color="auto"/>
              <w:left w:val="single" w:sz="4" w:space="0" w:color="auto"/>
              <w:bottom w:val="single" w:sz="4" w:space="0" w:color="auto"/>
              <w:right w:val="single" w:sz="4" w:space="0" w:color="auto"/>
            </w:tcBorders>
          </w:tcPr>
          <w:p w:rsidR="000C7D31" w:rsidRDefault="000C7D31">
            <w:pPr>
              <w:jc w:val="center"/>
              <w:rPr>
                <w:rFonts w:ascii="Times New Roman" w:eastAsia="Calibri" w:hAnsi="Times New Roman" w:cs="Times New Roman"/>
                <w:bCs/>
                <w:color w:val="000000"/>
                <w:sz w:val="24"/>
                <w:szCs w:val="24"/>
              </w:rPr>
            </w:pPr>
          </w:p>
          <w:p w:rsidR="000C7D31" w:rsidRDefault="000C7D31">
            <w:pPr>
              <w:jc w:val="center"/>
              <w:rPr>
                <w:rFonts w:ascii="Times New Roman" w:eastAsia="Calibri" w:hAnsi="Times New Roman" w:cs="Times New Roman"/>
                <w:bCs/>
                <w:color w:val="000000"/>
                <w:sz w:val="24"/>
                <w:szCs w:val="24"/>
              </w:rPr>
            </w:pPr>
          </w:p>
          <w:p w:rsidR="000C7D31" w:rsidRDefault="000C7D31">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3</w:t>
            </w:r>
          </w:p>
        </w:tc>
      </w:tr>
      <w:tr w:rsidR="000C7D31" w:rsidTr="000C7D31">
        <w:trPr>
          <w:trHeight w:val="991"/>
        </w:trPr>
        <w:tc>
          <w:tcPr>
            <w:tcW w:w="7933" w:type="dxa"/>
            <w:gridSpan w:val="3"/>
            <w:tcBorders>
              <w:top w:val="single" w:sz="4" w:space="0" w:color="auto"/>
              <w:left w:val="single" w:sz="4" w:space="0" w:color="auto"/>
              <w:bottom w:val="single" w:sz="4" w:space="0" w:color="auto"/>
              <w:right w:val="single" w:sz="4" w:space="0" w:color="auto"/>
            </w:tcBorders>
            <w:hideMark/>
          </w:tcPr>
          <w:p w:rsidR="000C7D31" w:rsidRDefault="000C7D31">
            <w:pPr>
              <w:jc w:val="both"/>
              <w:rPr>
                <w:rFonts w:ascii="Times New Roman" w:eastAsia="Times New Roman" w:hAnsi="Times New Roman" w:cs="Times New Roman"/>
                <w:sz w:val="24"/>
                <w:szCs w:val="24"/>
                <w:lang w:eastAsia="ru-RU"/>
              </w:rPr>
            </w:pPr>
            <w:r>
              <w:rPr>
                <w:noProof/>
                <w:lang w:eastAsia="uk-UA"/>
              </w:rPr>
              <w:drawing>
                <wp:inline distT="0" distB="0" distL="0" distR="0">
                  <wp:extent cx="4876800" cy="19716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tc>
      </w:tr>
    </w:tbl>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 w:rsidR="000C7D31" w:rsidRDefault="000C7D31" w:rsidP="000C7D31">
      <w:pPr>
        <w:pStyle w:val="a3"/>
        <w:ind w:firstLine="708"/>
        <w:jc w:val="both"/>
        <w:rPr>
          <w:rFonts w:ascii="Times New Roman" w:hAnsi="Times New Roman"/>
          <w:sz w:val="24"/>
          <w:szCs w:val="24"/>
          <w:lang w:eastAsia="ru-RU"/>
        </w:rPr>
      </w:pPr>
      <w:r>
        <w:rPr>
          <w:rFonts w:ascii="Times New Roman" w:hAnsi="Times New Roman"/>
          <w:sz w:val="24"/>
          <w:szCs w:val="24"/>
          <w:lang w:eastAsia="ru-RU"/>
        </w:rPr>
        <w:t>Здійснено 21 планових та позапланових перевірок щодо дотримання суб’єктами містобудування вимог законодавства у сфері містобудівної діяльності, будівельних норм, стандартів і правил під час виконання підготовчих та будівельних робіт.</w:t>
      </w:r>
    </w:p>
    <w:p w:rsidR="000C7D31" w:rsidRDefault="000C7D31" w:rsidP="000C7D31">
      <w:pPr>
        <w:pStyle w:val="a3"/>
        <w:ind w:firstLine="708"/>
        <w:jc w:val="both"/>
        <w:rPr>
          <w:rFonts w:ascii="Times New Roman" w:hAnsi="Times New Roman"/>
          <w:sz w:val="24"/>
          <w:szCs w:val="24"/>
          <w:lang w:eastAsia="ru-RU"/>
        </w:rPr>
      </w:pPr>
      <w:r>
        <w:rPr>
          <w:rFonts w:ascii="Times New Roman" w:hAnsi="Times New Roman"/>
          <w:sz w:val="24"/>
          <w:szCs w:val="24"/>
          <w:lang w:eastAsia="ru-RU"/>
        </w:rPr>
        <w:t>За результатами проведених перевірок :</w:t>
      </w:r>
    </w:p>
    <w:p w:rsidR="000C7D31" w:rsidRDefault="000C7D31" w:rsidP="000C7D31">
      <w:pPr>
        <w:pStyle w:val="a3"/>
        <w:ind w:firstLine="708"/>
        <w:jc w:val="both"/>
        <w:rPr>
          <w:rFonts w:ascii="Times New Roman" w:hAnsi="Times New Roman"/>
          <w:sz w:val="24"/>
          <w:szCs w:val="24"/>
          <w:lang w:eastAsia="ru-RU"/>
        </w:rPr>
      </w:pPr>
      <w:r>
        <w:rPr>
          <w:rFonts w:ascii="Times New Roman" w:hAnsi="Times New Roman"/>
          <w:sz w:val="24"/>
          <w:szCs w:val="24"/>
          <w:lang w:eastAsia="ru-RU"/>
        </w:rPr>
        <w:t>- складено 11 Актів перевірок дотримання вимог законодавства у сфері містобудівної діяльності, будівельних норм, державних стандартів і правил  без виявлених порушень;</w:t>
      </w:r>
    </w:p>
    <w:p w:rsidR="000C7D31" w:rsidRDefault="000C7D31" w:rsidP="000C7D31">
      <w:pPr>
        <w:pStyle w:val="a3"/>
        <w:ind w:firstLine="708"/>
        <w:jc w:val="both"/>
        <w:rPr>
          <w:rFonts w:ascii="Times New Roman" w:hAnsi="Times New Roman"/>
          <w:sz w:val="24"/>
          <w:szCs w:val="24"/>
          <w:lang w:eastAsia="ru-RU"/>
        </w:rPr>
      </w:pPr>
      <w:r>
        <w:rPr>
          <w:rFonts w:ascii="Times New Roman" w:hAnsi="Times New Roman"/>
          <w:sz w:val="24"/>
          <w:szCs w:val="24"/>
          <w:lang w:eastAsia="ru-RU"/>
        </w:rPr>
        <w:t>- складено 4 Акти перевірки дотримання вимог законодавства у сфері містобудівної діяльності, будівельних норм, державних стандартів і правил з виявленими порушеннями;</w:t>
      </w:r>
    </w:p>
    <w:p w:rsidR="000C7D31" w:rsidRDefault="000C7D31" w:rsidP="000C7D31">
      <w:pPr>
        <w:pStyle w:val="a3"/>
        <w:ind w:firstLine="708"/>
        <w:jc w:val="both"/>
        <w:rPr>
          <w:rFonts w:ascii="Times New Roman" w:hAnsi="Times New Roman"/>
          <w:sz w:val="24"/>
          <w:szCs w:val="24"/>
          <w:lang w:eastAsia="ru-RU"/>
        </w:rPr>
      </w:pPr>
      <w:r>
        <w:rPr>
          <w:rFonts w:ascii="Times New Roman" w:hAnsi="Times New Roman"/>
          <w:sz w:val="24"/>
          <w:szCs w:val="24"/>
          <w:lang w:eastAsia="ru-RU"/>
        </w:rPr>
        <w:t>- складено 18 доповідних записок та актів довільної форми, у результаті з неможливістю проведення перевірки та надіслано листи в правоохоронні органи щодо сприяння в проведенні перевірок, винесено 4  постанови по справі про адміністративне                      правопорушення.</w:t>
      </w:r>
    </w:p>
    <w:p w:rsidR="000C7D31" w:rsidRDefault="000C7D31" w:rsidP="000C7D31">
      <w:pPr>
        <w:pStyle w:val="a3"/>
        <w:ind w:firstLine="708"/>
        <w:jc w:val="both"/>
        <w:rPr>
          <w:rFonts w:ascii="Times New Roman" w:hAnsi="Times New Roman"/>
          <w:sz w:val="24"/>
          <w:szCs w:val="24"/>
          <w:lang w:eastAsia="ru-RU"/>
        </w:rPr>
      </w:pPr>
      <w:r>
        <w:rPr>
          <w:rFonts w:ascii="Times New Roman" w:hAnsi="Times New Roman"/>
          <w:sz w:val="24"/>
          <w:szCs w:val="24"/>
          <w:lang w:eastAsia="ru-RU"/>
        </w:rPr>
        <w:t>Штрафних санкцій накладено на загальну суму 27 200 грн. із якої сплачено 27 200 грн.</w:t>
      </w:r>
    </w:p>
    <w:p w:rsidR="000C7D31" w:rsidRDefault="000C7D31" w:rsidP="000C7D31">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shd w:val="clear" w:color="auto" w:fill="FFFFFF"/>
        </w:rPr>
        <w:t xml:space="preserve">Головними спеціалістами з надання адміністративних послуг-інспекторами відділу </w:t>
      </w:r>
      <w:r>
        <w:rPr>
          <w:rFonts w:ascii="Times New Roman" w:eastAsia="Calibri" w:hAnsi="Times New Roman" w:cs="Times New Roman"/>
          <w:sz w:val="24"/>
          <w:szCs w:val="24"/>
          <w:lang w:eastAsia="ru-RU"/>
        </w:rPr>
        <w:t xml:space="preserve">від 01.01.2020 року, прийнято </w:t>
      </w:r>
      <w:r>
        <w:rPr>
          <w:rFonts w:ascii="Times New Roman" w:eastAsia="Calibri" w:hAnsi="Times New Roman" w:cs="Times New Roman"/>
          <w:b/>
          <w:sz w:val="24"/>
          <w:szCs w:val="24"/>
          <w:lang w:eastAsia="ru-RU"/>
        </w:rPr>
        <w:t>312</w:t>
      </w:r>
      <w:r>
        <w:rPr>
          <w:rFonts w:ascii="Times New Roman" w:eastAsia="Calibri" w:hAnsi="Times New Roman" w:cs="Times New Roman"/>
          <w:sz w:val="24"/>
          <w:szCs w:val="24"/>
          <w:lang w:eastAsia="ru-RU"/>
        </w:rPr>
        <w:t xml:space="preserve"> документів, що на </w:t>
      </w:r>
      <w:r>
        <w:rPr>
          <w:rFonts w:ascii="Times New Roman" w:eastAsia="Calibri" w:hAnsi="Times New Roman" w:cs="Times New Roman"/>
          <w:b/>
          <w:sz w:val="24"/>
          <w:szCs w:val="24"/>
          <w:lang w:eastAsia="ru-RU"/>
        </w:rPr>
        <w:t>31,7%</w:t>
      </w:r>
      <w:r>
        <w:rPr>
          <w:rFonts w:ascii="Times New Roman" w:eastAsia="Calibri" w:hAnsi="Times New Roman" w:cs="Times New Roman"/>
          <w:sz w:val="24"/>
          <w:szCs w:val="24"/>
          <w:lang w:eastAsia="ru-RU"/>
        </w:rPr>
        <w:t>менше ніж у 2019 році, через центр надання адміністративних послуг та  опрацьовано:</w:t>
      </w:r>
    </w:p>
    <w:p w:rsidR="000C7D31" w:rsidRDefault="000C7D31" w:rsidP="000C7D31">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138</w:t>
      </w:r>
      <w:r>
        <w:rPr>
          <w:rFonts w:ascii="Times New Roman" w:eastAsia="Calibri" w:hAnsi="Times New Roman" w:cs="Times New Roman"/>
          <w:sz w:val="24"/>
          <w:szCs w:val="24"/>
          <w:lang w:eastAsia="ru-RU"/>
        </w:rPr>
        <w:t xml:space="preserve">  повідомлень про початок виконання підготовчих/будівельних робіт, зміну даних у повідомленні про початок підготовчих/будівельних робіт;</w:t>
      </w:r>
    </w:p>
    <w:p w:rsidR="000C7D31" w:rsidRDefault="000C7D31" w:rsidP="000C7D31">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lastRenderedPageBreak/>
        <w:t>2</w:t>
      </w:r>
      <w:r>
        <w:rPr>
          <w:rFonts w:ascii="Times New Roman" w:eastAsia="Calibri" w:hAnsi="Times New Roman" w:cs="Times New Roman"/>
          <w:sz w:val="24"/>
          <w:szCs w:val="24"/>
          <w:lang w:eastAsia="ru-RU"/>
        </w:rPr>
        <w:t xml:space="preserve"> документа про зміну даних у декларації про початок виконання підготовчих/будівельних робіт;</w:t>
      </w:r>
    </w:p>
    <w:p w:rsidR="000C7D31" w:rsidRDefault="000C7D31" w:rsidP="000C7D31">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108</w:t>
      </w:r>
      <w:r>
        <w:rPr>
          <w:rFonts w:ascii="Times New Roman" w:eastAsia="Calibri" w:hAnsi="Times New Roman" w:cs="Times New Roman"/>
          <w:sz w:val="24"/>
          <w:szCs w:val="24"/>
          <w:lang w:eastAsia="ru-RU"/>
        </w:rPr>
        <w:t xml:space="preserve"> декларацій про готовність об’єкта до експлуатації об’єкта,  будівництво якого здійснено на підставі будівельного паспорта/декларації про готовність до експлуатації об'єкта, що за класом наслідків (відповідальності) належить до об’єктів з незначними наслідками (СС1)/декларації про готовність до експлуатації самочинно збудованого об'єкта, на який визнано право власності за рішенням суду;</w:t>
      </w:r>
    </w:p>
    <w:p w:rsidR="000C7D31" w:rsidRDefault="000C7D31" w:rsidP="000C7D31">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16</w:t>
      </w:r>
      <w:r>
        <w:rPr>
          <w:rFonts w:ascii="Times New Roman" w:eastAsia="Calibri" w:hAnsi="Times New Roman" w:cs="Times New Roman"/>
          <w:sz w:val="24"/>
          <w:szCs w:val="24"/>
          <w:lang w:eastAsia="ru-RU"/>
        </w:rPr>
        <w:t xml:space="preserve"> дозволів на виконання будівельних робіт /зміна даних у дозволі на виконання будівельних робіт;</w:t>
      </w:r>
    </w:p>
    <w:p w:rsidR="000C7D31" w:rsidRDefault="000C7D31" w:rsidP="000C7D31">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22</w:t>
      </w:r>
      <w:r>
        <w:rPr>
          <w:rFonts w:ascii="Times New Roman" w:eastAsia="Calibri" w:hAnsi="Times New Roman" w:cs="Times New Roman"/>
          <w:sz w:val="24"/>
          <w:szCs w:val="24"/>
          <w:lang w:eastAsia="ru-RU"/>
        </w:rPr>
        <w:t xml:space="preserve">  сертифікати про прийняття в експлуатацію закінченого будівництвом об’єкта.</w:t>
      </w:r>
    </w:p>
    <w:p w:rsidR="000C7D31" w:rsidRDefault="000C7D31" w:rsidP="000C7D31">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Сертифікат видається на основі довідки головного спеціаліста-інспектора за формою наведеною у </w:t>
      </w:r>
      <w:hyperlink r:id="rId5" w:anchor="n243" w:history="1">
        <w:r>
          <w:rPr>
            <w:rStyle w:val="a5"/>
            <w:rFonts w:ascii="Times New Roman" w:eastAsia="Calibri" w:hAnsi="Times New Roman" w:cs="Times New Roman"/>
            <w:color w:val="auto"/>
            <w:sz w:val="24"/>
            <w:szCs w:val="24"/>
            <w:u w:val="none"/>
            <w:lang w:eastAsia="ru-RU"/>
          </w:rPr>
          <w:t>додатку 10</w:t>
        </w:r>
      </w:hyperlink>
      <w:r>
        <w:rPr>
          <w:rFonts w:ascii="Times New Roman" w:eastAsia="Calibri" w:hAnsi="Times New Roman" w:cs="Times New Roman"/>
          <w:sz w:val="24"/>
          <w:szCs w:val="24"/>
          <w:lang w:eastAsia="ru-RU"/>
        </w:rPr>
        <w:t> до Порядку Питання прийняття в експлуатацію закінчених будівництвом об'єктівзатвердженим Постановою Кабміну від 13 квітня 2011 року №461.</w:t>
      </w:r>
    </w:p>
    <w:p w:rsidR="000C7D31" w:rsidRDefault="000C7D31" w:rsidP="000C7D31">
      <w:pPr>
        <w:spacing w:after="0" w:line="240" w:lineRule="auto"/>
        <w:ind w:firstLine="708"/>
        <w:jc w:val="both"/>
        <w:rPr>
          <w:rFonts w:ascii="Times New Roman" w:eastAsia="Calibri" w:hAnsi="Times New Roman" w:cs="Times New Roman"/>
          <w:sz w:val="24"/>
          <w:szCs w:val="24"/>
          <w:lang w:eastAsia="ru-RU"/>
        </w:rPr>
      </w:pPr>
      <w:bookmarkStart w:id="0" w:name="n3"/>
      <w:bookmarkStart w:id="1" w:name="n4"/>
      <w:bookmarkEnd w:id="0"/>
      <w:bookmarkEnd w:id="1"/>
      <w:r>
        <w:rPr>
          <w:rFonts w:ascii="Times New Roman" w:eastAsia="Calibri" w:hAnsi="Times New Roman" w:cs="Times New Roman"/>
          <w:sz w:val="24"/>
          <w:szCs w:val="24"/>
          <w:lang w:eastAsia="ru-RU"/>
        </w:rPr>
        <w:t>Головними спеціалістами інспекторами вивчається питання достовірності відомостей у поданих документах, відповідності об’єкта проектній документації, вимогам будівельних норм, стандартів і правил. Під час розгляду питання прийняття в експлуатацію об’єктів, що за класом наслідків (відповідальності) належать до об’єктів із середніми (СС2) наслідками, орган державного архітектурно-будівельного контролю здійснює огляд об’єкта. Під час такого огляду посадова особа органу державного архітектурно-будівельного контролю з’ясовує наявність виконавчої документації в обсязі, передбаченому державними будівельними нормами, та матеріалів технічної інвентаризації згідно з </w:t>
      </w:r>
      <w:hyperlink r:id="rId6" w:anchor="n355" w:history="1">
        <w:r>
          <w:rPr>
            <w:rStyle w:val="a5"/>
            <w:rFonts w:ascii="Times New Roman" w:eastAsia="Calibri" w:hAnsi="Times New Roman" w:cs="Times New Roman"/>
            <w:color w:val="auto"/>
            <w:sz w:val="24"/>
            <w:szCs w:val="24"/>
            <w:u w:val="none"/>
            <w:lang w:eastAsia="ru-RU"/>
          </w:rPr>
          <w:t>додатком 9</w:t>
        </w:r>
      </w:hyperlink>
      <w:hyperlink r:id="rId7" w:anchor="n355" w:history="1">
        <w:r>
          <w:rPr>
            <w:rStyle w:val="a5"/>
            <w:rFonts w:ascii="Times New Roman" w:eastAsia="Calibri" w:hAnsi="Times New Roman" w:cs="Times New Roman"/>
            <w:color w:val="auto"/>
            <w:sz w:val="24"/>
            <w:szCs w:val="24"/>
            <w:u w:val="none"/>
            <w:lang w:eastAsia="ru-RU"/>
          </w:rPr>
          <w:t>-1</w:t>
        </w:r>
      </w:hyperlink>
      <w:r>
        <w:rPr>
          <w:rFonts w:ascii="Times New Roman" w:eastAsia="Calibri" w:hAnsi="Times New Roman" w:cs="Times New Roman"/>
          <w:sz w:val="24"/>
          <w:szCs w:val="24"/>
          <w:lang w:eastAsia="ru-RU"/>
        </w:rPr>
        <w:t> до цього Порядку, а також здійснює фотофіксацію.</w:t>
      </w:r>
    </w:p>
    <w:p w:rsidR="000C7D31" w:rsidRDefault="000C7D31" w:rsidP="000C7D31">
      <w:pPr>
        <w:spacing w:after="0" w:line="240" w:lineRule="auto"/>
        <w:jc w:val="both"/>
        <w:rPr>
          <w:rFonts w:ascii="Times New Roman" w:eastAsia="Calibri" w:hAnsi="Times New Roman" w:cs="Times New Roman"/>
          <w:sz w:val="24"/>
          <w:szCs w:val="24"/>
          <w:lang w:eastAsia="ru-RU"/>
        </w:rPr>
      </w:pPr>
    </w:p>
    <w:tbl>
      <w:tblPr>
        <w:tblStyle w:val="a4"/>
        <w:tblW w:w="0" w:type="auto"/>
        <w:tblInd w:w="0" w:type="dxa"/>
        <w:tblLook w:val="04A0"/>
      </w:tblPr>
      <w:tblGrid>
        <w:gridCol w:w="3369"/>
        <w:gridCol w:w="3027"/>
        <w:gridCol w:w="3174"/>
      </w:tblGrid>
      <w:tr w:rsidR="000C7D31" w:rsidTr="000C7D31">
        <w:tc>
          <w:tcPr>
            <w:tcW w:w="3369" w:type="dxa"/>
            <w:tcBorders>
              <w:top w:val="single" w:sz="4" w:space="0" w:color="auto"/>
              <w:left w:val="single" w:sz="4" w:space="0" w:color="auto"/>
              <w:bottom w:val="single" w:sz="4" w:space="0" w:color="auto"/>
              <w:right w:val="single" w:sz="4" w:space="0" w:color="auto"/>
            </w:tcBorders>
            <w:hideMark/>
          </w:tcPr>
          <w:p w:rsidR="000C7D31" w:rsidRDefault="000C7D31">
            <w:pPr>
              <w:jc w:val="both"/>
              <w:rPr>
                <w:rFonts w:ascii="Times New Roman" w:eastAsia="Calibri" w:hAnsi="Times New Roman" w:cs="Times New Roman"/>
                <w:sz w:val="24"/>
                <w:szCs w:val="24"/>
                <w:lang w:eastAsia="ru-RU"/>
              </w:rPr>
            </w:pPr>
            <w:r>
              <w:rPr>
                <w:rFonts w:ascii="Times New Roman" w:eastAsia="Calibri" w:hAnsi="Times New Roman" w:cs="Times New Roman"/>
                <w:b/>
                <w:bCs/>
                <w:color w:val="000000"/>
                <w:sz w:val="24"/>
                <w:szCs w:val="24"/>
              </w:rPr>
              <w:t>Процесуальна дія</w:t>
            </w:r>
          </w:p>
        </w:tc>
        <w:tc>
          <w:tcPr>
            <w:tcW w:w="3027" w:type="dxa"/>
            <w:tcBorders>
              <w:top w:val="single" w:sz="4" w:space="0" w:color="auto"/>
              <w:left w:val="single" w:sz="4" w:space="0" w:color="auto"/>
              <w:bottom w:val="single" w:sz="4" w:space="0" w:color="auto"/>
              <w:right w:val="single" w:sz="4" w:space="0" w:color="auto"/>
            </w:tcBorders>
            <w:hideMark/>
          </w:tcPr>
          <w:p w:rsidR="000C7D31" w:rsidRDefault="000C7D31">
            <w:pPr>
              <w:jc w:val="both"/>
              <w:rPr>
                <w:rFonts w:ascii="Times New Roman" w:eastAsia="Calibri" w:hAnsi="Times New Roman" w:cs="Times New Roman"/>
                <w:sz w:val="24"/>
                <w:szCs w:val="24"/>
                <w:lang w:eastAsia="ru-RU"/>
              </w:rPr>
            </w:pPr>
            <w:r>
              <w:rPr>
                <w:rFonts w:ascii="Times New Roman" w:eastAsia="Calibri" w:hAnsi="Times New Roman" w:cs="Times New Roman"/>
                <w:b/>
                <w:bCs/>
                <w:color w:val="000000"/>
                <w:sz w:val="24"/>
                <w:szCs w:val="24"/>
              </w:rPr>
              <w:t>За 10 місяців 2020 року</w:t>
            </w:r>
          </w:p>
        </w:tc>
        <w:tc>
          <w:tcPr>
            <w:tcW w:w="3174" w:type="dxa"/>
            <w:tcBorders>
              <w:top w:val="single" w:sz="4" w:space="0" w:color="auto"/>
              <w:left w:val="single" w:sz="4" w:space="0" w:color="auto"/>
              <w:bottom w:val="single" w:sz="4" w:space="0" w:color="auto"/>
              <w:right w:val="single" w:sz="4" w:space="0" w:color="auto"/>
            </w:tcBorders>
            <w:hideMark/>
          </w:tcPr>
          <w:p w:rsidR="000C7D31" w:rsidRDefault="000C7D31">
            <w:pPr>
              <w:jc w:val="both"/>
              <w:rPr>
                <w:rFonts w:ascii="Times New Roman" w:eastAsia="Calibri" w:hAnsi="Times New Roman" w:cs="Times New Roman"/>
                <w:sz w:val="24"/>
                <w:szCs w:val="24"/>
                <w:lang w:eastAsia="ru-RU"/>
              </w:rPr>
            </w:pPr>
            <w:r>
              <w:rPr>
                <w:rFonts w:ascii="Times New Roman" w:eastAsia="Calibri" w:hAnsi="Times New Roman" w:cs="Times New Roman"/>
                <w:b/>
                <w:bCs/>
                <w:color w:val="000000"/>
                <w:sz w:val="24"/>
                <w:szCs w:val="24"/>
              </w:rPr>
              <w:t>За 10 місяців 2019 року</w:t>
            </w:r>
          </w:p>
        </w:tc>
      </w:tr>
      <w:tr w:rsidR="000C7D31" w:rsidTr="000C7D31">
        <w:tc>
          <w:tcPr>
            <w:tcW w:w="3369" w:type="dxa"/>
            <w:tcBorders>
              <w:top w:val="single" w:sz="4" w:space="0" w:color="auto"/>
              <w:left w:val="single" w:sz="4" w:space="0" w:color="auto"/>
              <w:bottom w:val="single" w:sz="4" w:space="0" w:color="auto"/>
              <w:right w:val="single" w:sz="4" w:space="0" w:color="auto"/>
            </w:tcBorders>
            <w:hideMark/>
          </w:tcPr>
          <w:p w:rsidR="000C7D31" w:rsidRDefault="000C7D31">
            <w:pPr>
              <w:jc w:val="both"/>
              <w:rPr>
                <w:rFonts w:ascii="Times New Roman" w:eastAsia="Calibri" w:hAnsi="Times New Roman" w:cs="Times New Roman"/>
                <w:sz w:val="24"/>
                <w:szCs w:val="24"/>
                <w:lang w:eastAsia="ru-RU"/>
              </w:rPr>
            </w:pPr>
            <w:r>
              <w:rPr>
                <w:rFonts w:ascii="Times New Roman" w:eastAsia="Calibri" w:hAnsi="Times New Roman" w:cs="Times New Roman"/>
                <w:bCs/>
                <w:color w:val="000000"/>
                <w:sz w:val="24"/>
                <w:szCs w:val="24"/>
              </w:rPr>
              <w:t>Кількість документів прийнятих через центр надання адміністративних послуг</w:t>
            </w:r>
          </w:p>
        </w:tc>
        <w:tc>
          <w:tcPr>
            <w:tcW w:w="3027" w:type="dxa"/>
            <w:tcBorders>
              <w:top w:val="single" w:sz="4" w:space="0" w:color="auto"/>
              <w:left w:val="single" w:sz="4" w:space="0" w:color="auto"/>
              <w:bottom w:val="single" w:sz="4" w:space="0" w:color="auto"/>
              <w:right w:val="single" w:sz="4" w:space="0" w:color="auto"/>
            </w:tcBorders>
            <w:hideMark/>
          </w:tcPr>
          <w:p w:rsidR="000C7D31" w:rsidRDefault="000C7D31">
            <w:pPr>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3174" w:type="dxa"/>
            <w:tcBorders>
              <w:top w:val="single" w:sz="4" w:space="0" w:color="auto"/>
              <w:left w:val="single" w:sz="4" w:space="0" w:color="auto"/>
              <w:bottom w:val="single" w:sz="4" w:space="0" w:color="auto"/>
              <w:right w:val="single" w:sz="4" w:space="0" w:color="auto"/>
            </w:tcBorders>
          </w:tcPr>
          <w:p w:rsidR="000C7D31" w:rsidRDefault="000C7D3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457</w:t>
            </w:r>
          </w:p>
          <w:p w:rsidR="000C7D31" w:rsidRDefault="000C7D31">
            <w:pPr>
              <w:jc w:val="both"/>
              <w:rPr>
                <w:rFonts w:ascii="Times New Roman" w:eastAsia="Calibri" w:hAnsi="Times New Roman" w:cs="Times New Roman"/>
                <w:sz w:val="24"/>
                <w:szCs w:val="24"/>
                <w:lang w:eastAsia="ru-RU"/>
              </w:rPr>
            </w:pPr>
          </w:p>
        </w:tc>
      </w:tr>
    </w:tbl>
    <w:p w:rsidR="000C7D31" w:rsidRDefault="000C7D31" w:rsidP="000C7D31">
      <w:pPr>
        <w:jc w:val="center"/>
      </w:pPr>
      <w:r>
        <w:rPr>
          <w:noProof/>
        </w:rPr>
        <w:drawing>
          <wp:inline distT="0" distB="0" distL="0" distR="0">
            <wp:extent cx="5457825" cy="2276475"/>
            <wp:effectExtent l="0" t="0" r="0" b="0"/>
            <wp:docPr id="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7D31" w:rsidRDefault="000C7D31" w:rsidP="000C7D31">
      <w:pPr>
        <w:spacing w:after="0" w:line="240" w:lineRule="auto"/>
        <w:ind w:firstLine="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Відмови в 2020 році становлять 15, що на </w:t>
      </w:r>
      <w:r>
        <w:rPr>
          <w:rFonts w:ascii="Times New Roman" w:eastAsia="Calibri" w:hAnsi="Times New Roman" w:cs="Times New Roman"/>
          <w:b/>
          <w:sz w:val="24"/>
          <w:szCs w:val="24"/>
          <w:lang w:eastAsia="ru-RU"/>
        </w:rPr>
        <w:t>11,6%</w:t>
      </w:r>
      <w:r>
        <w:rPr>
          <w:rFonts w:ascii="Times New Roman" w:eastAsia="Calibri" w:hAnsi="Times New Roman" w:cs="Times New Roman"/>
          <w:sz w:val="24"/>
          <w:szCs w:val="24"/>
          <w:lang w:eastAsia="ru-RU"/>
        </w:rPr>
        <w:t xml:space="preserve"> більше ніж у 2019 році.</w:t>
      </w:r>
    </w:p>
    <w:p w:rsidR="000C7D31" w:rsidRDefault="000C7D31" w:rsidP="000C7D31">
      <w:pPr>
        <w:spacing w:after="0" w:line="240" w:lineRule="auto"/>
        <w:ind w:firstLine="708"/>
        <w:rPr>
          <w:rFonts w:ascii="Times New Roman" w:eastAsia="Calibri" w:hAnsi="Times New Roman" w:cs="Times New Roman"/>
          <w:sz w:val="24"/>
          <w:szCs w:val="24"/>
          <w:lang w:eastAsia="ru-RU"/>
        </w:rPr>
      </w:pPr>
    </w:p>
    <w:tbl>
      <w:tblPr>
        <w:tblStyle w:val="a4"/>
        <w:tblW w:w="0" w:type="auto"/>
        <w:tblInd w:w="0" w:type="dxa"/>
        <w:tblLook w:val="04A0"/>
      </w:tblPr>
      <w:tblGrid>
        <w:gridCol w:w="3285"/>
        <w:gridCol w:w="3285"/>
        <w:gridCol w:w="3285"/>
      </w:tblGrid>
      <w:tr w:rsidR="000C7D31" w:rsidTr="000C7D31">
        <w:tc>
          <w:tcPr>
            <w:tcW w:w="3285" w:type="dxa"/>
            <w:tcBorders>
              <w:top w:val="single" w:sz="4" w:space="0" w:color="auto"/>
              <w:left w:val="single" w:sz="4" w:space="0" w:color="auto"/>
              <w:bottom w:val="single" w:sz="4" w:space="0" w:color="auto"/>
              <w:right w:val="single" w:sz="4" w:space="0" w:color="auto"/>
            </w:tcBorders>
            <w:hideMark/>
          </w:tcPr>
          <w:p w:rsidR="000C7D31" w:rsidRDefault="000C7D31">
            <w:pPr>
              <w:rPr>
                <w:b/>
              </w:rPr>
            </w:pPr>
            <w:r>
              <w:rPr>
                <w:rFonts w:ascii="Times New Roman" w:eastAsia="Calibri" w:hAnsi="Times New Roman" w:cs="Times New Roman"/>
                <w:b/>
                <w:bCs/>
                <w:color w:val="000000"/>
                <w:sz w:val="24"/>
                <w:szCs w:val="24"/>
              </w:rPr>
              <w:t>Процесуальна дія</w:t>
            </w:r>
          </w:p>
        </w:tc>
        <w:tc>
          <w:tcPr>
            <w:tcW w:w="3285" w:type="dxa"/>
            <w:tcBorders>
              <w:top w:val="single" w:sz="4" w:space="0" w:color="auto"/>
              <w:left w:val="single" w:sz="4" w:space="0" w:color="auto"/>
              <w:bottom w:val="single" w:sz="4" w:space="0" w:color="auto"/>
              <w:right w:val="single" w:sz="4" w:space="0" w:color="auto"/>
            </w:tcBorders>
            <w:hideMark/>
          </w:tcPr>
          <w:p w:rsidR="000C7D31" w:rsidRDefault="000C7D31">
            <w:pPr>
              <w:jc w:val="center"/>
            </w:pPr>
            <w:r>
              <w:rPr>
                <w:rFonts w:ascii="Times New Roman" w:eastAsia="Calibri" w:hAnsi="Times New Roman" w:cs="Times New Roman"/>
                <w:b/>
                <w:bCs/>
                <w:color w:val="000000"/>
                <w:sz w:val="24"/>
                <w:szCs w:val="24"/>
              </w:rPr>
              <w:t>За 10 місяців 2019 року</w:t>
            </w:r>
          </w:p>
        </w:tc>
        <w:tc>
          <w:tcPr>
            <w:tcW w:w="3285" w:type="dxa"/>
            <w:tcBorders>
              <w:top w:val="single" w:sz="4" w:space="0" w:color="auto"/>
              <w:left w:val="single" w:sz="4" w:space="0" w:color="auto"/>
              <w:bottom w:val="single" w:sz="4" w:space="0" w:color="auto"/>
              <w:right w:val="single" w:sz="4" w:space="0" w:color="auto"/>
            </w:tcBorders>
            <w:hideMark/>
          </w:tcPr>
          <w:p w:rsidR="000C7D31" w:rsidRDefault="000C7D31">
            <w:pPr>
              <w:jc w:val="center"/>
            </w:pPr>
            <w:r>
              <w:rPr>
                <w:rFonts w:ascii="Times New Roman" w:eastAsia="Calibri" w:hAnsi="Times New Roman" w:cs="Times New Roman"/>
                <w:b/>
                <w:bCs/>
                <w:color w:val="000000"/>
                <w:sz w:val="24"/>
                <w:szCs w:val="24"/>
              </w:rPr>
              <w:t>За 10 місяців 2020 року</w:t>
            </w:r>
          </w:p>
        </w:tc>
      </w:tr>
      <w:tr w:rsidR="000C7D31" w:rsidTr="000C7D31">
        <w:tc>
          <w:tcPr>
            <w:tcW w:w="3285" w:type="dxa"/>
            <w:tcBorders>
              <w:top w:val="single" w:sz="4" w:space="0" w:color="auto"/>
              <w:left w:val="single" w:sz="4" w:space="0" w:color="auto"/>
              <w:bottom w:val="single" w:sz="4" w:space="0" w:color="auto"/>
              <w:right w:val="single" w:sz="4" w:space="0" w:color="auto"/>
            </w:tcBorders>
            <w:hideMark/>
          </w:tcPr>
          <w:p w:rsidR="000C7D31" w:rsidRDefault="000C7D31">
            <w:r>
              <w:rPr>
                <w:rFonts w:ascii="Times New Roman" w:eastAsia="Calibri" w:hAnsi="Times New Roman" w:cs="Times New Roman"/>
                <w:bCs/>
                <w:color w:val="000000"/>
                <w:sz w:val="24"/>
                <w:szCs w:val="24"/>
              </w:rPr>
              <w:t>Відмови в наданні адміністративних послуг</w:t>
            </w:r>
          </w:p>
        </w:tc>
        <w:tc>
          <w:tcPr>
            <w:tcW w:w="3285" w:type="dxa"/>
            <w:tcBorders>
              <w:top w:val="single" w:sz="4" w:space="0" w:color="auto"/>
              <w:left w:val="single" w:sz="4" w:space="0" w:color="auto"/>
              <w:bottom w:val="single" w:sz="4" w:space="0" w:color="auto"/>
              <w:right w:val="single" w:sz="4" w:space="0" w:color="auto"/>
            </w:tcBorders>
            <w:hideMark/>
          </w:tcPr>
          <w:p w:rsidR="000C7D31" w:rsidRDefault="000C7D31">
            <w:pPr>
              <w:jc w:val="center"/>
            </w:pPr>
            <w:r>
              <w:rPr>
                <w:rFonts w:ascii="Times New Roman" w:eastAsia="Times New Roman" w:hAnsi="Times New Roman" w:cs="Times New Roman"/>
                <w:sz w:val="24"/>
                <w:szCs w:val="24"/>
                <w:lang w:eastAsia="ru-RU"/>
              </w:rPr>
              <w:t>4</w:t>
            </w:r>
          </w:p>
        </w:tc>
        <w:tc>
          <w:tcPr>
            <w:tcW w:w="3285" w:type="dxa"/>
            <w:tcBorders>
              <w:top w:val="single" w:sz="4" w:space="0" w:color="auto"/>
              <w:left w:val="single" w:sz="4" w:space="0" w:color="auto"/>
              <w:bottom w:val="single" w:sz="4" w:space="0" w:color="auto"/>
              <w:right w:val="single" w:sz="4" w:space="0" w:color="auto"/>
            </w:tcBorders>
            <w:hideMark/>
          </w:tcPr>
          <w:p w:rsidR="000C7D31" w:rsidRDefault="000C7D31">
            <w:pPr>
              <w:jc w:val="center"/>
            </w:pPr>
            <w:r>
              <w:rPr>
                <w:rFonts w:ascii="Times New Roman" w:eastAsia="Times New Roman" w:hAnsi="Times New Roman" w:cs="Times New Roman"/>
                <w:sz w:val="24"/>
                <w:szCs w:val="24"/>
                <w:lang w:eastAsia="ru-RU"/>
              </w:rPr>
              <w:t>15</w:t>
            </w:r>
          </w:p>
        </w:tc>
      </w:tr>
    </w:tbl>
    <w:p w:rsidR="000C7D31" w:rsidRDefault="000C7D31" w:rsidP="000C7D31"/>
    <w:p w:rsidR="000C7D31" w:rsidRDefault="000C7D31" w:rsidP="000C7D31">
      <w:r>
        <w:rPr>
          <w:noProof/>
        </w:rPr>
        <w:lastRenderedPageBreak/>
        <w:drawing>
          <wp:inline distT="0" distB="0" distL="0" distR="0">
            <wp:extent cx="5724525" cy="2533650"/>
            <wp:effectExtent l="0" t="0" r="0" b="0"/>
            <wp:docPr id="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7D31" w:rsidRDefault="000C7D31" w:rsidP="000C7D31">
      <w:pPr>
        <w:pStyle w:val="a3"/>
        <w:ind w:firstLine="708"/>
        <w:jc w:val="both"/>
        <w:rPr>
          <w:rFonts w:ascii="Times New Roman" w:hAnsi="Times New Roman"/>
          <w:color w:val="333333"/>
          <w:sz w:val="24"/>
          <w:szCs w:val="24"/>
          <w:shd w:val="clear" w:color="auto" w:fill="FFFFFF"/>
        </w:rPr>
      </w:pPr>
      <w:r>
        <w:rPr>
          <w:rFonts w:ascii="Times New Roman" w:hAnsi="Times New Roman"/>
          <w:b/>
          <w:sz w:val="24"/>
          <w:szCs w:val="24"/>
          <w:lang w:eastAsia="en-GB"/>
        </w:rPr>
        <w:t>17.03.2020</w:t>
      </w:r>
      <w:r>
        <w:rPr>
          <w:rFonts w:ascii="Times New Roman" w:hAnsi="Times New Roman"/>
          <w:sz w:val="24"/>
          <w:szCs w:val="24"/>
          <w:lang w:eastAsia="en-GB"/>
        </w:rPr>
        <w:t xml:space="preserve"> набрала чинності постанова Кабінету Міністрів України від 13.03.2020 № 219 «Про оптимізацію органів державного архітектурно-будівельного контролю та нагляду» (далі – Постанова), згідно із якою </w:t>
      </w:r>
      <w:r>
        <w:rPr>
          <w:rFonts w:ascii="Times New Roman" w:hAnsi="Times New Roman"/>
          <w:b/>
          <w:sz w:val="24"/>
          <w:szCs w:val="24"/>
          <w:lang w:eastAsia="en-GB"/>
        </w:rPr>
        <w:t>зупинено</w:t>
      </w:r>
      <w:r>
        <w:rPr>
          <w:rFonts w:ascii="Times New Roman" w:hAnsi="Times New Roman"/>
          <w:sz w:val="24"/>
          <w:szCs w:val="24"/>
          <w:lang w:eastAsia="en-GB"/>
        </w:rPr>
        <w:t xml:space="preserve"> діюпостанови Кабінету Міністрів України від 23 травня 2011 р. </w:t>
      </w:r>
      <w:hyperlink r:id="rId10" w:tgtFrame="_blank" w:history="1">
        <w:r>
          <w:rPr>
            <w:rStyle w:val="a5"/>
            <w:rFonts w:ascii="Times New Roman" w:hAnsi="Times New Roman"/>
            <w:color w:val="auto"/>
            <w:sz w:val="24"/>
            <w:szCs w:val="24"/>
            <w:u w:val="none"/>
            <w:lang w:eastAsia="en-GB"/>
          </w:rPr>
          <w:t>№ 553</w:t>
        </w:r>
      </w:hyperlink>
      <w:r>
        <w:rPr>
          <w:rFonts w:ascii="Times New Roman" w:hAnsi="Times New Roman"/>
          <w:sz w:val="24"/>
          <w:szCs w:val="24"/>
          <w:lang w:eastAsia="en-GB"/>
        </w:rPr>
        <w:t> “Про затвердження Порядку здійснення державного архітектурно-будівельного контролю” (Офіційний вісник України, 2011 р., № 40, ст. 1647) до початку виконання функцій і повноваж</w:t>
      </w:r>
      <w:bookmarkStart w:id="2" w:name="_GoBack"/>
      <w:bookmarkEnd w:id="2"/>
      <w:r>
        <w:rPr>
          <w:rFonts w:ascii="Times New Roman" w:hAnsi="Times New Roman"/>
          <w:sz w:val="24"/>
          <w:szCs w:val="24"/>
          <w:lang w:eastAsia="en-GB"/>
        </w:rPr>
        <w:t>ень Державної інспекції містобудування.</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t>Вказана Постанова, унеможливлює здійснення заходів державного архітектурно-будівельного контролю.</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t>Одночасно повідомляємо, розпорядженням міського голови №106 від 16.04.2020р. створено комісію з метою запобігання незаконної забудови міста Тернополя.</w:t>
      </w:r>
    </w:p>
    <w:p w:rsidR="000C7D31" w:rsidRDefault="000C7D31" w:rsidP="000C7D31">
      <w:pPr>
        <w:pStyle w:val="a3"/>
        <w:jc w:val="both"/>
        <w:rPr>
          <w:rFonts w:ascii="Times New Roman" w:hAnsi="Times New Roman"/>
          <w:sz w:val="24"/>
          <w:szCs w:val="24"/>
          <w:lang w:eastAsia="en-GB"/>
        </w:rPr>
      </w:pPr>
      <w:r>
        <w:rPr>
          <w:rFonts w:ascii="Times New Roman" w:hAnsi="Times New Roman"/>
          <w:sz w:val="24"/>
          <w:szCs w:val="24"/>
          <w:lang w:eastAsia="en-GB"/>
        </w:rPr>
        <w:t xml:space="preserve">Підставою для початку роботи якої, є звернення фізичних чи юридичних осіб про порушення суб'єктом містобудування вимог законодавства у сфері містобудівної діяльності. </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t xml:space="preserve">За результатами комісій головними спеціалістами-інспекторами відділу складено </w:t>
      </w:r>
      <w:r>
        <w:rPr>
          <w:rFonts w:ascii="Times New Roman" w:hAnsi="Times New Roman"/>
          <w:sz w:val="24"/>
          <w:szCs w:val="24"/>
          <w:lang w:val="ru-RU" w:eastAsia="en-GB"/>
        </w:rPr>
        <w:t xml:space="preserve">17 </w:t>
      </w:r>
      <w:r>
        <w:rPr>
          <w:rFonts w:ascii="Times New Roman" w:hAnsi="Times New Roman"/>
          <w:sz w:val="24"/>
          <w:szCs w:val="24"/>
          <w:lang w:eastAsia="en-GB"/>
        </w:rPr>
        <w:t>актів та 4 протоколи.</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t>Комісія виконує свої обов'язки до відновлення дії Порядку здійснення державного архітектурно-будівельного контролю, затвердженого постановою Кабінету Міністрів України від 23.05.2011 року №553.</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t>Відділ приймає активну участь в комісіях створених Тернопільською міською радою, а також залучає спеціалістів виконавчих органів міської ради, підприємств, установ та організацій, в тому числі спеціалізованих проектних і будівельних, об'єднань громадян (за погодженням з їхніми керівниками) для розгляду питань у сфері містобудування та архітектури.</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t>На підставі документів, складених за результатами роботи вищевказаної комісії Відділом державного архітектурно-будівельного контролю ТМР підготовлено дві позовних заяви про скасування права на виконання будівельних робіт, яке виникло на підставі поданої декларації та скасування права на виконання будівельних робіт, яке виникло на підставі поданого повідомлення.</w:t>
      </w:r>
    </w:p>
    <w:p w:rsidR="000C7D31" w:rsidRDefault="000C7D31" w:rsidP="000C7D31">
      <w:pPr>
        <w:pStyle w:val="a3"/>
        <w:ind w:firstLine="708"/>
        <w:jc w:val="both"/>
        <w:rPr>
          <w:rFonts w:ascii="Times New Roman" w:hAnsi="Times New Roman"/>
          <w:sz w:val="24"/>
          <w:szCs w:val="24"/>
          <w:lang w:eastAsia="ru-RU"/>
        </w:rPr>
      </w:pPr>
      <w:r>
        <w:rPr>
          <w:rFonts w:ascii="Times New Roman" w:hAnsi="Times New Roman"/>
          <w:sz w:val="24"/>
          <w:szCs w:val="24"/>
          <w:lang w:eastAsia="en-GB"/>
        </w:rPr>
        <w:t>Також, у 2020 році Тернопільським окружним адміністративним судом прийнято два рішення, якими задоволено позовні заяви відділу державного архітектурно-будівельного контролю про зобов’язання здійснити знесення самовільно збудованого індивідуального житлового будинку а також про зобов’язання привести у попередній стан гараж  шляхом демонтажу другого поверху.</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t>Окрім того, відділом ДАБК ТМР взято участь у 14 судових справах, провадження в яких відкрито протягом 2017-2020 рр.</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t>Повністю відмовлено в задоволенні позовних вимог щодо скасування постанови про накладення штрафу за правопорушення у сфері містобудівної діяльності в сумі 777 740 грн. рішенням Тернопільського міськрайонного суду від 03.03.2020 №500/134/20, залишеним без змін постановою Восьмого апеляційного адміністративного суду від 16.09.2020.</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lastRenderedPageBreak/>
        <w:t>20.10.2020 Відділом ДАБК ТМР направлено постанову про накладення штрафу за правопорушення у сфері містобудівної діяльності в сумі   777 740 грн.  до Тернопільського міського відділу державної виконавчої служби.</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t>На підставі звернення Відділу ДАБК ТМР у 2020 році відкрито три виконавчих провадження з примусового виконання постанов по справі про адміністративне правопорушення а також судових рішень про демонтаж.</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t xml:space="preserve">Два виконавчих провадження закрито у зв'язку зі сплатою боржниками боргу в сумі 13 600 грн. тата 8 500 грн.  в повному обсязі. </w:t>
      </w:r>
    </w:p>
    <w:p w:rsidR="000C7D31" w:rsidRDefault="000C7D31" w:rsidP="000C7D31">
      <w:pPr>
        <w:pStyle w:val="a3"/>
        <w:ind w:firstLine="708"/>
        <w:jc w:val="both"/>
        <w:rPr>
          <w:rFonts w:ascii="Times New Roman" w:hAnsi="Times New Roman"/>
          <w:sz w:val="24"/>
          <w:szCs w:val="24"/>
          <w:lang w:eastAsia="en-GB"/>
        </w:rPr>
      </w:pPr>
      <w:r>
        <w:rPr>
          <w:rFonts w:ascii="Times New Roman" w:hAnsi="Times New Roman"/>
          <w:sz w:val="24"/>
          <w:szCs w:val="24"/>
          <w:lang w:eastAsia="en-GB"/>
        </w:rPr>
        <w:t>Даний звіт відділу державного архітектурно-будівельного контролю прошу прийняти та  затвердити.</w:t>
      </w:r>
    </w:p>
    <w:p w:rsidR="000C7D31" w:rsidRDefault="000C7D31" w:rsidP="000C7D31">
      <w:pPr>
        <w:pStyle w:val="a3"/>
        <w:rPr>
          <w:rFonts w:ascii="Times New Roman" w:hAnsi="Times New Roman"/>
          <w:bCs/>
          <w:color w:val="000000"/>
          <w:sz w:val="24"/>
          <w:szCs w:val="24"/>
          <w:lang w:eastAsia="uk-UA"/>
        </w:rPr>
      </w:pPr>
    </w:p>
    <w:p w:rsidR="000C7D31" w:rsidRDefault="000C7D31" w:rsidP="000C7D31">
      <w:pPr>
        <w:pStyle w:val="a3"/>
        <w:rPr>
          <w:rFonts w:ascii="Times New Roman" w:hAnsi="Times New Roman"/>
          <w:bCs/>
          <w:color w:val="000000"/>
          <w:sz w:val="24"/>
          <w:szCs w:val="24"/>
          <w:lang w:eastAsia="uk-UA"/>
        </w:rPr>
      </w:pPr>
    </w:p>
    <w:p w:rsidR="000C7D31" w:rsidRDefault="000C7D31" w:rsidP="000C7D31">
      <w:pPr>
        <w:pStyle w:val="a3"/>
        <w:rPr>
          <w:rFonts w:ascii="Times New Roman" w:hAnsi="Times New Roman"/>
          <w:bCs/>
          <w:color w:val="000000"/>
          <w:sz w:val="24"/>
          <w:szCs w:val="24"/>
          <w:lang w:eastAsia="uk-UA"/>
        </w:rPr>
      </w:pPr>
      <w:r>
        <w:rPr>
          <w:rFonts w:ascii="Times New Roman" w:hAnsi="Times New Roman"/>
          <w:bCs/>
          <w:color w:val="000000"/>
          <w:sz w:val="24"/>
          <w:szCs w:val="24"/>
          <w:lang w:eastAsia="uk-UA"/>
        </w:rPr>
        <w:t>Начальник відділу</w:t>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t>Михайло ГОРІШНИЙ</w:t>
      </w:r>
    </w:p>
    <w:p w:rsidR="000C7D31" w:rsidRDefault="000C7D31" w:rsidP="000C7D31">
      <w:pPr>
        <w:pStyle w:val="a3"/>
        <w:rPr>
          <w:rFonts w:ascii="Times New Roman" w:hAnsi="Times New Roman"/>
          <w:bCs/>
          <w:color w:val="000000"/>
          <w:sz w:val="24"/>
          <w:szCs w:val="24"/>
          <w:lang w:eastAsia="uk-UA"/>
        </w:rPr>
      </w:pPr>
    </w:p>
    <w:p w:rsidR="000C7D31" w:rsidRDefault="000C7D31" w:rsidP="000C7D31">
      <w:pPr>
        <w:pStyle w:val="a3"/>
        <w:rPr>
          <w:rFonts w:ascii="Times New Roman" w:hAnsi="Times New Roman"/>
          <w:bCs/>
          <w:color w:val="000000"/>
          <w:sz w:val="24"/>
          <w:szCs w:val="24"/>
          <w:lang w:eastAsia="uk-UA"/>
        </w:rPr>
      </w:pPr>
    </w:p>
    <w:p w:rsidR="000C7D31" w:rsidRDefault="000C7D31" w:rsidP="000C7D31">
      <w:pPr>
        <w:pStyle w:val="a3"/>
        <w:rPr>
          <w:rFonts w:ascii="Times New Roman" w:hAnsi="Times New Roman"/>
          <w:bCs/>
          <w:color w:val="000000"/>
          <w:sz w:val="24"/>
          <w:szCs w:val="24"/>
          <w:lang w:eastAsia="uk-UA"/>
        </w:rPr>
      </w:pPr>
      <w:r>
        <w:rPr>
          <w:rFonts w:ascii="Times New Roman" w:hAnsi="Times New Roman"/>
          <w:bCs/>
          <w:color w:val="000000"/>
          <w:sz w:val="24"/>
          <w:szCs w:val="24"/>
          <w:lang w:eastAsia="uk-UA"/>
        </w:rPr>
        <w:t xml:space="preserve">Заступник міського голови </w:t>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t xml:space="preserve"> Іван ХІМЕЙЧУК</w:t>
      </w:r>
    </w:p>
    <w:p w:rsidR="000C7D31" w:rsidRDefault="000C7D31" w:rsidP="000C7D31">
      <w:pPr>
        <w:pStyle w:val="a3"/>
        <w:rPr>
          <w:rFonts w:ascii="Times New Roman" w:hAnsi="Times New Roman"/>
          <w:bCs/>
          <w:color w:val="000000"/>
          <w:sz w:val="24"/>
          <w:szCs w:val="24"/>
          <w:lang w:eastAsia="uk-UA"/>
        </w:rPr>
      </w:pPr>
      <w:r>
        <w:rPr>
          <w:rFonts w:ascii="Times New Roman" w:hAnsi="Times New Roman"/>
          <w:bCs/>
          <w:color w:val="000000"/>
          <w:sz w:val="24"/>
          <w:szCs w:val="24"/>
          <w:lang w:eastAsia="uk-UA"/>
        </w:rPr>
        <w:t xml:space="preserve">керуючий справами </w:t>
      </w:r>
    </w:p>
    <w:p w:rsidR="000C7D31" w:rsidRDefault="000C7D31" w:rsidP="000C7D31">
      <w:pPr>
        <w:pStyle w:val="a3"/>
        <w:rPr>
          <w:rFonts w:ascii="Times New Roman" w:hAnsi="Times New Roman"/>
          <w:color w:val="232B30"/>
          <w:sz w:val="24"/>
          <w:szCs w:val="24"/>
          <w:lang w:eastAsia="uk-UA"/>
        </w:rPr>
      </w:pPr>
    </w:p>
    <w:p w:rsidR="000C7D31" w:rsidRDefault="000C7D31" w:rsidP="000C7D31">
      <w:pPr>
        <w:pStyle w:val="a3"/>
        <w:rPr>
          <w:rFonts w:ascii="Times New Roman" w:hAnsi="Times New Roman"/>
          <w:bCs/>
          <w:color w:val="000000"/>
          <w:sz w:val="24"/>
          <w:szCs w:val="24"/>
          <w:lang w:eastAsia="uk-UA"/>
        </w:rPr>
      </w:pPr>
    </w:p>
    <w:p w:rsidR="000C7D31" w:rsidRDefault="000C7D31" w:rsidP="000C7D31">
      <w:pPr>
        <w:pStyle w:val="a3"/>
        <w:rPr>
          <w:rFonts w:ascii="Times New Roman" w:hAnsi="Times New Roman"/>
          <w:bCs/>
          <w:color w:val="000000"/>
          <w:sz w:val="24"/>
          <w:szCs w:val="24"/>
          <w:lang w:val="ru-RU" w:eastAsia="uk-UA"/>
        </w:rPr>
      </w:pPr>
      <w:r>
        <w:rPr>
          <w:rFonts w:ascii="Times New Roman" w:hAnsi="Times New Roman"/>
          <w:bCs/>
          <w:color w:val="000000"/>
          <w:sz w:val="24"/>
          <w:szCs w:val="24"/>
          <w:lang w:eastAsia="uk-UA"/>
        </w:rPr>
        <w:t>Міський голова</w:t>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r>
      <w:r>
        <w:rPr>
          <w:rFonts w:ascii="Times New Roman" w:hAnsi="Times New Roman"/>
          <w:bCs/>
          <w:color w:val="000000"/>
          <w:sz w:val="24"/>
          <w:szCs w:val="24"/>
          <w:lang w:eastAsia="uk-UA"/>
        </w:rPr>
        <w:tab/>
        <w:t>Сергій НАДАЛ</w:t>
      </w:r>
    </w:p>
    <w:p w:rsidR="000C7D31" w:rsidRDefault="000C7D31" w:rsidP="000C7D31">
      <w:pPr>
        <w:rPr>
          <w:lang w:val="ru-RU"/>
        </w:rPr>
      </w:pPr>
    </w:p>
    <w:p w:rsidR="000C7D31" w:rsidRDefault="000C7D31" w:rsidP="000C7D31">
      <w:pPr>
        <w:rPr>
          <w:lang w:val="ru-RU"/>
        </w:rPr>
      </w:pPr>
    </w:p>
    <w:p w:rsidR="000C7D31" w:rsidRDefault="000C7D31" w:rsidP="000C7D31">
      <w:pPr>
        <w:rPr>
          <w:lang w:val="ru-RU"/>
        </w:rPr>
      </w:pPr>
    </w:p>
    <w:p w:rsidR="000C7D31" w:rsidRDefault="000C7D31" w:rsidP="000C7D31">
      <w:pPr>
        <w:rPr>
          <w:lang w:val="ru-RU"/>
        </w:rPr>
      </w:pPr>
    </w:p>
    <w:p w:rsidR="000C7D31" w:rsidRDefault="000C7D31" w:rsidP="000C7D31">
      <w:pPr>
        <w:rPr>
          <w:lang w:val="ru-RU"/>
        </w:rPr>
      </w:pPr>
    </w:p>
    <w:p w:rsidR="000C7D31" w:rsidRDefault="000C7D31" w:rsidP="000C7D31">
      <w:pPr>
        <w:rPr>
          <w:lang w:val="ru-RU"/>
        </w:rPr>
      </w:pPr>
    </w:p>
    <w:p w:rsidR="000C7D31" w:rsidRDefault="000C7D31" w:rsidP="000C7D31">
      <w:pPr>
        <w:rPr>
          <w:lang w:val="ru-RU"/>
        </w:rPr>
      </w:pPr>
    </w:p>
    <w:p w:rsidR="000C7D31" w:rsidRDefault="000C7D31" w:rsidP="000C7D31">
      <w:pPr>
        <w:rPr>
          <w:lang w:val="ru-RU"/>
        </w:rPr>
      </w:pPr>
    </w:p>
    <w:p w:rsidR="000C7D31" w:rsidRDefault="000C7D31" w:rsidP="000C7D31">
      <w:pPr>
        <w:rPr>
          <w:lang w:val="ru-RU"/>
        </w:rPr>
      </w:pPr>
    </w:p>
    <w:p w:rsidR="000C7D31" w:rsidRDefault="000C7D31" w:rsidP="000C7D31">
      <w:pPr>
        <w:rPr>
          <w:lang w:val="ru-RU"/>
        </w:rPr>
      </w:pPr>
    </w:p>
    <w:p w:rsidR="000C7D31" w:rsidRDefault="000C7D31" w:rsidP="000C7D31">
      <w:pPr>
        <w:rPr>
          <w:lang w:val="ru-RU"/>
        </w:rPr>
      </w:pPr>
    </w:p>
    <w:p w:rsidR="000C7D31" w:rsidRDefault="000C7D31" w:rsidP="000C7D3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Марта ШУГАЛЄЄВА </w:t>
      </w:r>
      <w:r>
        <w:rPr>
          <w:rFonts w:ascii="Times New Roman" w:hAnsi="Times New Roman" w:cs="Times New Roman"/>
          <w:color w:val="000000"/>
          <w:sz w:val="16"/>
          <w:szCs w:val="16"/>
          <w:shd w:val="clear" w:color="auto" w:fill="FFFFFF"/>
        </w:rPr>
        <w:t>0674473684</w:t>
      </w:r>
    </w:p>
    <w:p w:rsidR="000C7D31" w:rsidRDefault="000C7D31" w:rsidP="000C7D31">
      <w:pPr>
        <w:ind w:firstLine="708"/>
        <w:rPr>
          <w:lang w:val="ru-RU"/>
        </w:rPr>
      </w:pPr>
    </w:p>
    <w:p w:rsidR="00000000" w:rsidRDefault="000C7D31"/>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C7D31"/>
    <w:rsid w:val="000C7D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D31"/>
    <w:pPr>
      <w:spacing w:after="0" w:line="240" w:lineRule="auto"/>
    </w:pPr>
    <w:rPr>
      <w:rFonts w:ascii="Calibri" w:eastAsia="Calibri" w:hAnsi="Calibri" w:cs="Times New Roman"/>
      <w:lang w:eastAsia="en-US"/>
    </w:rPr>
  </w:style>
  <w:style w:type="table" w:styleId="a4">
    <w:name w:val="Table Grid"/>
    <w:basedOn w:val="a1"/>
    <w:uiPriority w:val="39"/>
    <w:rsid w:val="000C7D3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0C7D31"/>
    <w:rPr>
      <w:color w:val="0000FF"/>
      <w:u w:val="single"/>
    </w:rPr>
  </w:style>
  <w:style w:type="paragraph" w:styleId="a6">
    <w:name w:val="Balloon Text"/>
    <w:basedOn w:val="a"/>
    <w:link w:val="a7"/>
    <w:uiPriority w:val="99"/>
    <w:semiHidden/>
    <w:unhideWhenUsed/>
    <w:rsid w:val="000C7D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D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2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hyperlink" Target="https://zakon.rada.gov.ua/laws/show/461-2011-%D0%B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61-2011-%D0%BF" TargetMode="External"/><Relationship Id="rId11" Type="http://schemas.openxmlformats.org/officeDocument/2006/relationships/fontTable" Target="fontTable.xml"/><Relationship Id="rId5" Type="http://schemas.openxmlformats.org/officeDocument/2006/relationships/hyperlink" Target="https://zakon.rada.gov.ua/laws/show/461-2011-%D0%BF" TargetMode="External"/><Relationship Id="rId10" Type="http://schemas.openxmlformats.org/officeDocument/2006/relationships/hyperlink" Target="https://zakon.rada.gov.ua/laws/show/553-2011-%D0%BF" TargetMode="External"/><Relationship Id="rId4" Type="http://schemas.openxmlformats.org/officeDocument/2006/relationships/chart" Target="charts/chart1.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6"/>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ru-RU" sz="1800" b="0" i="0" u="none" strike="noStrike" kern="1200" cap="all" baseline="0">
                <a:solidFill>
                  <a:schemeClr val="lt1"/>
                </a:solidFill>
                <a:latin typeface="+mn-lt"/>
                <a:ea typeface="+mn-ea"/>
                <a:cs typeface="+mn-cs"/>
              </a:defRPr>
            </a:pPr>
            <a:r>
              <a:rPr lang="uk-UA" sz="1400"/>
              <a:t>Кількість звернень фізичних осіб, фізичних осіб-підприємців, юридичних осіб 10 місяців 2019 року</a:t>
            </a:r>
            <a:r>
              <a:rPr lang="uk-UA" sz="1400" baseline="0"/>
              <a:t> та за 10 місяців 2020 року</a:t>
            </a:r>
          </a:p>
        </c:rich>
      </c:tx>
      <c:layout>
        <c:manualLayout>
          <c:xMode val="edge"/>
          <c:yMode val="edge"/>
          <c:x val="0.11100693695394252"/>
          <c:y val="7.6169749727965155E-2"/>
        </c:manualLayout>
      </c:layout>
      <c:spPr>
        <a:noFill/>
        <a:ln>
          <a:noFill/>
        </a:ln>
        <a:effectLst/>
      </c:spPr>
    </c:title>
    <c:view3D>
      <c:depthPercent val="100"/>
      <c:rAngAx val="1"/>
    </c:view3D>
    <c:floor>
      <c:spPr>
        <a:solidFill>
          <a:schemeClr val="bg2">
            <a:lumMod val="75000"/>
            <a:alpha val="27000"/>
          </a:schemeClr>
        </a:solid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7825342465753595E-2"/>
          <c:y val="0.39676299983720903"/>
          <c:w val="0.9529109589041096"/>
          <c:h val="0.40629321498033566"/>
        </c:manualLayout>
      </c:layout>
      <c:bar3DChart>
        <c:barDir val="col"/>
        <c:grouping val="clustered"/>
        <c:ser>
          <c:idx val="0"/>
          <c:order val="0"/>
          <c:tx>
            <c:strRef>
              <c:f>Лист1!$A$8</c:f>
              <c:strCache>
                <c:ptCount val="1"/>
                <c:pt idx="0">
                  <c:v>Кількість звернень фізичних осіб, фізичних осіб-підприємців, юридичних осіб</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dLbls>
            <c:dLbl>
              <c:idx val="0"/>
              <c:layout/>
              <c:tx>
                <c:rich>
                  <a:bodyPr/>
                  <a:lstStyle/>
                  <a:p>
                    <a:r>
                      <a:rPr lang="en-US"/>
                      <a:t>548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E93-4C49-98FC-DC5038F91CCF}"/>
                </c:ext>
              </c:extLst>
            </c:dLbl>
            <c:dLbl>
              <c:idx val="1"/>
              <c:layout/>
              <c:tx>
                <c:rich>
                  <a:bodyPr/>
                  <a:lstStyle/>
                  <a:p>
                    <a:r>
                      <a:rPr lang="en-US"/>
                      <a:t>366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E93-4C49-98FC-DC5038F91CCF}"/>
                </c:ext>
              </c:extLst>
            </c:dLbl>
            <c:spPr>
              <a:solidFill>
                <a:schemeClr val="accent4">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Лист1!$B$7:$C$7</c:f>
              <c:numCache>
                <c:formatCode>General</c:formatCode>
                <c:ptCount val="2"/>
                <c:pt idx="0">
                  <c:v>2019</c:v>
                </c:pt>
                <c:pt idx="1">
                  <c:v>2020</c:v>
                </c:pt>
              </c:numCache>
            </c:numRef>
          </c:cat>
          <c:val>
            <c:numRef>
              <c:f>Лист1!$B$8:$C$8</c:f>
              <c:numCache>
                <c:formatCode>General</c:formatCode>
                <c:ptCount val="2"/>
                <c:pt idx="0">
                  <c:v>548</c:v>
                </c:pt>
                <c:pt idx="1">
                  <c:v>366</c:v>
                </c:pt>
              </c:numCache>
            </c:numRef>
          </c:val>
          <c:shape val="pyramid"/>
          <c:extLst xmlns:c16r2="http://schemas.microsoft.com/office/drawing/2015/06/chart">
            <c:ext xmlns:c16="http://schemas.microsoft.com/office/drawing/2014/chart" uri="{C3380CC4-5D6E-409C-BE32-E72D297353CC}">
              <c16:uniqueId val="{00000002-6E93-4C49-98FC-DC5038F91CCF}"/>
            </c:ext>
          </c:extLst>
        </c:ser>
        <c:dLbls>
          <c:showVal val="1"/>
        </c:dLbls>
        <c:gapWidth val="84"/>
        <c:gapDepth val="53"/>
        <c:shape val="box"/>
        <c:axId val="155887488"/>
        <c:axId val="155889024"/>
        <c:axId val="0"/>
      </c:bar3DChart>
      <c:catAx>
        <c:axId val="15588748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lt1">
                    <a:lumMod val="75000"/>
                  </a:schemeClr>
                </a:solidFill>
                <a:latin typeface="+mn-lt"/>
                <a:ea typeface="+mn-ea"/>
                <a:cs typeface="+mn-cs"/>
              </a:defRPr>
            </a:pPr>
            <a:endParaRPr lang="uk-UA"/>
          </a:p>
        </c:txPr>
        <c:crossAx val="155889024"/>
        <c:crosses val="autoZero"/>
        <c:auto val="1"/>
        <c:lblAlgn val="ctr"/>
        <c:lblOffset val="100"/>
      </c:catAx>
      <c:valAx>
        <c:axId val="155889024"/>
        <c:scaling>
          <c:orientation val="minMax"/>
        </c:scaling>
        <c:delete val="1"/>
        <c:axPos val="l"/>
        <c:numFmt formatCode="General" sourceLinked="1"/>
        <c:tickLblPos val="nextTo"/>
        <c:crossAx val="155887488"/>
        <c:crosses val="autoZero"/>
        <c:crossBetween val="between"/>
      </c:valAx>
      <c:spPr>
        <a:noFill/>
        <a:ln w="25400">
          <a:noFill/>
        </a:ln>
        <a:effectLst/>
      </c:spPr>
    </c:plotArea>
    <c:plotVisOnly val="1"/>
    <c:dispBlanksAs val="gap"/>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uk-UA"/>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6"/>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ru-RU" sz="1800" b="0" i="0" u="none" strike="noStrike" kern="1200" cap="all" baseline="0">
                <a:solidFill>
                  <a:schemeClr val="lt1"/>
                </a:solidFill>
                <a:latin typeface="+mn-lt"/>
                <a:ea typeface="+mn-ea"/>
                <a:cs typeface="+mn-cs"/>
              </a:defRPr>
            </a:pPr>
            <a:r>
              <a:rPr lang="uk-UA"/>
              <a:t>Кількість документів прийнятих через центр надання адміністративних послуг за 10 місяців 2020</a:t>
            </a:r>
          </a:p>
        </c:rich>
      </c:tx>
      <c:layout/>
      <c:spPr>
        <a:noFill/>
        <a:ln>
          <a:noFill/>
        </a:ln>
        <a:effectLst/>
      </c:spPr>
    </c:title>
    <c:view3D>
      <c:depthPercent val="100"/>
      <c:rAngAx val="1"/>
    </c:view3D>
    <c:floor>
      <c:spPr>
        <a:solidFill>
          <a:schemeClr val="bg2">
            <a:lumMod val="75000"/>
            <a:alpha val="27000"/>
          </a:schemeClr>
        </a:solid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307046979865772E-2"/>
          <c:y val="0.39487610004631846"/>
          <c:w val="0.91191275167785157"/>
          <c:h val="0.55457242936544648"/>
        </c:manualLayout>
      </c:layout>
      <c:bar3DChart>
        <c:barDir val="col"/>
        <c:grouping val="clustered"/>
        <c:ser>
          <c:idx val="0"/>
          <c:order val="0"/>
          <c:tx>
            <c:strRef>
              <c:f>Лист1!$A$178</c:f>
              <c:strCache>
                <c:ptCount val="1"/>
                <c:pt idx="0">
                  <c:v>Кількість документів прийнятих через центр надання адміністративних послуг</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dLbls>
            <c:dLbl>
              <c:idx val="0"/>
              <c:layout>
                <c:manualLayout>
                  <c:x val="-0.16403749031883341"/>
                  <c:y val="0.25275735294117535"/>
                </c:manualLayout>
              </c:layout>
              <c:tx>
                <c:rich>
                  <a:bodyPr rot="0" spcFirstLastPara="1" vertOverflow="ellipsis" vert="horz" wrap="square" lIns="38100" tIns="19050" rIns="38100" bIns="19050" anchor="ctr" anchorCtr="1">
                    <a:spAutoFit/>
                  </a:bodyPr>
                  <a:lstStyle/>
                  <a:p>
                    <a:pPr>
                      <a:defRPr lang="ru-RU" sz="900" b="1" i="0" u="none" strike="noStrike" kern="1200" baseline="0">
                        <a:ln>
                          <a:noFill/>
                        </a:ln>
                        <a:solidFill>
                          <a:schemeClr val="bg1"/>
                        </a:solidFill>
                        <a:latin typeface="+mn-lt"/>
                        <a:ea typeface="+mn-ea"/>
                        <a:cs typeface="+mn-cs"/>
                      </a:defRPr>
                    </a:pPr>
                    <a:r>
                      <a:rPr lang="uk-UA"/>
                      <a:t>[ИМЯ РЯДА] за 2019 рік</a:t>
                    </a:r>
                    <a:r>
                      <a:rPr lang="uk-UA" baseline="0"/>
                      <a:t>- [ЗНАЧЕНИЕ]</a:t>
                    </a:r>
                  </a:p>
                </c:rich>
              </c:tx>
              <c:spPr>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10800000" scaled="1"/>
                  <a:tileRect/>
                </a:gradFill>
                <a:ln>
                  <a:solidFill>
                    <a:sysClr val="window" lastClr="FFFFFF">
                      <a:alpha val="50000"/>
                    </a:sysClr>
                  </a:solidFill>
                  <a:round/>
                </a:ln>
                <a:effectLst>
                  <a:outerShdw blurRad="63500" dist="88900" dir="2700000" algn="tl" rotWithShape="0">
                    <a:prstClr val="black">
                      <a:alpha val="40000"/>
                    </a:prstClr>
                  </a:outerShdw>
                </a:effectLst>
              </c:spPr>
              <c:showVal val="1"/>
              <c:showSer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E7A2-4E5C-BC21-27A5AF8F16D6}"/>
                </c:ext>
              </c:extLst>
            </c:dLbl>
            <c:dLbl>
              <c:idx val="1"/>
              <c:layout>
                <c:manualLayout>
                  <c:x val="0.26140804504969728"/>
                  <c:y val="0.16544117647058823"/>
                </c:manualLayout>
              </c:layout>
              <c:tx>
                <c:rich>
                  <a:bodyPr rot="0" spcFirstLastPara="1" vertOverflow="ellipsis" vert="horz" wrap="square" lIns="38100" tIns="19050" rIns="38100" bIns="19050" anchor="ctr" anchorCtr="1">
                    <a:spAutoFit/>
                  </a:bodyPr>
                  <a:lstStyle/>
                  <a:p>
                    <a:pPr>
                      <a:defRPr lang="ru-RU" sz="900" b="1" i="0" u="none" strike="noStrike" kern="1200" baseline="0">
                        <a:ln>
                          <a:noFill/>
                        </a:ln>
                        <a:solidFill>
                          <a:schemeClr val="bg1"/>
                        </a:solidFill>
                        <a:latin typeface="+mn-lt"/>
                        <a:ea typeface="+mn-ea"/>
                        <a:cs typeface="+mn-cs"/>
                      </a:defRPr>
                    </a:pPr>
                    <a:r>
                      <a:rPr lang="uk-UA"/>
                      <a:t>[ИМЯ РЯДА]</a:t>
                    </a:r>
                    <a:r>
                      <a:rPr lang="uk-UA" baseline="0"/>
                      <a:t> за 2020 рік- [ЗНАЧЕНИЕ]</a:t>
                    </a:r>
                  </a:p>
                </c:rich>
              </c:tx>
              <c:spPr>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0" scaled="1"/>
                  <a:tileRect/>
                </a:gradFill>
                <a:ln>
                  <a:solidFill>
                    <a:sysClr val="window" lastClr="FFFFFF">
                      <a:alpha val="50000"/>
                    </a:sysClr>
                  </a:solidFill>
                  <a:round/>
                </a:ln>
                <a:effectLst>
                  <a:outerShdw blurRad="63500" dist="88900" dir="2700000" algn="tl" rotWithShape="0">
                    <a:prstClr val="black">
                      <a:alpha val="40000"/>
                    </a:prstClr>
                  </a:outerShdw>
                </a:effectLst>
              </c:spPr>
              <c:showVal val="1"/>
              <c:showSer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E7A2-4E5C-BC21-27A5AF8F16D6}"/>
                </c:ext>
              </c:extLst>
            </c:dLbl>
            <c:spPr>
              <a:solidFill>
                <a:sysClr val="windowText" lastClr="000000"/>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ru-RU" sz="900" b="1" i="0" u="none" strike="noStrike" kern="1200" baseline="0">
                    <a:ln>
                      <a:noFill/>
                    </a:ln>
                    <a:solidFill>
                      <a:schemeClr val="bg1"/>
                    </a:solidFill>
                    <a:latin typeface="+mn-lt"/>
                    <a:ea typeface="+mn-ea"/>
                    <a:cs typeface="+mn-cs"/>
                  </a:defRPr>
                </a:pPr>
                <a:endParaRPr lang="uk-UA"/>
              </a:p>
            </c:txPr>
            <c:showVal val="1"/>
            <c:showSerName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Лист1!$B$177:$C$177</c:f>
              <c:numCache>
                <c:formatCode>General</c:formatCode>
                <c:ptCount val="2"/>
                <c:pt idx="0">
                  <c:v>2019</c:v>
                </c:pt>
                <c:pt idx="1">
                  <c:v>2020</c:v>
                </c:pt>
              </c:numCache>
            </c:numRef>
          </c:cat>
          <c:val>
            <c:numRef>
              <c:f>Лист1!$B$178:$C$178</c:f>
              <c:numCache>
                <c:formatCode>General</c:formatCode>
                <c:ptCount val="2"/>
                <c:pt idx="0">
                  <c:v>457</c:v>
                </c:pt>
                <c:pt idx="1">
                  <c:v>312</c:v>
                </c:pt>
              </c:numCache>
            </c:numRef>
          </c:val>
          <c:shape val="pyramid"/>
          <c:extLst xmlns:c16r2="http://schemas.microsoft.com/office/drawing/2015/06/chart">
            <c:ext xmlns:c16="http://schemas.microsoft.com/office/drawing/2014/chart" uri="{C3380CC4-5D6E-409C-BE32-E72D297353CC}">
              <c16:uniqueId val="{00000002-E7A2-4E5C-BC21-27A5AF8F16D6}"/>
            </c:ext>
          </c:extLst>
        </c:ser>
        <c:dLbls>
          <c:showVal val="1"/>
        </c:dLbls>
        <c:gapWidth val="84"/>
        <c:gapDepth val="53"/>
        <c:shape val="box"/>
        <c:axId val="160964608"/>
        <c:axId val="160966144"/>
        <c:axId val="0"/>
      </c:bar3DChart>
      <c:catAx>
        <c:axId val="160964608"/>
        <c:scaling>
          <c:orientation val="minMax"/>
        </c:scaling>
        <c:delete val="1"/>
        <c:axPos val="b"/>
        <c:numFmt formatCode="General" sourceLinked="1"/>
        <c:majorTickMark val="none"/>
        <c:tickLblPos val="nextTo"/>
        <c:crossAx val="160966144"/>
        <c:crosses val="autoZero"/>
        <c:auto val="1"/>
        <c:lblAlgn val="ctr"/>
        <c:lblOffset val="100"/>
      </c:catAx>
      <c:valAx>
        <c:axId val="160966144"/>
        <c:scaling>
          <c:orientation val="minMax"/>
        </c:scaling>
        <c:delete val="1"/>
        <c:axPos val="l"/>
        <c:numFmt formatCode="General" sourceLinked="1"/>
        <c:tickLblPos val="nextTo"/>
        <c:crossAx val="160964608"/>
        <c:crosses val="autoZero"/>
        <c:crossBetween val="between"/>
      </c:valAx>
      <c:spPr>
        <a:noFill/>
        <a:ln>
          <a:noFill/>
        </a:ln>
        <a:effectLst/>
      </c:spPr>
    </c:plotArea>
    <c:plotVisOnly val="1"/>
    <c:dispBlanksAs val="gap"/>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uk-UA"/>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style val="6"/>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ru-RU" sz="1800" b="0" i="0" u="none" strike="noStrike" kern="1200" cap="all" baseline="0">
                <a:solidFill>
                  <a:schemeClr val="lt1"/>
                </a:solidFill>
                <a:latin typeface="+mn-lt"/>
                <a:ea typeface="+mn-ea"/>
                <a:cs typeface="+mn-cs"/>
              </a:defRPr>
            </a:pPr>
            <a:r>
              <a:rPr lang="uk-UA"/>
              <a:t>Відмови</a:t>
            </a:r>
            <a:r>
              <a:rPr lang="uk-UA" baseline="0"/>
              <a:t> </a:t>
            </a:r>
            <a:r>
              <a:rPr lang="uk-UA"/>
              <a:t>за 10 місяців 2019</a:t>
            </a:r>
            <a:r>
              <a:rPr lang="uk-UA" baseline="0"/>
              <a:t> та за 10 місяців 2020</a:t>
            </a:r>
            <a:endParaRPr lang="uk-UA"/>
          </a:p>
        </c:rich>
      </c:tx>
      <c:layout>
        <c:manualLayout>
          <c:xMode val="edge"/>
          <c:yMode val="edge"/>
          <c:x val="0.11353808856946554"/>
          <c:y val="3.0120481927710795E-2"/>
        </c:manualLayout>
      </c:layout>
      <c:spPr>
        <a:noFill/>
        <a:ln>
          <a:noFill/>
        </a:ln>
        <a:effectLst/>
      </c:spPr>
    </c:title>
    <c:view3D>
      <c:depthPercent val="100"/>
      <c:rAngAx val="1"/>
    </c:view3D>
    <c:floor>
      <c:spPr>
        <a:solidFill>
          <a:schemeClr val="bg2">
            <a:lumMod val="75000"/>
            <a:alpha val="27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Лист1!$A$192</c:f>
              <c:strCache>
                <c:ptCount val="1"/>
                <c:pt idx="0">
                  <c:v>Відсоток відмов в наданні адміністративних послуг</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dLbls>
            <c:dLbl>
              <c:idx val="0"/>
              <c:layout>
                <c:manualLayout>
                  <c:x val="-0.12583892617449671"/>
                  <c:y val="8.0321482781519807E-2"/>
                </c:manualLayout>
              </c:layout>
              <c:tx>
                <c:rich>
                  <a:bodyPr rot="0" spcFirstLastPara="1" vertOverflow="ellipsis" vert="horz" wrap="square" lIns="38100" tIns="19050" rIns="38100" bIns="19050" anchor="ctr" anchorCtr="0">
                    <a:noAutofit/>
                  </a:bodyPr>
                  <a:lstStyle/>
                  <a:p>
                    <a:pPr algn="ctr">
                      <a:defRPr lang="ru-RU" sz="900" b="1" i="0" u="none" strike="noStrike" kern="1200" baseline="0">
                        <a:solidFill>
                          <a:schemeClr val="lt1"/>
                        </a:solidFill>
                        <a:latin typeface="+mn-lt"/>
                        <a:ea typeface="+mn-ea"/>
                        <a:cs typeface="+mn-cs"/>
                      </a:defRPr>
                    </a:pPr>
                    <a:r>
                      <a:rPr lang="uk-UA" sz="1000" i="0"/>
                      <a:t>кількість</a:t>
                    </a:r>
                    <a:r>
                      <a:rPr lang="uk-UA" sz="1000" i="0" baseline="0"/>
                      <a:t> відмов за 2019 рік-4</a:t>
                    </a:r>
                    <a:endParaRPr lang="uk-UA" sz="1000" i="0"/>
                  </a:p>
                </c:rich>
              </c:tx>
              <c:spPr>
                <a:solidFill>
                  <a:sysClr val="window" lastClr="FFFFFF">
                    <a:alpha val="30000"/>
                  </a:sysClr>
                </a:solidFill>
                <a:ln>
                  <a:solidFill>
                    <a:schemeClr val="lt1">
                      <a:alpha val="50000"/>
                    </a:schemeClr>
                  </a:solidFill>
                  <a:round/>
                </a:ln>
                <a:effectLst>
                  <a:outerShdw blurRad="63500" dist="88900" dir="2700000" algn="tl" rotWithShape="0">
                    <a:prstClr val="black">
                      <a:alpha val="40000"/>
                    </a:prstClr>
                  </a:outerShdw>
                </a:effectLst>
              </c:spPr>
              <c:showSerName val="1"/>
              <c:extLst xmlns:c16r2="http://schemas.microsoft.com/office/drawing/2015/06/chart">
                <c:ext xmlns:c15="http://schemas.microsoft.com/office/drawing/2012/chart" uri="{CE6537A1-D6FC-4f65-9D91-7224C49458BB}">
                  <c15:layout>
                    <c:manualLayout>
                      <c:w val="0.16818372483221478"/>
                      <c:h val="0.20057750687790529"/>
                    </c:manualLayout>
                  </c15:layout>
                </c:ext>
                <c:ext xmlns:c16="http://schemas.microsoft.com/office/drawing/2014/chart" uri="{C3380CC4-5D6E-409C-BE32-E72D297353CC}">
                  <c16:uniqueId val="{00000000-E3C9-44A0-B69F-808E43209337}"/>
                </c:ext>
              </c:extLst>
            </c:dLbl>
            <c:dLbl>
              <c:idx val="1"/>
              <c:layout>
                <c:manualLayout>
                  <c:x val="0.21602348993288623"/>
                  <c:y val="0.17068292856465217"/>
                </c:manualLayout>
              </c:layout>
              <c:tx>
                <c:rich>
                  <a:bodyPr rot="0" spcFirstLastPara="1" vertOverflow="ellipsis" vert="horz" wrap="square" lIns="38100" tIns="19050" rIns="38100" bIns="19050" anchor="ctr" anchorCtr="1">
                    <a:noAutofit/>
                  </a:bodyPr>
                  <a:lstStyle/>
                  <a:p>
                    <a:pPr>
                      <a:defRPr lang="ru-RU" sz="900" b="1" i="0" u="none" strike="noStrike" kern="1200" baseline="0">
                        <a:solidFill>
                          <a:schemeClr val="lt1"/>
                        </a:solidFill>
                        <a:latin typeface="+mn-lt"/>
                        <a:ea typeface="+mn-ea"/>
                        <a:cs typeface="+mn-cs"/>
                      </a:defRPr>
                    </a:pPr>
                    <a:r>
                      <a:rPr lang="uk-UA"/>
                      <a:t>кількість</a:t>
                    </a:r>
                    <a:r>
                      <a:rPr lang="uk-UA" baseline="0"/>
                      <a:t> відмов за 2020 рік-15</a:t>
                    </a:r>
                    <a:endParaRPr lang="uk-UA"/>
                  </a:p>
                </c:rich>
              </c:tx>
              <c:spPr>
                <a:solidFill>
                  <a:sysClr val="window" lastClr="FFFFFF">
                    <a:alpha val="30000"/>
                  </a:sysClr>
                </a:solidFill>
                <a:ln>
                  <a:solidFill>
                    <a:schemeClr val="lt1">
                      <a:alpha val="50000"/>
                    </a:schemeClr>
                  </a:solidFill>
                  <a:round/>
                </a:ln>
                <a:effectLst>
                  <a:outerShdw blurRad="63500" dist="88900" dir="2700000" algn="tl" rotWithShape="0">
                    <a:prstClr val="black">
                      <a:alpha val="40000"/>
                    </a:prstClr>
                  </a:outerShdw>
                </a:effectLst>
              </c:spPr>
              <c:showSerName val="1"/>
              <c:extLst xmlns:c16r2="http://schemas.microsoft.com/office/drawing/2015/06/chart">
                <c:ext xmlns:c15="http://schemas.microsoft.com/office/drawing/2012/chart" uri="{CE6537A1-D6FC-4f65-9D91-7224C49458BB}">
                  <c15:layout>
                    <c:manualLayout>
                      <c:w val="0.16818372483221478"/>
                      <c:h val="0.16551204819277107"/>
                    </c:manualLayout>
                  </c15:layout>
                </c:ext>
                <c:ext xmlns:c16="http://schemas.microsoft.com/office/drawing/2014/chart" uri="{C3380CC4-5D6E-409C-BE32-E72D297353CC}">
                  <c16:uniqueId val="{00000001-E3C9-44A0-B69F-808E43209337}"/>
                </c:ext>
              </c:extLst>
            </c:dLbl>
            <c:spPr>
              <a:solidFill>
                <a:schemeClr val="accent4">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endParaRPr lang="uk-UA"/>
              </a:p>
            </c:txPr>
            <c:showSerName val="1"/>
            <c:extLst xmlns:c16r2="http://schemas.microsoft.com/office/drawing/2015/06/chart">
              <c:ext xmlns:c15="http://schemas.microsoft.com/office/drawing/2012/chart" uri="{CE6537A1-D6FC-4f65-9D91-7224C49458BB}">
                <c15:showLeaderLines val="0"/>
              </c:ext>
            </c:extLst>
          </c:dLbls>
          <c:cat>
            <c:numRef>
              <c:f>Лист1!$B$191:$C$191</c:f>
              <c:numCache>
                <c:formatCode>General</c:formatCode>
                <c:ptCount val="2"/>
                <c:pt idx="0">
                  <c:v>2019</c:v>
                </c:pt>
                <c:pt idx="1">
                  <c:v>2020</c:v>
                </c:pt>
              </c:numCache>
            </c:numRef>
          </c:cat>
          <c:val>
            <c:numRef>
              <c:f>Лист1!$B$192:$C$192</c:f>
              <c:numCache>
                <c:formatCode>0%</c:formatCode>
                <c:ptCount val="2"/>
                <c:pt idx="0">
                  <c:v>4.0000000000000029E-2</c:v>
                </c:pt>
                <c:pt idx="1">
                  <c:v>4.0000000000000029E-2</c:v>
                </c:pt>
              </c:numCache>
            </c:numRef>
          </c:val>
          <c:shape val="pyramid"/>
          <c:extLst xmlns:c16r2="http://schemas.microsoft.com/office/drawing/2015/06/chart">
            <c:ext xmlns:c16="http://schemas.microsoft.com/office/drawing/2014/chart" uri="{C3380CC4-5D6E-409C-BE32-E72D297353CC}">
              <c16:uniqueId val="{00000002-E3C9-44A0-B69F-808E43209337}"/>
            </c:ext>
          </c:extLst>
        </c:ser>
        <c:dLbls>
          <c:showVal val="1"/>
        </c:dLbls>
        <c:gapWidth val="84"/>
        <c:gapDepth val="53"/>
        <c:shape val="box"/>
        <c:axId val="161140096"/>
        <c:axId val="161158272"/>
        <c:axId val="0"/>
      </c:bar3DChart>
      <c:catAx>
        <c:axId val="161140096"/>
        <c:scaling>
          <c:orientation val="minMax"/>
        </c:scaling>
        <c:delete val="1"/>
        <c:axPos val="b"/>
        <c:numFmt formatCode="General" sourceLinked="1"/>
        <c:majorTickMark val="none"/>
        <c:tickLblPos val="nextTo"/>
        <c:crossAx val="161158272"/>
        <c:crosses val="autoZero"/>
        <c:auto val="1"/>
        <c:lblAlgn val="ctr"/>
        <c:lblOffset val="100"/>
      </c:catAx>
      <c:valAx>
        <c:axId val="161158272"/>
        <c:scaling>
          <c:orientation val="minMax"/>
        </c:scaling>
        <c:delete val="1"/>
        <c:axPos val="l"/>
        <c:numFmt formatCode="0%" sourceLinked="1"/>
        <c:tickLblPos val="nextTo"/>
        <c:crossAx val="161140096"/>
        <c:crosses val="autoZero"/>
        <c:crossBetween val="between"/>
      </c:valAx>
      <c:spPr>
        <a:noFill/>
        <a:ln>
          <a:noFill/>
        </a:ln>
        <a:effectLst/>
      </c:spPr>
    </c:plotArea>
    <c:plotVisOnly val="1"/>
    <c:dispBlanksAs val="gap"/>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uk-UA"/>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6901</Words>
  <Characters>3935</Characters>
  <Application>Microsoft Office Word</Application>
  <DocSecurity>0</DocSecurity>
  <Lines>32</Lines>
  <Paragraphs>21</Paragraphs>
  <ScaleCrop>false</ScaleCrop>
  <Company>Reanimator Extreme Edition</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2020-11-04T15:18:00Z</dcterms:created>
  <dcterms:modified xsi:type="dcterms:W3CDTF">2020-11-04T15:19:00Z</dcterms:modified>
</cp:coreProperties>
</file>