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spacing w:after="0" w:line="240" w:lineRule="auto"/>
        <w:rPr>
          <w:rFonts w:ascii="Times New Roman" w:hAnsi="Times New Roman" w:cs="Times New Roman"/>
          <w:sz w:val="24"/>
          <w:szCs w:val="24"/>
        </w:rPr>
      </w:pPr>
    </w:p>
    <w:p w:rsidR="007F5AAB" w:rsidRPr="007F5AAB" w:rsidRDefault="007F5AAB" w:rsidP="007F5AAB">
      <w:pPr>
        <w:spacing w:after="0" w:line="240" w:lineRule="auto"/>
        <w:jc w:val="right"/>
        <w:rPr>
          <w:rFonts w:ascii="Times New Roman" w:hAnsi="Times New Roman" w:cs="Times New Roman"/>
          <w:sz w:val="24"/>
          <w:szCs w:val="24"/>
        </w:rPr>
      </w:pPr>
      <w:r w:rsidRPr="007F5AAB">
        <w:rPr>
          <w:rFonts w:ascii="Times New Roman" w:hAnsi="Times New Roman" w:cs="Times New Roman"/>
          <w:sz w:val="24"/>
          <w:szCs w:val="24"/>
        </w:rPr>
        <w:t xml:space="preserve">                                                                                                                                                                                             </w:t>
      </w:r>
      <w:r w:rsidRPr="007F5AAB">
        <w:rPr>
          <w:rFonts w:ascii="Times New Roman" w:eastAsia="Times New Roman" w:hAnsi="Times New Roman" w:cs="Times New Roman"/>
          <w:sz w:val="24"/>
          <w:szCs w:val="24"/>
          <w:lang w:eastAsia="ru-RU"/>
        </w:rPr>
        <w:t xml:space="preserve">Додаток </w:t>
      </w:r>
    </w:p>
    <w:p w:rsidR="007F5AAB" w:rsidRPr="007F5AAB" w:rsidRDefault="007F5AAB" w:rsidP="007F5AAB">
      <w:pPr>
        <w:widowControl w:val="0"/>
        <w:tabs>
          <w:tab w:val="left" w:pos="5940"/>
        </w:tabs>
        <w:spacing w:after="0" w:line="240" w:lineRule="auto"/>
        <w:ind w:left="5664"/>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до рішення виконавчого комітету</w:t>
      </w:r>
    </w:p>
    <w:p w:rsidR="007F5AAB" w:rsidRPr="007F5AAB" w:rsidRDefault="007F5AAB" w:rsidP="007F5AAB">
      <w:pPr>
        <w:widowControl w:val="0"/>
        <w:tabs>
          <w:tab w:val="left" w:pos="5940"/>
        </w:tabs>
        <w:spacing w:after="0" w:line="240" w:lineRule="auto"/>
        <w:ind w:left="5664"/>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від __.__.20__.№__</w:t>
      </w:r>
    </w:p>
    <w:p w:rsidR="007F5AAB" w:rsidRPr="007F5AAB" w:rsidRDefault="007F5AAB" w:rsidP="007F5AAB">
      <w:pPr>
        <w:widowControl w:val="0"/>
        <w:tabs>
          <w:tab w:val="left" w:pos="5940"/>
        </w:tabs>
        <w:spacing w:after="0" w:line="240" w:lineRule="auto"/>
        <w:ind w:left="5664"/>
        <w:jc w:val="both"/>
        <w:rPr>
          <w:rFonts w:ascii="Times New Roman" w:eastAsia="Times New Roman" w:hAnsi="Times New Roman" w:cs="Times New Roman"/>
          <w:sz w:val="24"/>
          <w:szCs w:val="24"/>
          <w:lang w:eastAsia="ru-RU"/>
        </w:rPr>
      </w:pPr>
    </w:p>
    <w:p w:rsidR="007F5AAB" w:rsidRPr="007F5AAB" w:rsidRDefault="007F5AAB" w:rsidP="007F5AAB">
      <w:pPr>
        <w:spacing w:after="0" w:line="240" w:lineRule="auto"/>
        <w:jc w:val="center"/>
        <w:outlineLvl w:val="2"/>
        <w:rPr>
          <w:rFonts w:ascii="Times New Roman" w:hAnsi="Times New Roman" w:cs="Times New Roman"/>
          <w:b/>
          <w:bCs/>
          <w:color w:val="800000"/>
          <w:sz w:val="24"/>
          <w:szCs w:val="24"/>
        </w:rPr>
      </w:pPr>
    </w:p>
    <w:p w:rsidR="007F5AAB" w:rsidRPr="007F5AAB" w:rsidRDefault="007F5AAB" w:rsidP="007F5AAB">
      <w:pPr>
        <w:spacing w:after="0" w:line="240" w:lineRule="auto"/>
        <w:jc w:val="center"/>
        <w:outlineLvl w:val="2"/>
        <w:rPr>
          <w:rFonts w:ascii="Times New Roman" w:hAnsi="Times New Roman" w:cs="Times New Roman"/>
          <w:b/>
          <w:bCs/>
          <w:color w:val="800000"/>
          <w:sz w:val="24"/>
          <w:szCs w:val="24"/>
        </w:rPr>
      </w:pPr>
    </w:p>
    <w:p w:rsidR="007F5AAB" w:rsidRPr="007F5AAB" w:rsidRDefault="007F5AAB" w:rsidP="007F5AAB">
      <w:pPr>
        <w:spacing w:after="0" w:line="240" w:lineRule="auto"/>
        <w:jc w:val="center"/>
        <w:outlineLvl w:val="2"/>
        <w:rPr>
          <w:rFonts w:ascii="Times New Roman" w:hAnsi="Times New Roman" w:cs="Times New Roman"/>
          <w:b/>
          <w:bCs/>
          <w:color w:val="800000"/>
          <w:sz w:val="24"/>
          <w:szCs w:val="24"/>
        </w:rPr>
      </w:pPr>
    </w:p>
    <w:p w:rsidR="007F5AAB" w:rsidRPr="007F5AAB" w:rsidRDefault="007F5AAB" w:rsidP="007F5AAB">
      <w:pPr>
        <w:spacing w:after="0" w:line="240" w:lineRule="auto"/>
        <w:jc w:val="center"/>
        <w:outlineLvl w:val="2"/>
        <w:rPr>
          <w:rFonts w:ascii="Times New Roman" w:hAnsi="Times New Roman" w:cs="Times New Roman"/>
          <w:b/>
          <w:bCs/>
          <w:color w:val="800000"/>
          <w:sz w:val="24"/>
          <w:szCs w:val="24"/>
        </w:rPr>
      </w:pPr>
      <w:r w:rsidRPr="007F5AAB">
        <w:rPr>
          <w:rFonts w:ascii="Times New Roman" w:hAnsi="Times New Roman" w:cs="Times New Roman"/>
          <w:b/>
          <w:bCs/>
          <w:color w:val="800000"/>
          <w:sz w:val="24"/>
          <w:szCs w:val="24"/>
        </w:rPr>
        <w:t>ПРОГНОЗ</w:t>
      </w:r>
      <w:r w:rsidRPr="007F5AAB">
        <w:rPr>
          <w:rFonts w:ascii="Times New Roman" w:hAnsi="Times New Roman" w:cs="Times New Roman"/>
          <w:b/>
          <w:bCs/>
          <w:color w:val="800000"/>
          <w:sz w:val="24"/>
          <w:szCs w:val="24"/>
        </w:rPr>
        <w:br/>
        <w:t>бюджету Тернопільської міської територіальної громади</w:t>
      </w:r>
      <w:r w:rsidRPr="007F5AAB">
        <w:rPr>
          <w:rFonts w:ascii="Times New Roman" w:hAnsi="Times New Roman" w:cs="Times New Roman"/>
          <w:sz w:val="24"/>
          <w:szCs w:val="24"/>
        </w:rPr>
        <w:t xml:space="preserve"> </w:t>
      </w:r>
      <w:r w:rsidRPr="007F5AAB">
        <w:rPr>
          <w:rFonts w:ascii="Times New Roman" w:hAnsi="Times New Roman" w:cs="Times New Roman"/>
          <w:b/>
          <w:bCs/>
          <w:color w:val="800000"/>
          <w:sz w:val="24"/>
          <w:szCs w:val="24"/>
        </w:rPr>
        <w:t xml:space="preserve">  на 2022 - 2023 роки </w:t>
      </w:r>
    </w:p>
    <w:p w:rsidR="007F5AAB" w:rsidRPr="007F5AAB" w:rsidRDefault="007F5AAB" w:rsidP="007F5AAB">
      <w:pPr>
        <w:spacing w:after="0" w:line="240" w:lineRule="auto"/>
        <w:jc w:val="center"/>
        <w:outlineLvl w:val="2"/>
        <w:rPr>
          <w:rFonts w:ascii="Times New Roman" w:hAnsi="Times New Roman" w:cs="Times New Roman"/>
          <w:b/>
          <w:bCs/>
          <w:sz w:val="24"/>
          <w:szCs w:val="24"/>
        </w:rPr>
      </w:pPr>
    </w:p>
    <w:p w:rsidR="007F5AAB" w:rsidRPr="007F5AAB" w:rsidRDefault="007F5AAB" w:rsidP="007F5AAB">
      <w:pPr>
        <w:numPr>
          <w:ilvl w:val="0"/>
          <w:numId w:val="26"/>
        </w:numPr>
        <w:spacing w:after="0" w:line="240" w:lineRule="auto"/>
        <w:outlineLvl w:val="2"/>
        <w:rPr>
          <w:rFonts w:ascii="Times New Roman" w:hAnsi="Times New Roman" w:cs="Times New Roman"/>
          <w:b/>
          <w:bCs/>
          <w:sz w:val="24"/>
          <w:szCs w:val="24"/>
        </w:rPr>
      </w:pPr>
      <w:r w:rsidRPr="007F5AAB">
        <w:rPr>
          <w:rFonts w:ascii="Times New Roman" w:hAnsi="Times New Roman" w:cs="Times New Roman"/>
          <w:b/>
          <w:bCs/>
          <w:sz w:val="24"/>
          <w:szCs w:val="24"/>
        </w:rPr>
        <w:t>Загальна частина</w:t>
      </w:r>
    </w:p>
    <w:p w:rsidR="007F5AAB" w:rsidRPr="007F5AAB" w:rsidRDefault="007F5AAB" w:rsidP="007F5AAB">
      <w:pPr>
        <w:spacing w:after="0" w:line="240" w:lineRule="auto"/>
        <w:ind w:left="3768"/>
        <w:outlineLvl w:val="2"/>
        <w:rPr>
          <w:rFonts w:ascii="Times New Roman" w:hAnsi="Times New Roman" w:cs="Times New Roman"/>
          <w:sz w:val="24"/>
          <w:szCs w:val="24"/>
        </w:rPr>
      </w:pPr>
    </w:p>
    <w:tbl>
      <w:tblPr>
        <w:tblW w:w="5076" w:type="pct"/>
        <w:tblCellSpacing w:w="0" w:type="dxa"/>
        <w:tblInd w:w="-142" w:type="dxa"/>
        <w:tblCellMar>
          <w:left w:w="0" w:type="dxa"/>
          <w:right w:w="0" w:type="dxa"/>
        </w:tblCellMar>
        <w:tblLook w:val="04A0"/>
      </w:tblPr>
      <w:tblGrid>
        <w:gridCol w:w="9497"/>
      </w:tblGrid>
      <w:tr w:rsidR="007F5AAB" w:rsidRPr="007F5AAB" w:rsidTr="00381D1A">
        <w:trPr>
          <w:tblCellSpacing w:w="0" w:type="dxa"/>
        </w:trPr>
        <w:tc>
          <w:tcPr>
            <w:tcW w:w="5000" w:type="pct"/>
            <w:hideMark/>
          </w:tcPr>
          <w:p w:rsidR="007F5AAB" w:rsidRPr="007F5AAB" w:rsidRDefault="007F5AAB" w:rsidP="007F5AAB">
            <w:pPr>
              <w:spacing w:before="100" w:beforeAutospacing="1" w:after="0" w:line="240" w:lineRule="auto"/>
              <w:jc w:val="both"/>
              <w:rPr>
                <w:rFonts w:ascii="Times New Roman" w:eastAsia="Times New Roman" w:hAnsi="Times New Roman" w:cs="Times New Roman"/>
                <w:sz w:val="24"/>
                <w:szCs w:val="24"/>
                <w:lang w:eastAsia="ru-RU"/>
              </w:rPr>
            </w:pPr>
            <w:r w:rsidRPr="007F5AAB">
              <w:rPr>
                <w:rFonts w:ascii="Times New Roman" w:hAnsi="Times New Roman" w:cs="Times New Roman"/>
                <w:sz w:val="24"/>
                <w:szCs w:val="24"/>
              </w:rPr>
              <w:t xml:space="preserve">        Прогноз бюджету Тернопільської міської територіальної громади </w:t>
            </w:r>
            <w:r w:rsidRPr="007F5AAB">
              <w:rPr>
                <w:rFonts w:ascii="Times New Roman" w:hAnsi="Times New Roman" w:cs="Times New Roman"/>
                <w:b/>
                <w:bCs/>
                <w:color w:val="800000"/>
                <w:sz w:val="24"/>
                <w:szCs w:val="24"/>
              </w:rPr>
              <w:t xml:space="preserve">  </w:t>
            </w:r>
            <w:r w:rsidRPr="007F5AAB">
              <w:rPr>
                <w:rFonts w:ascii="Times New Roman" w:hAnsi="Times New Roman" w:cs="Times New Roman"/>
                <w:sz w:val="24"/>
                <w:szCs w:val="24"/>
              </w:rPr>
              <w:t xml:space="preserve">на 2022 - 2023 роки (надалі Прогноз) розроблено на  виконання ст. </w:t>
            </w:r>
            <w:r w:rsidRPr="007F5AAB">
              <w:rPr>
                <w:rStyle w:val="rvts9"/>
                <w:rFonts w:ascii="Times New Roman" w:hAnsi="Times New Roman" w:cs="Times New Roman"/>
                <w:sz w:val="24"/>
                <w:szCs w:val="24"/>
              </w:rPr>
              <w:t>75</w:t>
            </w:r>
            <w:r w:rsidRPr="007F5AAB">
              <w:rPr>
                <w:rStyle w:val="rvts37"/>
                <w:rFonts w:ascii="Times New Roman" w:hAnsi="Times New Roman" w:cs="Times New Roman"/>
                <w:sz w:val="24"/>
                <w:szCs w:val="24"/>
              </w:rPr>
              <w:t>-1</w:t>
            </w:r>
            <w:r w:rsidRPr="007F5AAB">
              <w:rPr>
                <w:rStyle w:val="rvts0"/>
                <w:rFonts w:ascii="Times New Roman" w:hAnsi="Times New Roman" w:cs="Times New Roman"/>
                <w:sz w:val="24"/>
                <w:szCs w:val="24"/>
              </w:rPr>
              <w:t xml:space="preserve">. </w:t>
            </w:r>
            <w:r w:rsidRPr="007F5AAB">
              <w:rPr>
                <w:rFonts w:ascii="Times New Roman" w:hAnsi="Times New Roman" w:cs="Times New Roman"/>
                <w:sz w:val="24"/>
                <w:szCs w:val="24"/>
              </w:rPr>
              <w:t xml:space="preserve">Бюджетного кодексу України, базуючись на  нормах проекту Закону України  «Про Державний бюджет України на 2021 рік», Податкового кодексу України, Основних прогнозних </w:t>
            </w:r>
            <w:proofErr w:type="spellStart"/>
            <w:r w:rsidRPr="007F5AAB">
              <w:rPr>
                <w:rFonts w:ascii="Times New Roman" w:hAnsi="Times New Roman" w:cs="Times New Roman"/>
                <w:sz w:val="24"/>
                <w:szCs w:val="24"/>
              </w:rPr>
              <w:t>макропоказників</w:t>
            </w:r>
            <w:proofErr w:type="spellEnd"/>
            <w:r w:rsidRPr="007F5AAB">
              <w:rPr>
                <w:rFonts w:ascii="Times New Roman" w:hAnsi="Times New Roman" w:cs="Times New Roman"/>
                <w:sz w:val="24"/>
                <w:szCs w:val="24"/>
              </w:rPr>
              <w:t xml:space="preserve"> економічного і соціального розвитку України на 2021-2023  роки, схвалених  постановою КМУ  від 29 липня 2020 р. № 671</w:t>
            </w:r>
            <w:r w:rsidRPr="007F5AAB">
              <w:rPr>
                <w:rFonts w:ascii="Times New Roman" w:eastAsia="Times New Roman" w:hAnsi="Times New Roman" w:cs="Times New Roman"/>
                <w:sz w:val="24"/>
                <w:szCs w:val="24"/>
                <w:lang w:eastAsia="ru-RU"/>
              </w:rPr>
              <w:t>.</w:t>
            </w:r>
          </w:p>
        </w:tc>
      </w:tr>
    </w:tbl>
    <w:p w:rsidR="007F5AAB" w:rsidRPr="007F5AAB" w:rsidRDefault="007F5AAB" w:rsidP="007F5AAB">
      <w:pPr>
        <w:spacing w:before="100" w:beforeAutospacing="1" w:after="0" w:line="240" w:lineRule="auto"/>
        <w:ind w:left="-142" w:firstLine="850"/>
        <w:jc w:val="both"/>
        <w:rPr>
          <w:rFonts w:ascii="Times New Roman" w:hAnsi="Times New Roman" w:cs="Times New Roman"/>
          <w:sz w:val="24"/>
          <w:szCs w:val="24"/>
        </w:rPr>
      </w:pPr>
      <w:bookmarkStart w:id="0" w:name="n3"/>
      <w:bookmarkEnd w:id="0"/>
      <w:r w:rsidRPr="007F5AAB">
        <w:rPr>
          <w:rFonts w:ascii="Times New Roman" w:hAnsi="Times New Roman" w:cs="Times New Roman"/>
          <w:sz w:val="24"/>
          <w:szCs w:val="24"/>
        </w:rPr>
        <w:t xml:space="preserve">Прогноз складено виходячи із Методичних рекомендацій щодо складання місцевих бюджетів на середньострокову перспективу, затверджених Наказом Міністерства фінансів України від 29.03.2019р. № 130. </w:t>
      </w:r>
    </w:p>
    <w:p w:rsidR="007F5AAB" w:rsidRPr="007F5AAB" w:rsidRDefault="007F5AAB" w:rsidP="007F5AAB">
      <w:pPr>
        <w:spacing w:after="0" w:line="240" w:lineRule="auto"/>
        <w:ind w:left="-142" w:firstLine="862"/>
        <w:jc w:val="both"/>
        <w:rPr>
          <w:rFonts w:ascii="Times New Roman" w:hAnsi="Times New Roman" w:cs="Times New Roman"/>
          <w:sz w:val="24"/>
          <w:szCs w:val="24"/>
        </w:rPr>
      </w:pPr>
      <w:r w:rsidRPr="007F5AAB">
        <w:rPr>
          <w:rFonts w:ascii="Times New Roman" w:hAnsi="Times New Roman" w:cs="Times New Roman"/>
          <w:b/>
          <w:sz w:val="24"/>
          <w:szCs w:val="24"/>
        </w:rPr>
        <w:t>Метою Прогнозу</w:t>
      </w:r>
      <w:r w:rsidRPr="007F5AAB">
        <w:rPr>
          <w:rFonts w:ascii="Times New Roman" w:hAnsi="Times New Roman" w:cs="Times New Roman"/>
          <w:sz w:val="24"/>
          <w:szCs w:val="24"/>
        </w:rPr>
        <w:t xml:space="preserve"> є формування послідовної та передбачуваної бюджетної політики міської громади на середньострокову перспективу, створенні дієвого механізму управління бюджетним процесом в умовах впливу негативних факторів, спричинених   епідемією </w:t>
      </w:r>
      <w:proofErr w:type="spellStart"/>
      <w:r w:rsidRPr="007F5AAB">
        <w:rPr>
          <w:rFonts w:ascii="Times New Roman" w:hAnsi="Times New Roman" w:cs="Times New Roman"/>
          <w:sz w:val="24"/>
          <w:szCs w:val="24"/>
        </w:rPr>
        <w:t>коронавірусу</w:t>
      </w:r>
      <w:proofErr w:type="spellEnd"/>
      <w:r w:rsidRPr="007F5AAB">
        <w:rPr>
          <w:rFonts w:ascii="Times New Roman" w:hAnsi="Times New Roman" w:cs="Times New Roman"/>
          <w:sz w:val="24"/>
          <w:szCs w:val="24"/>
        </w:rPr>
        <w:t>.</w:t>
      </w:r>
    </w:p>
    <w:p w:rsidR="007F5AAB" w:rsidRPr="007F5AAB" w:rsidRDefault="007F5AAB" w:rsidP="007F5AAB">
      <w:pPr>
        <w:spacing w:after="0" w:line="240" w:lineRule="auto"/>
        <w:ind w:firstLine="720"/>
        <w:jc w:val="both"/>
        <w:rPr>
          <w:rFonts w:ascii="Times New Roman" w:hAnsi="Times New Roman" w:cs="Times New Roman"/>
          <w:sz w:val="24"/>
          <w:szCs w:val="24"/>
        </w:rPr>
      </w:pPr>
    </w:p>
    <w:p w:rsidR="007F5AAB" w:rsidRPr="007F5AAB" w:rsidRDefault="007F5AAB" w:rsidP="007F5AAB">
      <w:pPr>
        <w:spacing w:after="0" w:line="240" w:lineRule="auto"/>
        <w:ind w:firstLine="709"/>
        <w:jc w:val="both"/>
        <w:rPr>
          <w:rFonts w:ascii="Times New Roman" w:hAnsi="Times New Roman" w:cs="Times New Roman"/>
          <w:b/>
          <w:sz w:val="24"/>
          <w:szCs w:val="24"/>
        </w:rPr>
      </w:pPr>
      <w:r w:rsidRPr="007F5AAB">
        <w:rPr>
          <w:rFonts w:ascii="Times New Roman" w:hAnsi="Times New Roman" w:cs="Times New Roman"/>
          <w:b/>
          <w:sz w:val="24"/>
          <w:szCs w:val="24"/>
        </w:rPr>
        <w:t xml:space="preserve">Основними завданнями Прогнозу є: </w:t>
      </w:r>
    </w:p>
    <w:p w:rsidR="007F5AAB" w:rsidRPr="007F5AAB" w:rsidRDefault="007F5AAB" w:rsidP="007F5AAB">
      <w:pPr>
        <w:spacing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визначення обсягу ресурсів бюджету громади  на середньострокову перспективу та  встановлення взаємозв’язку між цілями розвитку та можливостями бюджету;</w:t>
      </w:r>
    </w:p>
    <w:p w:rsidR="007F5AAB" w:rsidRPr="007F5AAB" w:rsidRDefault="007F5AAB" w:rsidP="007F5AAB">
      <w:pPr>
        <w:spacing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прогнозування обсягів видатків, пов’язаних із продовженням існуючих бюджетних програм  та визначення наявності фінансового ресурсу для планування нових;</w:t>
      </w:r>
    </w:p>
    <w:p w:rsidR="007F5AAB" w:rsidRPr="007F5AAB" w:rsidRDefault="007F5AAB" w:rsidP="007F5AAB">
      <w:pPr>
        <w:spacing w:after="0" w:line="240" w:lineRule="auto"/>
        <w:contextualSpacing/>
        <w:jc w:val="both"/>
        <w:rPr>
          <w:rFonts w:ascii="Times New Roman" w:hAnsi="Times New Roman" w:cs="Times New Roman"/>
          <w:sz w:val="24"/>
          <w:szCs w:val="24"/>
        </w:rPr>
      </w:pPr>
      <w:r w:rsidRPr="007F5AAB">
        <w:rPr>
          <w:rFonts w:ascii="Times New Roman" w:hAnsi="Times New Roman" w:cs="Times New Roman"/>
          <w:sz w:val="24"/>
          <w:szCs w:val="24"/>
        </w:rPr>
        <w:t xml:space="preserve">          - забезпечення стабільної діяльності установ бюджетної сфери для  задоволення потреб мешканців  громади шляхом надання якісних послуг в сфері освіти, охорони </w:t>
      </w:r>
      <w:proofErr w:type="spellStart"/>
      <w:r w:rsidRPr="007F5AAB">
        <w:rPr>
          <w:rFonts w:ascii="Times New Roman" w:hAnsi="Times New Roman" w:cs="Times New Roman"/>
          <w:sz w:val="24"/>
          <w:szCs w:val="24"/>
        </w:rPr>
        <w:t>здоров”я</w:t>
      </w:r>
      <w:proofErr w:type="spellEnd"/>
      <w:r w:rsidRPr="007F5AAB">
        <w:rPr>
          <w:rFonts w:ascii="Times New Roman" w:hAnsi="Times New Roman" w:cs="Times New Roman"/>
          <w:sz w:val="24"/>
          <w:szCs w:val="24"/>
        </w:rPr>
        <w:t>, культури, тощо;</w:t>
      </w:r>
    </w:p>
    <w:p w:rsidR="007F5AAB" w:rsidRPr="007F5AAB" w:rsidRDefault="007F5AAB" w:rsidP="007F5AAB">
      <w:pPr>
        <w:spacing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фінансування інвестиційних проектів (програм), що мають термін реалізації більше одного року;</w:t>
      </w:r>
    </w:p>
    <w:p w:rsidR="007F5AAB" w:rsidRPr="007F5AAB" w:rsidRDefault="007F5AAB" w:rsidP="007F5AAB">
      <w:pPr>
        <w:spacing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підвищення результативності та ефективності бюджетних видатків;</w:t>
      </w:r>
    </w:p>
    <w:p w:rsidR="007F5AAB" w:rsidRPr="007F5AAB" w:rsidRDefault="007F5AAB" w:rsidP="007F5AAB">
      <w:pPr>
        <w:spacing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посилення бюджетної дисципліни та контролю за витратами бюджету міста, ефективне управління бюджетними коштами.</w:t>
      </w:r>
    </w:p>
    <w:p w:rsidR="007F5AAB" w:rsidRPr="007F5AAB" w:rsidRDefault="007F5AAB" w:rsidP="007F5AAB">
      <w:pPr>
        <w:spacing w:after="0" w:line="240" w:lineRule="auto"/>
        <w:ind w:firstLine="709"/>
        <w:contextualSpacing/>
        <w:jc w:val="both"/>
        <w:rPr>
          <w:rFonts w:ascii="Times New Roman" w:hAnsi="Times New Roman" w:cs="Times New Roman"/>
          <w:sz w:val="24"/>
          <w:szCs w:val="24"/>
        </w:rPr>
      </w:pPr>
      <w:r w:rsidRPr="007F5AAB">
        <w:rPr>
          <w:rFonts w:ascii="Times New Roman" w:hAnsi="Times New Roman" w:cs="Times New Roman"/>
          <w:sz w:val="24"/>
          <w:szCs w:val="24"/>
        </w:rPr>
        <w:t>- підвищення  ефективності управління бюджетними коштами завдяки застосуванню програмно-цільового методу бюджетування.</w:t>
      </w:r>
    </w:p>
    <w:p w:rsidR="007F5AAB" w:rsidRPr="007F5AAB" w:rsidRDefault="007F5AAB" w:rsidP="007F5AAB">
      <w:pPr>
        <w:spacing w:before="100" w:beforeAutospacing="1"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spacing w:before="100" w:beforeAutospacing="1"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Показники Прогнозу є орієнтирами бюджетної політики у середньостроковому періоді для збалансування напрямів політики розвитку з можливостями бюджету.</w:t>
      </w:r>
    </w:p>
    <w:p w:rsidR="007F5AAB" w:rsidRPr="007F5AAB" w:rsidRDefault="007F5AAB" w:rsidP="007F5AAB">
      <w:pPr>
        <w:spacing w:before="100" w:beforeAutospacing="1" w:after="0" w:line="240" w:lineRule="auto"/>
        <w:jc w:val="both"/>
        <w:rPr>
          <w:rFonts w:ascii="Times New Roman" w:hAnsi="Times New Roman" w:cs="Times New Roman"/>
          <w:sz w:val="24"/>
          <w:szCs w:val="24"/>
        </w:rPr>
      </w:pPr>
      <w:r w:rsidRPr="007F5AAB">
        <w:rPr>
          <w:rFonts w:ascii="Times New Roman" w:hAnsi="Times New Roman" w:cs="Times New Roman"/>
          <w:b/>
          <w:sz w:val="24"/>
          <w:szCs w:val="24"/>
        </w:rPr>
        <w:lastRenderedPageBreak/>
        <w:t xml:space="preserve">       Очікувані результати реалізації прогнозу</w:t>
      </w:r>
      <w:r w:rsidRPr="007F5AAB">
        <w:rPr>
          <w:rFonts w:ascii="Times New Roman" w:hAnsi="Times New Roman" w:cs="Times New Roman"/>
          <w:sz w:val="24"/>
          <w:szCs w:val="24"/>
        </w:rPr>
        <w:t xml:space="preserve"> – досягнення балансу між напрямами розвитку інфраструктури  громади та  її бюджетними можливостями, враховуючи   ризики та економічні перепади, що очікують економіку громади  в умовах "перезапуску" економіки  у </w:t>
      </w:r>
      <w:proofErr w:type="spellStart"/>
      <w:r w:rsidRPr="007F5AAB">
        <w:rPr>
          <w:rFonts w:ascii="Times New Roman" w:hAnsi="Times New Roman" w:cs="Times New Roman"/>
          <w:sz w:val="24"/>
          <w:szCs w:val="24"/>
        </w:rPr>
        <w:t>зв»язку</w:t>
      </w:r>
      <w:proofErr w:type="spellEnd"/>
      <w:r w:rsidRPr="007F5AAB">
        <w:rPr>
          <w:rFonts w:ascii="Times New Roman" w:hAnsi="Times New Roman" w:cs="Times New Roman"/>
          <w:sz w:val="24"/>
          <w:szCs w:val="24"/>
        </w:rPr>
        <w:t xml:space="preserve"> із карантинними заходами,перехід до середньострокового планування.</w:t>
      </w:r>
    </w:p>
    <w:p w:rsidR="007F5AAB" w:rsidRPr="007F5AAB" w:rsidRDefault="007F5AAB" w:rsidP="007F5AAB">
      <w:pPr>
        <w:spacing w:after="0" w:line="240" w:lineRule="auto"/>
        <w:ind w:firstLine="709"/>
        <w:jc w:val="both"/>
        <w:outlineLvl w:val="2"/>
        <w:rPr>
          <w:rFonts w:ascii="Times New Roman" w:hAnsi="Times New Roman" w:cs="Times New Roman"/>
          <w:sz w:val="24"/>
          <w:szCs w:val="24"/>
        </w:rPr>
      </w:pPr>
      <w:r w:rsidRPr="007F5AAB">
        <w:rPr>
          <w:rFonts w:ascii="Times New Roman" w:hAnsi="Times New Roman" w:cs="Times New Roman"/>
          <w:sz w:val="24"/>
          <w:szCs w:val="24"/>
        </w:rPr>
        <w:t xml:space="preserve">Прогноз включає: індикативні прогнозні показники економічного і соціального розвитку громади; індикативні прогнозні показники доходів бюджету; індикативні прогнозні показники видатків, фінансування та кредитування бюджету; індикативні прогнозні показники міжбюджетних трансфертів;  індикативні прогнозні показники місцевого боргу  та гарантованого місцевого боргу. </w:t>
      </w:r>
    </w:p>
    <w:p w:rsidR="007F5AAB" w:rsidRPr="007F5AAB" w:rsidRDefault="007F5AAB" w:rsidP="007F5AAB">
      <w:pPr>
        <w:spacing w:after="0" w:line="240" w:lineRule="auto"/>
        <w:ind w:firstLine="709"/>
        <w:jc w:val="both"/>
        <w:outlineLvl w:val="2"/>
        <w:rPr>
          <w:rFonts w:ascii="Times New Roman" w:hAnsi="Times New Roman" w:cs="Times New Roman"/>
          <w:sz w:val="24"/>
          <w:szCs w:val="24"/>
        </w:rPr>
      </w:pPr>
    </w:p>
    <w:p w:rsidR="007F5AAB" w:rsidRPr="007F5AAB" w:rsidRDefault="007F5AAB" w:rsidP="007F5AAB">
      <w:pPr>
        <w:spacing w:after="0" w:line="240" w:lineRule="auto"/>
        <w:ind w:firstLine="709"/>
        <w:jc w:val="both"/>
        <w:outlineLvl w:val="2"/>
        <w:rPr>
          <w:rFonts w:ascii="Times New Roman" w:hAnsi="Times New Roman" w:cs="Times New Roman"/>
          <w:b/>
          <w:sz w:val="24"/>
          <w:szCs w:val="24"/>
        </w:rPr>
      </w:pPr>
    </w:p>
    <w:p w:rsidR="007F5AAB" w:rsidRPr="007F5AAB" w:rsidRDefault="007F5AAB" w:rsidP="007F5AAB">
      <w:pPr>
        <w:tabs>
          <w:tab w:val="left" w:pos="2835"/>
        </w:tabs>
        <w:spacing w:after="0" w:line="240" w:lineRule="auto"/>
        <w:jc w:val="center"/>
        <w:rPr>
          <w:rFonts w:ascii="Times New Roman" w:hAnsi="Times New Roman" w:cs="Times New Roman"/>
          <w:b/>
          <w:sz w:val="24"/>
          <w:szCs w:val="24"/>
        </w:rPr>
      </w:pPr>
      <w:r w:rsidRPr="007F5AAB">
        <w:rPr>
          <w:rFonts w:ascii="Times New Roman" w:hAnsi="Times New Roman" w:cs="Times New Roman"/>
          <w:b/>
          <w:sz w:val="24"/>
          <w:szCs w:val="24"/>
        </w:rPr>
        <w:t xml:space="preserve">           Індикативні показники економічного та соціального розвитку громади  на 2022 та 2023 роки</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Показники соціально - економічного розвитку Тернопільської міської територіальної громади на 2021 рік та на два наступних роки  окреслюють курс розвитку економіки в цілому та визначають його перспективи на найближче майбутнє, із врахуванням економічних викликів, </w:t>
      </w:r>
      <w:proofErr w:type="spellStart"/>
      <w:r w:rsidRPr="007F5AAB">
        <w:rPr>
          <w:rFonts w:ascii="Times New Roman" w:hAnsi="Times New Roman" w:cs="Times New Roman"/>
          <w:sz w:val="24"/>
          <w:szCs w:val="24"/>
        </w:rPr>
        <w:t>пов»язаних</w:t>
      </w:r>
      <w:proofErr w:type="spellEnd"/>
      <w:r w:rsidRPr="007F5AAB">
        <w:rPr>
          <w:rFonts w:ascii="Times New Roman" w:hAnsi="Times New Roman" w:cs="Times New Roman"/>
          <w:sz w:val="24"/>
          <w:szCs w:val="24"/>
        </w:rPr>
        <w:t xml:space="preserve"> із пандемією </w:t>
      </w:r>
      <w:proofErr w:type="spellStart"/>
      <w:r w:rsidRPr="007F5AAB">
        <w:rPr>
          <w:rFonts w:ascii="Times New Roman" w:hAnsi="Times New Roman" w:cs="Times New Roman"/>
          <w:sz w:val="24"/>
          <w:szCs w:val="24"/>
        </w:rPr>
        <w:t>коронавірусу</w:t>
      </w:r>
      <w:proofErr w:type="spellEnd"/>
      <w:r w:rsidRPr="007F5AAB">
        <w:rPr>
          <w:rFonts w:ascii="Times New Roman" w:hAnsi="Times New Roman" w:cs="Times New Roman"/>
          <w:sz w:val="24"/>
          <w:szCs w:val="24"/>
        </w:rPr>
        <w:t>.</w:t>
      </w: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Ці показники констатують можливе в діючих умовах  зростання економічного потенціалу громади, що демонструє наступна таблиця: </w:t>
      </w: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103"/>
          <w:tab w:val="left" w:pos="8222"/>
        </w:tabs>
        <w:spacing w:after="0" w:line="240" w:lineRule="auto"/>
        <w:jc w:val="both"/>
        <w:rPr>
          <w:rFonts w:ascii="Times New Roman" w:hAnsi="Times New Roman" w:cs="Times New Roman"/>
          <w:sz w:val="24"/>
          <w:szCs w:val="24"/>
        </w:rPr>
      </w:pPr>
    </w:p>
    <w:p w:rsidR="007F5AAB" w:rsidRPr="007F5AAB" w:rsidRDefault="007F5AAB" w:rsidP="007F5AAB">
      <w:pPr>
        <w:tabs>
          <w:tab w:val="left" w:pos="5954"/>
        </w:tabs>
        <w:spacing w:after="0" w:line="240" w:lineRule="auto"/>
        <w:jc w:val="both"/>
        <w:rPr>
          <w:rFonts w:ascii="Times New Roman" w:hAnsi="Times New Roman" w:cs="Times New Roman"/>
          <w:sz w:val="24"/>
          <w:szCs w:val="24"/>
        </w:rPr>
      </w:pPr>
    </w:p>
    <w:p w:rsidR="007F5AAB" w:rsidRPr="007F5AAB" w:rsidRDefault="007F5AAB" w:rsidP="007F5AAB">
      <w:pPr>
        <w:tabs>
          <w:tab w:val="left" w:pos="1716"/>
          <w:tab w:val="right" w:pos="14570"/>
        </w:tabs>
        <w:spacing w:after="0" w:line="240" w:lineRule="auto"/>
        <w:rPr>
          <w:rFonts w:ascii="Times New Roman" w:hAnsi="Times New Roman" w:cs="Times New Roman"/>
          <w:sz w:val="24"/>
          <w:szCs w:val="24"/>
        </w:rPr>
      </w:pPr>
      <w:r w:rsidRPr="007F5AAB">
        <w:rPr>
          <w:rFonts w:ascii="Times New Roman" w:hAnsi="Times New Roman" w:cs="Times New Roman"/>
          <w:sz w:val="24"/>
          <w:szCs w:val="24"/>
        </w:rPr>
        <w:t xml:space="preserve"> </w:t>
      </w:r>
      <w:r w:rsidRPr="007F5AAB">
        <w:rPr>
          <w:rFonts w:ascii="Times New Roman" w:eastAsia="Times New Roman" w:hAnsi="Times New Roman" w:cs="Times New Roman"/>
          <w:b/>
          <w:spacing w:val="-6"/>
          <w:sz w:val="24"/>
          <w:szCs w:val="24"/>
          <w:lang w:eastAsia="ru-RU"/>
        </w:rPr>
        <w:t xml:space="preserve">Основні  показники економічного та соціального розвитку  </w:t>
      </w:r>
      <w:r w:rsidRPr="007F5AAB">
        <w:rPr>
          <w:rFonts w:ascii="Times New Roman" w:eastAsia="Times New Roman" w:hAnsi="Times New Roman" w:cs="Times New Roman"/>
          <w:b/>
          <w:spacing w:val="-6"/>
          <w:sz w:val="24"/>
          <w:szCs w:val="24"/>
        </w:rPr>
        <w:t>Тернопільської міської територіальної громади  на 2020-  2023 роки</w:t>
      </w:r>
    </w:p>
    <w:tbl>
      <w:tblPr>
        <w:tblpPr w:leftFromText="180" w:rightFromText="180" w:vertAnchor="text" w:tblpX="-759" w:tblpY="1"/>
        <w:tblOverlap w:val="never"/>
        <w:tblW w:w="5324" w:type="pct"/>
        <w:tblLayout w:type="fixed"/>
        <w:tblLook w:val="00A0"/>
      </w:tblPr>
      <w:tblGrid>
        <w:gridCol w:w="818"/>
        <w:gridCol w:w="1845"/>
        <w:gridCol w:w="1031"/>
        <w:gridCol w:w="844"/>
        <w:gridCol w:w="978"/>
        <w:gridCol w:w="960"/>
        <w:gridCol w:w="978"/>
        <w:gridCol w:w="836"/>
        <w:gridCol w:w="1078"/>
        <w:gridCol w:w="823"/>
      </w:tblGrid>
      <w:tr w:rsidR="007F5AAB" w:rsidRPr="007F5AAB" w:rsidTr="00381D1A">
        <w:trPr>
          <w:trHeight w:val="280"/>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Показники</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Один. виміру</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2019р</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факт</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2020р. </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прогноз</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2020р-очікуване</w:t>
            </w:r>
          </w:p>
        </w:tc>
        <w:tc>
          <w:tcPr>
            <w:tcW w:w="480" w:type="pct"/>
            <w:tcBorders>
              <w:top w:val="single" w:sz="4" w:space="0" w:color="auto"/>
              <w:left w:val="single" w:sz="4" w:space="0" w:color="auto"/>
              <w:bottom w:val="nil"/>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2021р.</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прогноз</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2022р.</w:t>
            </w:r>
          </w:p>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spacing w:val="-6"/>
                <w:sz w:val="24"/>
                <w:szCs w:val="24"/>
                <w:lang w:eastAsia="ru-RU"/>
              </w:rPr>
              <w:t>прогноз</w:t>
            </w:r>
          </w:p>
        </w:tc>
        <w:tc>
          <w:tcPr>
            <w:tcW w:w="529" w:type="pct"/>
            <w:tcBorders>
              <w:top w:val="single" w:sz="4" w:space="0" w:color="auto"/>
              <w:left w:val="single" w:sz="4" w:space="0" w:color="auto"/>
              <w:bottom w:val="nil"/>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2022р./ </w:t>
            </w:r>
          </w:p>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2020р. </w:t>
            </w:r>
          </w:p>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w:t>
            </w:r>
            <w:proofErr w:type="spellStart"/>
            <w:r w:rsidRPr="007F5AAB">
              <w:rPr>
                <w:rFonts w:ascii="Times New Roman" w:eastAsia="Times New Roman" w:hAnsi="Times New Roman" w:cs="Times New Roman"/>
                <w:spacing w:val="-6"/>
                <w:sz w:val="24"/>
                <w:szCs w:val="24"/>
                <w:lang w:eastAsia="ru-RU"/>
              </w:rPr>
              <w:t>очікув</w:t>
            </w:r>
            <w:proofErr w:type="spellEnd"/>
            <w:r w:rsidRPr="007F5AAB">
              <w:rPr>
                <w:rFonts w:ascii="Times New Roman" w:eastAsia="Times New Roman" w:hAnsi="Times New Roman" w:cs="Times New Roman"/>
                <w:spacing w:val="-6"/>
                <w:sz w:val="24"/>
                <w:szCs w:val="24"/>
                <w:lang w:eastAsia="ru-RU"/>
              </w:rPr>
              <w:t>.)</w:t>
            </w:r>
          </w:p>
        </w:tc>
        <w:tc>
          <w:tcPr>
            <w:tcW w:w="405" w:type="pct"/>
            <w:tcBorders>
              <w:top w:val="single" w:sz="4" w:space="0" w:color="auto"/>
              <w:left w:val="single" w:sz="4" w:space="0" w:color="auto"/>
              <w:bottom w:val="nil"/>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2023р. </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прогноз</w:t>
            </w:r>
          </w:p>
        </w:tc>
      </w:tr>
      <w:tr w:rsidR="007F5AAB" w:rsidRPr="007F5AAB" w:rsidTr="00381D1A">
        <w:trPr>
          <w:trHeight w:val="10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5</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6</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8</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w:t>
            </w:r>
          </w:p>
        </w:tc>
      </w:tr>
      <w:tr w:rsidR="007F5AAB" w:rsidRPr="007F5AAB" w:rsidTr="00381D1A">
        <w:trPr>
          <w:trHeight w:val="178"/>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Чисельність наявного населення</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тис.осіб</w:t>
            </w:r>
            <w:proofErr w:type="spellEnd"/>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223,3</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223,5</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223,9</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224,0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225,0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100,5</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226,0</w:t>
            </w:r>
          </w:p>
        </w:tc>
      </w:tr>
      <w:tr w:rsidR="007F5AAB" w:rsidRPr="007F5AAB" w:rsidTr="00381D1A">
        <w:trPr>
          <w:trHeight w:val="224"/>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Обсяг реалізованої промислової продукції</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10148,6</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11685,2</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11685,2</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12386,3</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15700,0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134,4</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16450,0</w:t>
            </w:r>
          </w:p>
        </w:tc>
      </w:tr>
      <w:tr w:rsidR="007F5AAB" w:rsidRPr="007F5AAB" w:rsidTr="00381D1A">
        <w:trPr>
          <w:trHeight w:val="270"/>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Обсяг реалізованої промислової продукції на одну особу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грн.</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45448,3</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hAnsi="Times New Roman" w:cs="Times New Roman"/>
                <w:sz w:val="24"/>
                <w:szCs w:val="24"/>
              </w:rPr>
              <w:t>52283,0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hAnsi="Times New Roman" w:cs="Times New Roman"/>
                <w:b/>
                <w:sz w:val="24"/>
                <w:szCs w:val="24"/>
              </w:rPr>
              <w:t>52283,0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hAnsi="Times New Roman" w:cs="Times New Roman"/>
                <w:sz w:val="24"/>
                <w:szCs w:val="24"/>
              </w:rPr>
              <w:t>55296,0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69780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133,5</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72787,6</w:t>
            </w:r>
          </w:p>
        </w:tc>
      </w:tr>
      <w:tr w:rsidR="007F5AAB" w:rsidRPr="007F5AAB" w:rsidTr="00381D1A">
        <w:trPr>
          <w:trHeight w:val="220"/>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Освоєно  капітальних  інвестицій</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3673,5</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3700,0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3700,0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3920,0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4800,0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129,7</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4850,0</w:t>
            </w:r>
          </w:p>
        </w:tc>
      </w:tr>
      <w:tr w:rsidR="007F5AAB" w:rsidRPr="007F5AAB" w:rsidTr="00381D1A">
        <w:trPr>
          <w:trHeight w:val="123"/>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lastRenderedPageBreak/>
              <w:t>5</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Інвестиції у житлові будівлі</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млн..грн.</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1274,0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2220,0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2220,0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2350,0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2900,0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130,6</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3400,0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6</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Введення в експлуатацію житла</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тис.м.кв</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 xml:space="preserve">    141,9</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95,0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95,0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100,0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109,0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114,7</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112,0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Обсяг виконаних будівельних робіт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 1745,0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1630,0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1630,0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1765,0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1910,0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117,2</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2050,0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8</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Перевезено вантажів (всіма видами транспорту)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тис.тонн</w:t>
            </w:r>
            <w:proofErr w:type="spellEnd"/>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7119,3</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7150,0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7150,0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7515,0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8574,0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119,9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9600,0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Вантажообіг</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млн.т.км</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1278,1</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2020,0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2020,0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2120,0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2220,0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109,9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2320,0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Перевезено пасажирів  (всім видами транспорту)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млн. пас.</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42,5</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45,0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45,0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46,0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47,5</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105,6</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49,0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Пасажирооборот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млн. пас. км.</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1104,4</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1250,0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1250,0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1325,0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1400,0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112,0</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1475,0</w:t>
            </w:r>
          </w:p>
        </w:tc>
      </w:tr>
      <w:tr w:rsidR="007F5AAB" w:rsidRPr="007F5AAB" w:rsidTr="00381D1A">
        <w:trPr>
          <w:trHeight w:val="592"/>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Роздрібний товарооборот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           8215,0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8806,0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8806,0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9343,0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9850,0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111,8</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10350,0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Середньомісячний роздрібний товарооборот на 1 особу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грн.</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           3063,0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3283,0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3283,0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3476,0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4378,0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133,4</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4579,6 </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14</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Реалізовано послуг</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          6200,0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6646,0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6646,0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7051,0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7470,0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112,4</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7920,0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15</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Реалізовано послуг на 1 особу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грн.</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 xml:space="preserve">          27765,0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29736,0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29736,0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31477,0</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33200,0</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111,6</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35044,0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16</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Експорт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млн.дол</w:t>
            </w:r>
            <w:proofErr w:type="spellEnd"/>
            <w:r w:rsidRPr="007F5AAB">
              <w:rPr>
                <w:rFonts w:ascii="Times New Roman" w:eastAsia="Times New Roman" w:hAnsi="Times New Roman" w:cs="Times New Roman"/>
                <w:spacing w:val="-6"/>
                <w:sz w:val="24"/>
                <w:szCs w:val="24"/>
                <w:lang w:eastAsia="ru-RU"/>
              </w:rPr>
              <w:t>.</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США</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119,0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96,8</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96,8</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103,5</w:t>
            </w: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110,8</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114,5</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117,0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17</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Імпорт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млн.дол</w:t>
            </w:r>
            <w:proofErr w:type="spellEnd"/>
            <w:r w:rsidRPr="007F5AAB">
              <w:rPr>
                <w:rFonts w:ascii="Times New Roman" w:eastAsia="Times New Roman" w:hAnsi="Times New Roman" w:cs="Times New Roman"/>
                <w:spacing w:val="-6"/>
                <w:sz w:val="24"/>
                <w:szCs w:val="24"/>
                <w:lang w:eastAsia="ru-RU"/>
              </w:rPr>
              <w:t>.</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США</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141,0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121,0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121,0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130,0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139,5</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115,3</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148,0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18</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Зовнішньоторговельний оборот</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млн.дол</w:t>
            </w:r>
            <w:proofErr w:type="spellEnd"/>
            <w:r w:rsidRPr="007F5AAB">
              <w:rPr>
                <w:rFonts w:ascii="Times New Roman" w:eastAsia="Times New Roman" w:hAnsi="Times New Roman" w:cs="Times New Roman"/>
                <w:spacing w:val="-6"/>
                <w:sz w:val="24"/>
                <w:szCs w:val="24"/>
                <w:lang w:eastAsia="ru-RU"/>
              </w:rPr>
              <w:t>.</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США</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260,0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217,8</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217,8</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233,5</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250,3</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114,9</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265,0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19</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Прямі іноземні інвестиції</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млн.дол</w:t>
            </w:r>
            <w:proofErr w:type="spellEnd"/>
            <w:r w:rsidRPr="007F5AAB">
              <w:rPr>
                <w:rFonts w:ascii="Times New Roman" w:eastAsia="Times New Roman" w:hAnsi="Times New Roman" w:cs="Times New Roman"/>
                <w:spacing w:val="-6"/>
                <w:sz w:val="24"/>
                <w:szCs w:val="24"/>
                <w:lang w:eastAsia="ru-RU"/>
              </w:rPr>
              <w:t>.</w:t>
            </w:r>
          </w:p>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США</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21,0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24,0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24,0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25,4</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26,0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108,3</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27,0</w:t>
            </w:r>
          </w:p>
        </w:tc>
      </w:tr>
      <w:tr w:rsidR="007F5AAB" w:rsidRPr="007F5AAB" w:rsidTr="00381D1A">
        <w:trPr>
          <w:trHeight w:val="318"/>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20</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Прямі іноземні інвестиції  на 1 особу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дол.США</w:t>
            </w:r>
            <w:proofErr w:type="spellEnd"/>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95,4</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107,4</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107,0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113,4</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115,0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107,5</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119,4</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21</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Кількість суб’єктів підприємництва</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тис.один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23,6</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24,0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highlight w:val="yellow"/>
                <w:lang w:eastAsia="ru-RU"/>
              </w:rPr>
            </w:pPr>
            <w:r w:rsidRPr="007F5AAB">
              <w:rPr>
                <w:rFonts w:ascii="Times New Roman" w:eastAsia="Times New Roman" w:hAnsi="Times New Roman" w:cs="Times New Roman"/>
                <w:b/>
                <w:spacing w:val="-6"/>
                <w:sz w:val="24"/>
                <w:szCs w:val="24"/>
                <w:lang w:eastAsia="ru-RU"/>
              </w:rPr>
              <w:t>23,4</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23,5</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25,0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106,8</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26,5</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22</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 xml:space="preserve">Чисельність </w:t>
            </w:r>
            <w:r w:rsidRPr="007F5AAB">
              <w:rPr>
                <w:rFonts w:ascii="Times New Roman" w:eastAsia="Times New Roman" w:hAnsi="Times New Roman" w:cs="Times New Roman"/>
                <w:spacing w:val="-6"/>
                <w:sz w:val="24"/>
                <w:szCs w:val="24"/>
                <w:lang w:eastAsia="ru-RU"/>
              </w:rPr>
              <w:lastRenderedPageBreak/>
              <w:t>працюючих у сфері  підприємництва</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lastRenderedPageBreak/>
              <w:t>тис.осіб</w:t>
            </w:r>
            <w:proofErr w:type="spellEnd"/>
            <w:r w:rsidRPr="007F5AAB">
              <w:rPr>
                <w:rFonts w:ascii="Times New Roman" w:eastAsia="Times New Roman" w:hAnsi="Times New Roman" w:cs="Times New Roman"/>
                <w:spacing w:val="-6"/>
                <w:sz w:val="24"/>
                <w:szCs w:val="24"/>
                <w:lang w:eastAsia="ru-RU"/>
              </w:rPr>
              <w:lastRenderedPageBreak/>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lastRenderedPageBreak/>
              <w:t>43,0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44,4</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43,2</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45,4</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46,8</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108,3</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48,2</w:t>
            </w:r>
          </w:p>
        </w:tc>
      </w:tr>
      <w:tr w:rsidR="007F5AAB" w:rsidRPr="007F5AAB" w:rsidTr="00381D1A">
        <w:trPr>
          <w:trHeight w:val="213"/>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lastRenderedPageBreak/>
              <w:t>23</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Надходження до міського бюджету</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proofErr w:type="spellStart"/>
            <w:r w:rsidRPr="007F5AAB">
              <w:rPr>
                <w:rFonts w:ascii="Times New Roman" w:eastAsia="Times New Roman" w:hAnsi="Times New Roman" w:cs="Times New Roman"/>
                <w:spacing w:val="-6"/>
                <w:sz w:val="24"/>
                <w:szCs w:val="24"/>
                <w:lang w:eastAsia="ru-RU"/>
              </w:rPr>
              <w:t>млн.грн</w:t>
            </w:r>
            <w:proofErr w:type="spellEnd"/>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674,9</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690,0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832,4</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770,0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820,0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98,5</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870,0</w:t>
            </w:r>
          </w:p>
        </w:tc>
      </w:tr>
      <w:tr w:rsidR="007F5AAB" w:rsidRPr="007F5AAB" w:rsidTr="00381D1A">
        <w:trPr>
          <w:trHeight w:val="175"/>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24</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Середньооблікова кількість штатних працівників</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осіб</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72500</w:t>
            </w:r>
          </w:p>
        </w:tc>
        <w:tc>
          <w:tcPr>
            <w:tcW w:w="480" w:type="pct"/>
            <w:tcBorders>
              <w:top w:val="single" w:sz="4" w:space="0" w:color="auto"/>
              <w:left w:val="single" w:sz="4" w:space="0" w:color="auto"/>
              <w:bottom w:val="single" w:sz="4" w:space="0" w:color="auto"/>
              <w:right w:val="single" w:sz="4" w:space="0" w:color="auto"/>
            </w:tcBorders>
            <w:vAlign w:val="center"/>
          </w:tcPr>
          <w:p w:rsidR="007F5AAB" w:rsidRPr="007F5AAB" w:rsidRDefault="007F5AAB" w:rsidP="007F5AAB">
            <w:pPr>
              <w:widowControl w:val="0"/>
              <w:spacing w:after="0" w:line="240" w:lineRule="auto"/>
              <w:ind w:left="-195" w:right="-187"/>
              <w:jc w:val="center"/>
              <w:rPr>
                <w:rFonts w:ascii="Times New Roman" w:hAnsi="Times New Roman" w:cs="Times New Roman"/>
                <w:sz w:val="24"/>
                <w:szCs w:val="24"/>
              </w:rPr>
            </w:pPr>
            <w:r w:rsidRPr="007F5AAB">
              <w:rPr>
                <w:rFonts w:ascii="Times New Roman" w:hAnsi="Times New Roman" w:cs="Times New Roman"/>
                <w:sz w:val="24"/>
                <w:szCs w:val="24"/>
              </w:rPr>
              <w:t>70500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hAnsi="Times New Roman" w:cs="Times New Roman"/>
                <w:b/>
                <w:sz w:val="24"/>
                <w:szCs w:val="24"/>
              </w:rPr>
              <w:t>70500</w:t>
            </w:r>
          </w:p>
        </w:tc>
        <w:tc>
          <w:tcPr>
            <w:tcW w:w="480" w:type="pct"/>
            <w:tcBorders>
              <w:top w:val="single" w:sz="4" w:space="0" w:color="auto"/>
              <w:left w:val="single" w:sz="4" w:space="0" w:color="auto"/>
              <w:bottom w:val="single" w:sz="4" w:space="0" w:color="auto"/>
              <w:right w:val="single" w:sz="4" w:space="0" w:color="auto"/>
            </w:tcBorders>
            <w:vAlign w:val="center"/>
          </w:tcPr>
          <w:p w:rsidR="007F5AAB" w:rsidRPr="007F5AAB" w:rsidRDefault="007F5AAB" w:rsidP="007F5AAB">
            <w:pPr>
              <w:widowControl w:val="0"/>
              <w:spacing w:after="0" w:line="240" w:lineRule="auto"/>
              <w:ind w:left="-195" w:right="-187"/>
              <w:jc w:val="center"/>
              <w:rPr>
                <w:rFonts w:ascii="Times New Roman" w:hAnsi="Times New Roman" w:cs="Times New Roman"/>
                <w:sz w:val="24"/>
                <w:szCs w:val="24"/>
              </w:rPr>
            </w:pPr>
            <w:r w:rsidRPr="007F5AAB">
              <w:rPr>
                <w:rFonts w:ascii="Times New Roman" w:hAnsi="Times New Roman" w:cs="Times New Roman"/>
                <w:sz w:val="24"/>
                <w:szCs w:val="24"/>
              </w:rPr>
              <w:t>71000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70300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 xml:space="preserve">     99,7</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70100</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25</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Кількість зареєстрованих безробітних</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осіб</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1335</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1340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2500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1346</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1350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1360</w:t>
            </w:r>
          </w:p>
        </w:tc>
      </w:tr>
      <w:tr w:rsidR="007F5AAB" w:rsidRPr="007F5AAB" w:rsidTr="00381D1A">
        <w:trPr>
          <w:trHeight w:val="281"/>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26</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Рівень безробіття</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color w:val="000000"/>
                <w:spacing w:val="-6"/>
                <w:sz w:val="24"/>
                <w:szCs w:val="24"/>
                <w:highlight w:val="yellow"/>
                <w:lang w:eastAsia="ru-RU"/>
              </w:rPr>
            </w:pPr>
            <w:r w:rsidRPr="007F5AAB">
              <w:rPr>
                <w:rFonts w:ascii="Times New Roman" w:eastAsia="Times New Roman" w:hAnsi="Times New Roman" w:cs="Times New Roman"/>
                <w:color w:val="000000"/>
                <w:spacing w:val="-6"/>
                <w:sz w:val="24"/>
                <w:szCs w:val="24"/>
                <w:lang w:eastAsia="ru-RU"/>
              </w:rPr>
              <w:t>0,9</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0,8</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color w:val="000000"/>
                <w:spacing w:val="-6"/>
                <w:sz w:val="24"/>
                <w:szCs w:val="24"/>
                <w:lang w:eastAsia="ru-RU"/>
              </w:rPr>
            </w:pPr>
            <w:r w:rsidRPr="007F5AAB">
              <w:rPr>
                <w:rFonts w:ascii="Times New Roman" w:eastAsia="Times New Roman" w:hAnsi="Times New Roman" w:cs="Times New Roman"/>
                <w:b/>
                <w:color w:val="000000"/>
                <w:spacing w:val="-6"/>
                <w:sz w:val="24"/>
                <w:szCs w:val="24"/>
                <w:lang w:eastAsia="ru-RU"/>
              </w:rPr>
              <w:t>1,6</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0,8</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0,8</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color w:val="000000"/>
                <w:spacing w:val="-6"/>
                <w:sz w:val="24"/>
                <w:szCs w:val="24"/>
                <w:lang w:eastAsia="ru-RU"/>
              </w:rPr>
            </w:pPr>
            <w:r w:rsidRPr="007F5AAB">
              <w:rPr>
                <w:rFonts w:ascii="Times New Roman" w:eastAsia="Times New Roman" w:hAnsi="Times New Roman" w:cs="Times New Roman"/>
                <w:color w:val="000000"/>
                <w:spacing w:val="-6"/>
                <w:sz w:val="24"/>
                <w:szCs w:val="24"/>
                <w:lang w:eastAsia="ru-RU"/>
              </w:rPr>
              <w:t>0,9</w:t>
            </w:r>
          </w:p>
        </w:tc>
      </w:tr>
      <w:tr w:rsidR="007F5AAB" w:rsidRPr="007F5AAB" w:rsidTr="00381D1A">
        <w:trPr>
          <w:trHeight w:val="286"/>
        </w:trPr>
        <w:tc>
          <w:tcPr>
            <w:tcW w:w="40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27</w:t>
            </w:r>
          </w:p>
        </w:tc>
        <w:tc>
          <w:tcPr>
            <w:tcW w:w="9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Середньомісячна заробітна плата</w:t>
            </w:r>
          </w:p>
        </w:tc>
        <w:tc>
          <w:tcPr>
            <w:tcW w:w="506"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грн.</w:t>
            </w:r>
          </w:p>
        </w:tc>
        <w:tc>
          <w:tcPr>
            <w:tcW w:w="414"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widowControl w:val="0"/>
              <w:snapToGrid w:val="0"/>
              <w:spacing w:after="0" w:line="240" w:lineRule="auto"/>
              <w:jc w:val="center"/>
              <w:rPr>
                <w:rFonts w:ascii="Times New Roman" w:eastAsia="Times New Roman" w:hAnsi="Times New Roman" w:cs="Times New Roman"/>
                <w:spacing w:val="-6"/>
                <w:sz w:val="24"/>
                <w:szCs w:val="24"/>
                <w:highlight w:val="yellow"/>
                <w:lang w:eastAsia="ru-RU"/>
              </w:rPr>
            </w:pPr>
            <w:r w:rsidRPr="007F5AAB">
              <w:rPr>
                <w:rFonts w:ascii="Times New Roman" w:eastAsia="Times New Roman" w:hAnsi="Times New Roman" w:cs="Times New Roman"/>
                <w:spacing w:val="-6"/>
                <w:sz w:val="24"/>
                <w:szCs w:val="24"/>
                <w:lang w:eastAsia="ru-RU"/>
              </w:rPr>
              <w:t>8820,0</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9587,0</w:t>
            </w:r>
          </w:p>
        </w:tc>
        <w:tc>
          <w:tcPr>
            <w:tcW w:w="471"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b/>
                <w:spacing w:val="-6"/>
                <w:sz w:val="24"/>
                <w:szCs w:val="24"/>
                <w:lang w:eastAsia="ru-RU"/>
              </w:rPr>
            </w:pPr>
            <w:r w:rsidRPr="007F5AAB">
              <w:rPr>
                <w:rFonts w:ascii="Times New Roman" w:eastAsia="Times New Roman" w:hAnsi="Times New Roman" w:cs="Times New Roman"/>
                <w:b/>
                <w:spacing w:val="-6"/>
                <w:sz w:val="24"/>
                <w:szCs w:val="24"/>
                <w:lang w:eastAsia="ru-RU"/>
              </w:rPr>
              <w:t>9587</w:t>
            </w:r>
          </w:p>
        </w:tc>
        <w:tc>
          <w:tcPr>
            <w:tcW w:w="48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10162,0</w:t>
            </w:r>
          </w:p>
        </w:tc>
        <w:tc>
          <w:tcPr>
            <w:tcW w:w="410"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11216,0</w:t>
            </w:r>
          </w:p>
        </w:tc>
        <w:tc>
          <w:tcPr>
            <w:tcW w:w="529"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116,9</w:t>
            </w:r>
          </w:p>
        </w:tc>
        <w:tc>
          <w:tcPr>
            <w:tcW w:w="405" w:type="pct"/>
            <w:tcBorders>
              <w:top w:val="single" w:sz="4" w:space="0" w:color="auto"/>
              <w:left w:val="single" w:sz="4" w:space="0" w:color="auto"/>
              <w:bottom w:val="single" w:sz="4" w:space="0" w:color="auto"/>
              <w:right w:val="single" w:sz="4" w:space="0" w:color="auto"/>
            </w:tcBorders>
          </w:tcPr>
          <w:p w:rsidR="007F5AAB" w:rsidRPr="007F5AAB" w:rsidRDefault="007F5AAB" w:rsidP="007F5AAB">
            <w:pPr>
              <w:snapToGrid w:val="0"/>
              <w:spacing w:after="0" w:line="240" w:lineRule="auto"/>
              <w:jc w:val="center"/>
              <w:rPr>
                <w:rFonts w:ascii="Times New Roman" w:eastAsia="Times New Roman" w:hAnsi="Times New Roman" w:cs="Times New Roman"/>
                <w:spacing w:val="-6"/>
                <w:sz w:val="24"/>
                <w:szCs w:val="24"/>
                <w:lang w:eastAsia="ru-RU"/>
              </w:rPr>
            </w:pPr>
            <w:r w:rsidRPr="007F5AAB">
              <w:rPr>
                <w:rFonts w:ascii="Times New Roman" w:eastAsia="Times New Roman" w:hAnsi="Times New Roman" w:cs="Times New Roman"/>
                <w:spacing w:val="-6"/>
                <w:sz w:val="24"/>
                <w:szCs w:val="24"/>
                <w:lang w:eastAsia="ru-RU"/>
              </w:rPr>
              <w:t>12600,0</w:t>
            </w:r>
          </w:p>
        </w:tc>
      </w:tr>
    </w:tbl>
    <w:p w:rsidR="007F5AAB" w:rsidRPr="007F5AAB" w:rsidRDefault="007F5AAB" w:rsidP="007F5AAB">
      <w:pPr>
        <w:snapToGrid w:val="0"/>
        <w:spacing w:after="0" w:line="240" w:lineRule="auto"/>
        <w:jc w:val="center"/>
        <w:rPr>
          <w:rFonts w:ascii="Times New Roman" w:eastAsia="Times New Roman" w:hAnsi="Times New Roman" w:cs="Times New Roman"/>
          <w:sz w:val="24"/>
          <w:szCs w:val="24"/>
          <w:lang w:eastAsia="ru-RU"/>
        </w:rPr>
      </w:pPr>
    </w:p>
    <w:p w:rsidR="007F5AAB" w:rsidRPr="007F5AAB" w:rsidRDefault="007F5AAB" w:rsidP="007F5AAB">
      <w:pPr>
        <w:snapToGrid w:val="0"/>
        <w:spacing w:after="0" w:line="240" w:lineRule="auto"/>
        <w:jc w:val="center"/>
        <w:rPr>
          <w:rFonts w:ascii="Times New Roman" w:eastAsia="Times New Roman" w:hAnsi="Times New Roman" w:cs="Times New Roman"/>
          <w:sz w:val="24"/>
          <w:szCs w:val="24"/>
          <w:lang w:eastAsia="ru-RU"/>
        </w:rPr>
      </w:pPr>
    </w:p>
    <w:p w:rsidR="007F5AAB" w:rsidRPr="007F5AAB" w:rsidRDefault="007F5AAB" w:rsidP="007F5AAB">
      <w:pPr>
        <w:spacing w:after="0" w:line="240" w:lineRule="auto"/>
        <w:ind w:firstLine="540"/>
        <w:jc w:val="center"/>
        <w:rPr>
          <w:rFonts w:ascii="Times New Roman" w:hAnsi="Times New Roman" w:cs="Times New Roman"/>
          <w:b/>
          <w:sz w:val="24"/>
          <w:szCs w:val="24"/>
        </w:rPr>
      </w:pPr>
      <w:r w:rsidRPr="007F5AAB">
        <w:rPr>
          <w:rFonts w:ascii="Times New Roman" w:hAnsi="Times New Roman" w:cs="Times New Roman"/>
          <w:b/>
          <w:bCs/>
          <w:sz w:val="24"/>
          <w:szCs w:val="24"/>
        </w:rPr>
        <w:t xml:space="preserve">2. Основні індикативні прогнозні показники бюджету  </w:t>
      </w:r>
    </w:p>
    <w:p w:rsidR="007F5AAB" w:rsidRPr="007F5AAB" w:rsidRDefault="007F5AAB" w:rsidP="007F5AAB">
      <w:pPr>
        <w:spacing w:after="0" w:line="240" w:lineRule="auto"/>
        <w:jc w:val="center"/>
        <w:outlineLvl w:val="2"/>
        <w:rPr>
          <w:rFonts w:ascii="Times New Roman" w:hAnsi="Times New Roman" w:cs="Times New Roman"/>
          <w:bCs/>
          <w:sz w:val="24"/>
          <w:szCs w:val="24"/>
        </w:rPr>
      </w:pPr>
      <w:r w:rsidRPr="007F5AAB">
        <w:rPr>
          <w:rFonts w:ascii="Times New Roman" w:hAnsi="Times New Roman" w:cs="Times New Roman"/>
          <w:b/>
          <w:bCs/>
          <w:sz w:val="24"/>
          <w:szCs w:val="24"/>
        </w:rPr>
        <w:t>громади на 2022 та 2023 роки</w:t>
      </w:r>
    </w:p>
    <w:p w:rsidR="007F5AAB" w:rsidRPr="007F5AAB" w:rsidRDefault="007F5AAB" w:rsidP="007F5AAB">
      <w:pPr>
        <w:spacing w:after="0" w:line="240" w:lineRule="auto"/>
        <w:ind w:left="-709" w:firstLine="1429"/>
        <w:jc w:val="both"/>
        <w:rPr>
          <w:rFonts w:ascii="Times New Roman" w:hAnsi="Times New Roman" w:cs="Times New Roman"/>
          <w:sz w:val="24"/>
          <w:szCs w:val="24"/>
        </w:rPr>
      </w:pPr>
      <w:r w:rsidRPr="007F5AAB">
        <w:rPr>
          <w:rFonts w:ascii="Times New Roman" w:hAnsi="Times New Roman" w:cs="Times New Roman"/>
          <w:sz w:val="24"/>
          <w:szCs w:val="24"/>
        </w:rPr>
        <w:t>Індикативні показники місцевого бюджету за доходами, фінансуванням, видатками та кредитуванням наведено в   наступній таблиці:</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Таблиця 2</w:t>
      </w:r>
      <w:r w:rsidRPr="007F5AAB">
        <w:rPr>
          <w:rFonts w:ascii="Times New Roman" w:eastAsia="Times New Roman" w:hAnsi="Times New Roman" w:cs="Times New Roman"/>
          <w:sz w:val="24"/>
          <w:szCs w:val="24"/>
          <w:lang w:eastAsia="ru-RU"/>
        </w:rPr>
        <w:t xml:space="preserve"> </w:t>
      </w:r>
    </w:p>
    <w:p w:rsidR="007F5AAB" w:rsidRPr="007F5AAB" w:rsidRDefault="007F5AAB" w:rsidP="007F5AAB">
      <w:pPr>
        <w:spacing w:after="0" w:line="240" w:lineRule="auto"/>
        <w:ind w:firstLine="720"/>
        <w:jc w:val="both"/>
        <w:rPr>
          <w:rFonts w:ascii="Times New Roman" w:hAnsi="Times New Roman" w:cs="Times New Roman"/>
          <w:sz w:val="24"/>
          <w:szCs w:val="24"/>
        </w:rPr>
      </w:pPr>
      <w:r w:rsidRPr="007F5AAB">
        <w:rPr>
          <w:rFonts w:ascii="Times New Roman" w:hAnsi="Times New Roman" w:cs="Times New Roman"/>
          <w:sz w:val="24"/>
          <w:szCs w:val="24"/>
        </w:rPr>
        <w:t xml:space="preserve">         Основні показники бюджету громади на 2020-2023 роки:</w:t>
      </w:r>
    </w:p>
    <w:tbl>
      <w:tblPr>
        <w:tblW w:w="6116" w:type="pct"/>
        <w:tblInd w:w="-1478"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15"/>
        <w:gridCol w:w="5491"/>
        <w:gridCol w:w="1344"/>
        <w:gridCol w:w="1273"/>
        <w:gridCol w:w="1374"/>
        <w:gridCol w:w="1383"/>
      </w:tblGrid>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№п/п</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Показник</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ind w:right="-120"/>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2020 рік-1- план зі змінами</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2021 рік-2</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2022 рік-3</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106,2%</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2023 рік-3</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105,3%</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4815" w:type="pct"/>
            <w:gridSpan w:val="5"/>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Загальний фонд: </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Доходи (з трансфертами) </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2 227 510,3</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2 385 002, 0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2 557 781,8</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2 693 344,2</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Видатки (з трансфертами)</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1 781 167,7</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2 006 088,6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2 166 250,7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2 281 062,0</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3</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Кредитування усього, у тому числі:</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500,0</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3а</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надання кредитів з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500,0</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3б</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повернення кредитів до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0,0</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0,0</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0,0</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4</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Фінансування (дефіцит "-" / профіцит "+")</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+445 842,6</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+378 313,4</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+390 931,1</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+411 682,2</w:t>
            </w:r>
          </w:p>
        </w:tc>
      </w:tr>
      <w:tr w:rsidR="007F5AAB" w:rsidRPr="007F5AAB" w:rsidTr="00381D1A">
        <w:trPr>
          <w:trHeight w:val="281"/>
        </w:trPr>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4815" w:type="pct"/>
            <w:gridSpan w:val="5"/>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Спеціальний фонд:</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5</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Доходи (з трансфертами)</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84 234,2</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75 460, 2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80 138,7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84 386,1</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6</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Видатки (з трансфертами)</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713 259,6</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641 730,1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670 642,5</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706 186,6</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Кредитування усього, у тому числі</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3 428,0</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63 222,1</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67 141,7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70 700,2</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7а</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надання кредитів з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3569,1</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63 322,1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67 141,7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70 700,2</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7б</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повернення кредитів до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-141,1</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-100,0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8</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Фінансування (дефіцит «-« / </w:t>
            </w:r>
            <w:proofErr w:type="spellStart"/>
            <w:r w:rsidRPr="007F5AAB">
              <w:rPr>
                <w:rFonts w:ascii="Times New Roman" w:eastAsia="Times New Roman" w:hAnsi="Times New Roman" w:cs="Times New Roman"/>
                <w:b/>
                <w:sz w:val="24"/>
                <w:szCs w:val="24"/>
                <w:lang w:eastAsia="ru-RU"/>
              </w:rPr>
              <w:t>профіцит«+</w:t>
            </w:r>
            <w:proofErr w:type="spellEnd"/>
            <w:r w:rsidRPr="007F5AAB">
              <w:rPr>
                <w:rFonts w:ascii="Times New Roman" w:eastAsia="Times New Roman" w:hAnsi="Times New Roman" w:cs="Times New Roman"/>
                <w:b/>
                <w:sz w:val="24"/>
                <w:szCs w:val="24"/>
                <w:lang w:eastAsia="ru-RU"/>
              </w:rPr>
              <w:t>»)</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-632 648,1</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-629 492,0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-657 645,5</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-692 500,7</w:t>
            </w:r>
          </w:p>
        </w:tc>
      </w:tr>
      <w:tr w:rsidR="007F5AAB" w:rsidRPr="007F5AAB" w:rsidTr="00381D1A">
        <w:trPr>
          <w:trHeight w:val="199"/>
        </w:trPr>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4815" w:type="pct"/>
            <w:gridSpan w:val="5"/>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Разом: </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9</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Доходи (з трансфертами)</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2 311 549,8</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2 460 462,2</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2 637 920,5</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2 777 730,3</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10</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Видатки (з трансфертами)</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2 494 427,3</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2 647 818,7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2 836 893,2</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ind w:left="127" w:hanging="127"/>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2 987 248,6</w:t>
            </w:r>
          </w:p>
        </w:tc>
      </w:tr>
      <w:tr w:rsidR="007F5AAB" w:rsidRPr="007F5AAB" w:rsidTr="00381D1A">
        <w:trPr>
          <w:trHeight w:val="641"/>
        </w:trPr>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11</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Кредитування усього, у тому числі:</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3 928,0</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63 822,1</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67 741,7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71 300,2</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11а</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надання кредитів з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4069,1</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63 922,1 </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67 741,7</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71 300,2</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lastRenderedPageBreak/>
              <w:t>11б</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повернення кредитів до бюджету</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-141,1</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-100,0</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w:t>
            </w:r>
          </w:p>
        </w:tc>
      </w:tr>
      <w:tr w:rsidR="007F5AAB" w:rsidRPr="007F5AAB" w:rsidTr="00381D1A">
        <w:tc>
          <w:tcPr>
            <w:tcW w:w="185" w:type="pct"/>
            <w:tcBorders>
              <w:top w:val="outset" w:sz="4" w:space="0" w:color="000000"/>
              <w:left w:val="outset" w:sz="4" w:space="0" w:color="000000"/>
              <w:bottom w:val="outset" w:sz="4" w:space="0" w:color="000000"/>
              <w:right w:val="outset" w:sz="4" w:space="0" w:color="000000"/>
            </w:tcBorders>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12</w:t>
            </w:r>
          </w:p>
        </w:tc>
        <w:tc>
          <w:tcPr>
            <w:tcW w:w="2408"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Фінансування (дефіцит "-" / профіцит "+")</w:t>
            </w:r>
          </w:p>
        </w:tc>
        <w:tc>
          <w:tcPr>
            <w:tcW w:w="60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-186 805,6</w:t>
            </w:r>
          </w:p>
        </w:tc>
        <w:tc>
          <w:tcPr>
            <w:tcW w:w="57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-251 178,5</w:t>
            </w:r>
          </w:p>
        </w:tc>
        <w:tc>
          <w:tcPr>
            <w:tcW w:w="615"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-266 714,4</w:t>
            </w:r>
          </w:p>
        </w:tc>
        <w:tc>
          <w:tcPr>
            <w:tcW w:w="619"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-280 818,5</w:t>
            </w:r>
          </w:p>
        </w:tc>
      </w:tr>
    </w:tbl>
    <w:p w:rsidR="007F5AAB" w:rsidRPr="007F5AAB" w:rsidRDefault="007F5AAB" w:rsidP="007F5AAB">
      <w:pPr>
        <w:spacing w:after="0" w:line="240" w:lineRule="auto"/>
        <w:jc w:val="both"/>
        <w:outlineLvl w:val="2"/>
        <w:rPr>
          <w:rFonts w:ascii="Times New Roman" w:hAnsi="Times New Roman" w:cs="Times New Roman"/>
          <w:bCs/>
          <w:sz w:val="24"/>
          <w:szCs w:val="24"/>
        </w:rPr>
      </w:pPr>
      <w:bookmarkStart w:id="1" w:name="n137"/>
      <w:bookmarkEnd w:id="1"/>
    </w:p>
    <w:p w:rsidR="007F5AAB" w:rsidRPr="007F5AAB" w:rsidRDefault="007F5AAB" w:rsidP="007F5AAB">
      <w:pPr>
        <w:spacing w:after="0" w:line="240" w:lineRule="auto"/>
        <w:jc w:val="both"/>
        <w:outlineLvl w:val="2"/>
        <w:rPr>
          <w:rFonts w:ascii="Times New Roman" w:hAnsi="Times New Roman" w:cs="Times New Roman"/>
          <w:b/>
          <w:sz w:val="24"/>
          <w:szCs w:val="24"/>
        </w:rPr>
      </w:pPr>
      <w:r w:rsidRPr="007F5AAB">
        <w:rPr>
          <w:rFonts w:ascii="Times New Roman" w:hAnsi="Times New Roman" w:cs="Times New Roman"/>
          <w:b/>
          <w:sz w:val="24"/>
          <w:szCs w:val="24"/>
        </w:rPr>
        <w:t xml:space="preserve">                                               </w:t>
      </w:r>
    </w:p>
    <w:p w:rsidR="007F5AAB" w:rsidRPr="007F5AAB" w:rsidRDefault="007F5AAB" w:rsidP="007F5AAB">
      <w:pPr>
        <w:spacing w:after="0" w:line="240" w:lineRule="auto"/>
        <w:jc w:val="both"/>
        <w:outlineLvl w:val="2"/>
        <w:rPr>
          <w:rFonts w:ascii="Times New Roman" w:hAnsi="Times New Roman" w:cs="Times New Roman"/>
          <w:b/>
          <w:sz w:val="24"/>
          <w:szCs w:val="24"/>
        </w:rPr>
      </w:pPr>
      <w:r w:rsidRPr="007F5AAB">
        <w:rPr>
          <w:rFonts w:ascii="Times New Roman" w:hAnsi="Times New Roman" w:cs="Times New Roman"/>
          <w:b/>
          <w:sz w:val="24"/>
          <w:szCs w:val="24"/>
        </w:rPr>
        <w:t xml:space="preserve">                        3. Дохідна спроможність бюджету</w:t>
      </w:r>
    </w:p>
    <w:p w:rsidR="007F5AAB" w:rsidRPr="007F5AAB" w:rsidRDefault="007F5AAB" w:rsidP="007F5AAB">
      <w:pPr>
        <w:spacing w:after="0" w:line="240" w:lineRule="auto"/>
        <w:jc w:val="both"/>
        <w:outlineLvl w:val="2"/>
        <w:rPr>
          <w:rFonts w:ascii="Times New Roman" w:hAnsi="Times New Roman" w:cs="Times New Roman"/>
          <w:b/>
          <w:sz w:val="24"/>
          <w:szCs w:val="24"/>
        </w:rPr>
      </w:pP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В  середньостроковій перспективі (2022-2023 роки)  прогнозується, що  податкова база місцевих бюджетів може  зазнати   змін в частині місцевого оподаткування. Проте, враховуючи, що на сьогодні відповідні законопроекти лише проходять стадію попереднього  розгляду, фінансова база бюджету </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громади на два наступних роки розрахована, базуючись  на нормах чинного податкового законодавства.</w:t>
      </w:r>
    </w:p>
    <w:p w:rsidR="007F5AAB" w:rsidRPr="007F5AAB" w:rsidRDefault="007F5AAB" w:rsidP="007F5AAB">
      <w:pPr>
        <w:spacing w:after="0" w:line="240" w:lineRule="auto"/>
        <w:ind w:firstLine="708"/>
        <w:jc w:val="both"/>
        <w:rPr>
          <w:rFonts w:ascii="Times New Roman" w:hAnsi="Times New Roman" w:cs="Times New Roman"/>
          <w:sz w:val="24"/>
          <w:szCs w:val="24"/>
        </w:rPr>
      </w:pP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В Прогнозі враховані наступні індикативні показники  : зростання мінімальної заробітної плати на початок бюджетного року  ( 2022р. – 6700,00 </w:t>
      </w:r>
      <w:proofErr w:type="spellStart"/>
      <w:r w:rsidRPr="007F5AAB">
        <w:rPr>
          <w:rFonts w:ascii="Times New Roman" w:hAnsi="Times New Roman" w:cs="Times New Roman"/>
          <w:sz w:val="24"/>
          <w:szCs w:val="24"/>
        </w:rPr>
        <w:t>грн</w:t>
      </w:r>
      <w:proofErr w:type="spellEnd"/>
      <w:r w:rsidRPr="007F5AAB">
        <w:rPr>
          <w:rFonts w:ascii="Times New Roman" w:hAnsi="Times New Roman" w:cs="Times New Roman"/>
          <w:sz w:val="24"/>
          <w:szCs w:val="24"/>
        </w:rPr>
        <w:t xml:space="preserve">,  2023р. –7126,00 </w:t>
      </w:r>
      <w:proofErr w:type="spellStart"/>
      <w:r w:rsidRPr="007F5AAB">
        <w:rPr>
          <w:rFonts w:ascii="Times New Roman" w:hAnsi="Times New Roman" w:cs="Times New Roman"/>
          <w:sz w:val="24"/>
          <w:szCs w:val="24"/>
        </w:rPr>
        <w:t>грн</w:t>
      </w:r>
      <w:proofErr w:type="spellEnd"/>
      <w:r w:rsidRPr="007F5AAB">
        <w:rPr>
          <w:rFonts w:ascii="Times New Roman" w:hAnsi="Times New Roman" w:cs="Times New Roman"/>
          <w:sz w:val="24"/>
          <w:szCs w:val="24"/>
        </w:rPr>
        <w:t>),  відповідно - прожиткового мінімуму для працездатних осіб</w:t>
      </w: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 xml:space="preserve">та </w:t>
      </w:r>
      <w:proofErr w:type="spellStart"/>
      <w:r w:rsidRPr="007F5AAB">
        <w:rPr>
          <w:rFonts w:ascii="Times New Roman" w:hAnsi="Times New Roman" w:cs="Times New Roman"/>
          <w:sz w:val="24"/>
          <w:szCs w:val="24"/>
        </w:rPr>
        <w:t>пов”язану</w:t>
      </w:r>
      <w:proofErr w:type="spellEnd"/>
      <w:r w:rsidRPr="007F5AAB">
        <w:rPr>
          <w:rFonts w:ascii="Times New Roman" w:hAnsi="Times New Roman" w:cs="Times New Roman"/>
          <w:sz w:val="24"/>
          <w:szCs w:val="24"/>
        </w:rPr>
        <w:t xml:space="preserve"> з ними зміну ставок  ряду податків (ПДФО, єдиного, транспортного, податку на нерухомість, туристичного збору) і інших надходжень (адміністративних зборів, держмита). </w:t>
      </w:r>
    </w:p>
    <w:p w:rsidR="007F5AAB" w:rsidRPr="007F5AAB" w:rsidRDefault="007F5AAB" w:rsidP="007F5AAB">
      <w:pPr>
        <w:spacing w:after="0" w:line="240" w:lineRule="auto"/>
        <w:ind w:firstLine="708"/>
        <w:jc w:val="both"/>
        <w:rPr>
          <w:rFonts w:ascii="Times New Roman" w:hAnsi="Times New Roman" w:cs="Times New Roman"/>
          <w:sz w:val="24"/>
          <w:szCs w:val="24"/>
        </w:rPr>
      </w:pP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Слід взяти до уваги  відміну з 2021 року відрахувань частини акцизного податку із виробленого в Україні  та ввезеного  в Україну пального ( річні втрати бюджету громади  близько 60 -70,0 </w:t>
      </w:r>
      <w:proofErr w:type="spellStart"/>
      <w:r w:rsidRPr="007F5AAB">
        <w:rPr>
          <w:rFonts w:ascii="Times New Roman" w:hAnsi="Times New Roman" w:cs="Times New Roman"/>
          <w:sz w:val="24"/>
          <w:szCs w:val="24"/>
        </w:rPr>
        <w:t>млн.грн</w:t>
      </w:r>
      <w:proofErr w:type="spellEnd"/>
      <w:r w:rsidRPr="007F5AAB">
        <w:rPr>
          <w:rFonts w:ascii="Times New Roman" w:hAnsi="Times New Roman" w:cs="Times New Roman"/>
          <w:sz w:val="24"/>
          <w:szCs w:val="24"/>
        </w:rPr>
        <w:t xml:space="preserve">) та коштів пайової участі забудовників ( річні втрати близько 20,0 </w:t>
      </w:r>
      <w:proofErr w:type="spellStart"/>
      <w:r w:rsidRPr="007F5AAB">
        <w:rPr>
          <w:rFonts w:ascii="Times New Roman" w:hAnsi="Times New Roman" w:cs="Times New Roman"/>
          <w:sz w:val="24"/>
          <w:szCs w:val="24"/>
        </w:rPr>
        <w:t>млн.грн</w:t>
      </w:r>
      <w:proofErr w:type="spellEnd"/>
      <w:r w:rsidRPr="007F5AAB">
        <w:rPr>
          <w:rFonts w:ascii="Times New Roman" w:hAnsi="Times New Roman" w:cs="Times New Roman"/>
          <w:sz w:val="24"/>
          <w:szCs w:val="24"/>
        </w:rPr>
        <w:t xml:space="preserve">). </w:t>
      </w:r>
    </w:p>
    <w:p w:rsidR="007F5AAB" w:rsidRPr="007F5AAB" w:rsidRDefault="007F5AAB" w:rsidP="007F5AAB">
      <w:pPr>
        <w:spacing w:after="0" w:line="240" w:lineRule="auto"/>
        <w:ind w:firstLine="708"/>
        <w:jc w:val="both"/>
        <w:rPr>
          <w:rFonts w:ascii="Times New Roman" w:hAnsi="Times New Roman" w:cs="Times New Roman"/>
          <w:sz w:val="24"/>
          <w:szCs w:val="24"/>
        </w:rPr>
      </w:pP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В результаті прогноз власних доходів бюджету  (без урахування міжбюджетних трансфертів) на 2022 рік визначено в сумі  2 092 402,1тис.грн,  на 2023  рік</w:t>
      </w:r>
      <w:r w:rsidRPr="007F5AAB">
        <w:rPr>
          <w:rFonts w:ascii="Times New Roman" w:hAnsi="Times New Roman" w:cs="Times New Roman"/>
          <w:i/>
          <w:sz w:val="24"/>
          <w:szCs w:val="24"/>
        </w:rPr>
        <w:t xml:space="preserve"> – </w:t>
      </w:r>
      <w:r w:rsidRPr="007F5AAB">
        <w:rPr>
          <w:rFonts w:ascii="Times New Roman" w:hAnsi="Times New Roman" w:cs="Times New Roman"/>
          <w:sz w:val="24"/>
          <w:szCs w:val="24"/>
        </w:rPr>
        <w:t xml:space="preserve">2 210 788,5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w:t>
      </w:r>
    </w:p>
    <w:p w:rsidR="007F5AAB" w:rsidRPr="007F5AAB" w:rsidRDefault="007F5AAB" w:rsidP="007F5AAB">
      <w:pPr>
        <w:spacing w:after="0" w:line="240" w:lineRule="auto"/>
        <w:ind w:firstLine="708"/>
        <w:jc w:val="both"/>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9385"/>
      </w:tblGrid>
      <w:tr w:rsidR="007F5AAB" w:rsidRPr="007F5AAB" w:rsidTr="00381D1A">
        <w:trPr>
          <w:trHeight w:val="15"/>
        </w:trPr>
        <w:tc>
          <w:tcPr>
            <w:tcW w:w="9667" w:type="dxa"/>
            <w:tcBorders>
              <w:top w:val="nil"/>
              <w:left w:val="nil"/>
              <w:bottom w:val="nil"/>
              <w:right w:val="nil"/>
            </w:tcBorders>
            <w:hideMark/>
          </w:tcPr>
          <w:p w:rsidR="007F5AAB" w:rsidRPr="007F5AAB" w:rsidRDefault="007F5AAB" w:rsidP="007F5AAB">
            <w:pPr>
              <w:spacing w:before="100" w:beforeAutospacing="1" w:after="0" w:line="240" w:lineRule="auto"/>
              <w:jc w:val="both"/>
              <w:rPr>
                <w:rFonts w:ascii="Times New Roman" w:hAnsi="Times New Roman" w:cs="Times New Roman"/>
                <w:sz w:val="24"/>
                <w:szCs w:val="24"/>
              </w:rPr>
            </w:pP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Основним формуючим податковим джерелом    залишається податок на доходи фізичних осіб ( ПДФО), питома вага якого в прогнозі загального фонду у  2022-2023 роках  складатиме  близько 64 відсотків. При  розрахунку ПДФО враховано рекомендовані показники Міністерства фінансів, ріст мінімальної зарплати, середньомісячної заробітної плати  до попереднього року  як в цілому по Україні,  так  і по  міській  територіальній громаді, динаміку надходжень, тощо.</w:t>
            </w:r>
          </w:p>
        </w:tc>
      </w:tr>
      <w:tr w:rsidR="007F5AAB" w:rsidRPr="007F5AAB" w:rsidTr="00381D1A">
        <w:trPr>
          <w:trHeight w:val="15"/>
        </w:trPr>
        <w:tc>
          <w:tcPr>
            <w:tcW w:w="9667" w:type="dxa"/>
            <w:tcBorders>
              <w:top w:val="nil"/>
              <w:left w:val="nil"/>
              <w:bottom w:val="nil"/>
              <w:right w:val="nil"/>
            </w:tcBorders>
            <w:hideMark/>
          </w:tcPr>
          <w:p w:rsidR="007F5AAB" w:rsidRPr="007F5AAB" w:rsidRDefault="007F5AAB" w:rsidP="007F5AAB">
            <w:pPr>
              <w:spacing w:before="100" w:beforeAutospacing="1" w:after="0" w:line="240" w:lineRule="auto"/>
              <w:rPr>
                <w:rFonts w:ascii="Times New Roman" w:hAnsi="Times New Roman" w:cs="Times New Roman"/>
                <w:sz w:val="24"/>
                <w:szCs w:val="24"/>
              </w:rPr>
            </w:pPr>
          </w:p>
        </w:tc>
      </w:tr>
      <w:tr w:rsidR="007F5AAB" w:rsidRPr="007F5AAB" w:rsidTr="00381D1A">
        <w:trPr>
          <w:trHeight w:val="15"/>
        </w:trPr>
        <w:tc>
          <w:tcPr>
            <w:tcW w:w="9667" w:type="dxa"/>
            <w:tcBorders>
              <w:top w:val="nil"/>
              <w:left w:val="nil"/>
              <w:bottom w:val="nil"/>
              <w:right w:val="nil"/>
            </w:tcBorders>
            <w:hideMark/>
          </w:tcPr>
          <w:p w:rsidR="007F5AAB" w:rsidRPr="007F5AAB" w:rsidRDefault="007F5AAB" w:rsidP="007F5AAB">
            <w:pPr>
              <w:spacing w:before="100" w:beforeAutospacing="1" w:after="0" w:line="240" w:lineRule="auto"/>
              <w:rPr>
                <w:rFonts w:ascii="Times New Roman" w:hAnsi="Times New Roman" w:cs="Times New Roman"/>
                <w:sz w:val="24"/>
                <w:szCs w:val="24"/>
              </w:rPr>
            </w:pPr>
          </w:p>
        </w:tc>
      </w:tr>
    </w:tbl>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Відтак,  прогнозні обсяги ПДФО  на 2022 та 2023 роки до бюджету громади складуть  1 391 097,4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 xml:space="preserve">  та  1 488 474,2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 xml:space="preserve">  відповідно.</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ind w:firstLine="720"/>
        <w:jc w:val="both"/>
        <w:rPr>
          <w:rFonts w:ascii="Times New Roman" w:hAnsi="Times New Roman" w:cs="Times New Roman"/>
          <w:sz w:val="24"/>
          <w:szCs w:val="24"/>
        </w:rPr>
      </w:pPr>
      <w:r w:rsidRPr="007F5AAB">
        <w:rPr>
          <w:rFonts w:ascii="Times New Roman" w:hAnsi="Times New Roman" w:cs="Times New Roman"/>
          <w:sz w:val="24"/>
          <w:szCs w:val="24"/>
        </w:rPr>
        <w:t xml:space="preserve">Щодо інших платежів, то вони визначені </w:t>
      </w:r>
      <w:r w:rsidRPr="007F5AAB">
        <w:rPr>
          <w:rFonts w:ascii="Times New Roman" w:hAnsi="Times New Roman" w:cs="Times New Roman"/>
          <w:sz w:val="24"/>
          <w:szCs w:val="24"/>
          <w:lang w:bidi="te-IN"/>
        </w:rPr>
        <w:t xml:space="preserve">на підставі даних  Мінфіну, ГУ ДПС, проведених розрахунків  </w:t>
      </w:r>
      <w:r w:rsidRPr="007F5AAB">
        <w:rPr>
          <w:rFonts w:ascii="Times New Roman" w:hAnsi="Times New Roman" w:cs="Times New Roman"/>
          <w:sz w:val="24"/>
          <w:szCs w:val="24"/>
        </w:rPr>
        <w:t xml:space="preserve">з урахуванням чинних норм Податкового кодексу України, а також  діючих нормативів відрахувань до  бюджету. </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sz w:val="24"/>
          <w:szCs w:val="24"/>
        </w:rPr>
        <w:t xml:space="preserve">         Відміна з 2021 року певних видів надходжень ( частини акцизу та коштів пайової участі), а також  очікуваний  негативний вплив на  бюджетні надходження внаслідок карантинних заходів, спонукатиме до активізації мобілізуючих заходів по наповненню дохідної бази громади, використання наявних резервів, розширення бази оподаткування  та залучення додаткових доходів, в тому числі, за рахунок  легалізації зарплати, зменшення податкового боргу, тощо.</w:t>
      </w:r>
      <w:r w:rsidRPr="007F5AAB">
        <w:rPr>
          <w:rFonts w:ascii="Times New Roman" w:hAnsi="Times New Roman" w:cs="Times New Roman"/>
          <w:b/>
          <w:sz w:val="24"/>
          <w:szCs w:val="24"/>
        </w:rPr>
        <w:t xml:space="preserve">                                                                              </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Таблиця 3</w:t>
      </w:r>
      <w:r w:rsidRPr="007F5AAB">
        <w:rPr>
          <w:rFonts w:ascii="Times New Roman" w:eastAsia="Times New Roman" w:hAnsi="Times New Roman" w:cs="Times New Roman"/>
          <w:sz w:val="24"/>
          <w:szCs w:val="24"/>
          <w:lang w:eastAsia="ru-RU"/>
        </w:rPr>
        <w:t xml:space="preserve">                      </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Доходи бюджету громади  на 2020 - 2023 роки</w:t>
      </w:r>
      <w:bookmarkStart w:id="2" w:name="n141"/>
      <w:bookmarkEnd w:id="2"/>
      <w:r w:rsidRPr="007F5AAB">
        <w:rPr>
          <w:rFonts w:ascii="Times New Roman" w:eastAsia="Times New Roman" w:hAnsi="Times New Roman" w:cs="Times New Roman"/>
          <w:sz w:val="24"/>
          <w:szCs w:val="24"/>
          <w:lang w:eastAsia="ru-RU"/>
        </w:rPr>
        <w:t xml:space="preserve"> (</w:t>
      </w:r>
      <w:proofErr w:type="spellStart"/>
      <w:r w:rsidRPr="007F5AAB">
        <w:rPr>
          <w:rFonts w:ascii="Times New Roman" w:eastAsia="Times New Roman" w:hAnsi="Times New Roman" w:cs="Times New Roman"/>
          <w:sz w:val="24"/>
          <w:szCs w:val="24"/>
          <w:lang w:eastAsia="ru-RU"/>
        </w:rPr>
        <w:t>тис.грн</w:t>
      </w:r>
      <w:proofErr w:type="spellEnd"/>
      <w:r w:rsidRPr="007F5AAB">
        <w:rPr>
          <w:rFonts w:ascii="Times New Roman" w:eastAsia="Times New Roman" w:hAnsi="Times New Roman" w:cs="Times New Roman"/>
          <w:sz w:val="24"/>
          <w:szCs w:val="24"/>
          <w:lang w:eastAsia="ru-RU"/>
        </w:rPr>
        <w:t xml:space="preserve">) </w:t>
      </w:r>
    </w:p>
    <w:tbl>
      <w:tblPr>
        <w:tblW w:w="5438" w:type="pct"/>
        <w:tblInd w:w="-269"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4545"/>
        <w:gridCol w:w="1409"/>
        <w:gridCol w:w="1429"/>
        <w:gridCol w:w="1413"/>
        <w:gridCol w:w="1411"/>
      </w:tblGrid>
      <w:tr w:rsidR="007F5AAB" w:rsidRPr="007F5AAB" w:rsidTr="00381D1A">
        <w:trPr>
          <w:trHeight w:val="574"/>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lastRenderedPageBreak/>
              <w:t>Показник</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2020 рік</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2021 рік-2</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2022 рік-3</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2023 рік-3</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Загальний обсяг доходів, усього </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2 531 786,9</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2 460 462,2</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2 637 920,5</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2 777 730,3</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У тому числі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b/>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ind w:left="810"/>
              <w:jc w:val="both"/>
              <w:rPr>
                <w:rFonts w:ascii="Times New Roman" w:eastAsia="Times New Roman" w:hAnsi="Times New Roman" w:cs="Times New Roman"/>
                <w:b/>
                <w:sz w:val="24"/>
                <w:szCs w:val="24"/>
                <w:lang w:eastAsia="ru-RU"/>
              </w:rPr>
            </w:pPr>
          </w:p>
        </w:tc>
      </w:tr>
      <w:tr w:rsidR="007F5AAB" w:rsidRPr="007F5AAB" w:rsidTr="00381D1A">
        <w:trPr>
          <w:trHeight w:val="571"/>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міжбюджетні трансферти, усього</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з них:</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699 597,2</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hAnsi="Times New Roman" w:cs="Times New Roman"/>
                <w:color w:val="000000"/>
                <w:sz w:val="24"/>
                <w:szCs w:val="24"/>
                <w:lang w:eastAsia="ru-RU"/>
              </w:rPr>
              <w:t>503797,7</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545518,4</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566941,8</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Освітня субвенція**</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379 841,7</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hAnsi="Times New Roman" w:cs="Times New Roman"/>
                <w:color w:val="000000"/>
                <w:sz w:val="24"/>
                <w:szCs w:val="24"/>
                <w:lang w:eastAsia="ru-RU"/>
              </w:rPr>
              <w:t>503797,7</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545518,4</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566941,8</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Медична субвенція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43 454,0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Інші  субвенції з державного бюджету ( на </w:t>
            </w:r>
            <w:proofErr w:type="spellStart"/>
            <w:r w:rsidRPr="007F5AAB">
              <w:rPr>
                <w:rFonts w:ascii="Times New Roman" w:eastAsia="Times New Roman" w:hAnsi="Times New Roman" w:cs="Times New Roman"/>
                <w:sz w:val="24"/>
                <w:szCs w:val="24"/>
                <w:lang w:eastAsia="ru-RU"/>
              </w:rPr>
              <w:t>соц.ек.розвиток</w:t>
            </w:r>
            <w:proofErr w:type="spellEnd"/>
            <w:r w:rsidRPr="007F5AAB">
              <w:rPr>
                <w:rFonts w:ascii="Times New Roman" w:eastAsia="Times New Roman" w:hAnsi="Times New Roman" w:cs="Times New Roman"/>
                <w:sz w:val="24"/>
                <w:szCs w:val="24"/>
                <w:lang w:eastAsia="ru-RU"/>
              </w:rPr>
              <w:t>, тощо)</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200 000,0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Дотація з державного бюджету</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12 654,5</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r>
      <w:tr w:rsidR="007F5AAB" w:rsidRPr="007F5AAB" w:rsidTr="00381D1A">
        <w:trPr>
          <w:trHeight w:val="356"/>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Субвенції з місцевих бюджетів</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63 647,0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х</w:t>
            </w:r>
          </w:p>
        </w:tc>
      </w:tr>
      <w:tr w:rsidR="007F5AAB" w:rsidRPr="007F5AAB" w:rsidTr="00381D1A">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660"/>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Податкові надходження, усього </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з них: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1 701 500,1</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 1 845 162,8</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   1 976 291,8</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2 091 797,7</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r>
      <w:tr w:rsidR="007F5AAB" w:rsidRPr="007F5AAB" w:rsidTr="00381D1A">
        <w:trPr>
          <w:trHeight w:val="476"/>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ПДФО</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1 121594,0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1 279 281,8</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1 391 097,4</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1 488 474,2</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371"/>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Податок на майно</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154699,3</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175 912,9</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180 441,2</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185 313,1</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662"/>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Єдиний податок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291217,7</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314 392,3</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328 915,0</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341 413,8</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496"/>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Акцизний податок з ввезеного та виробленого палива</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60300,0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r>
      <w:tr w:rsidR="007F5AAB" w:rsidRPr="007F5AAB" w:rsidTr="00381D1A">
        <w:trPr>
          <w:trHeight w:val="496"/>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Акцизний податок з роздрібного продажу </w:t>
            </w:r>
            <w:proofErr w:type="spellStart"/>
            <w:r w:rsidRPr="007F5AAB">
              <w:rPr>
                <w:rFonts w:ascii="Times New Roman" w:eastAsia="Times New Roman" w:hAnsi="Times New Roman" w:cs="Times New Roman"/>
                <w:sz w:val="24"/>
                <w:szCs w:val="24"/>
                <w:lang w:eastAsia="ru-RU"/>
              </w:rPr>
              <w:t>підакц</w:t>
            </w:r>
            <w:proofErr w:type="spellEnd"/>
            <w:r w:rsidRPr="007F5AAB">
              <w:rPr>
                <w:rFonts w:ascii="Times New Roman" w:eastAsia="Times New Roman" w:hAnsi="Times New Roman" w:cs="Times New Roman"/>
                <w:sz w:val="24"/>
                <w:szCs w:val="24"/>
                <w:lang w:eastAsia="ru-RU"/>
              </w:rPr>
              <w:t>. товарів</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69900,0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71 630,3</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72 346,6</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73 070,1</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496"/>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інші податки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3789,1</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3945,5</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3491,6</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3526,5 </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p>
        </w:tc>
      </w:tr>
      <w:tr w:rsidR="007F5AAB" w:rsidRPr="007F5AAB" w:rsidTr="00381D1A">
        <w:trPr>
          <w:trHeight w:val="1259"/>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Неподаткові надходження, усього</w:t>
            </w:r>
          </w:p>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 з них:</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112285,9</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92 466,7</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97 910,3</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100 590,8</w:t>
            </w:r>
          </w:p>
          <w:p w:rsidR="007F5AAB" w:rsidRPr="007F5AAB" w:rsidRDefault="007F5AAB" w:rsidP="007F5AAB">
            <w:pPr>
              <w:spacing w:after="0" w:line="240" w:lineRule="auto"/>
              <w:rPr>
                <w:rFonts w:ascii="Times New Roman" w:eastAsia="Times New Roman" w:hAnsi="Times New Roman" w:cs="Times New Roman"/>
                <w:b/>
                <w:sz w:val="24"/>
                <w:szCs w:val="24"/>
                <w:lang w:eastAsia="ru-RU"/>
              </w:rPr>
            </w:pP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Плата  за надання інших  </w:t>
            </w:r>
            <w:proofErr w:type="spellStart"/>
            <w:r w:rsidRPr="007F5AAB">
              <w:rPr>
                <w:rFonts w:ascii="Times New Roman" w:eastAsia="Times New Roman" w:hAnsi="Times New Roman" w:cs="Times New Roman"/>
                <w:sz w:val="24"/>
                <w:szCs w:val="24"/>
                <w:lang w:eastAsia="ru-RU"/>
              </w:rPr>
              <w:t>адмінпослуг</w:t>
            </w:r>
            <w:proofErr w:type="spellEnd"/>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22000,0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15 000,0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15000,0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14000,0</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Власні надходження бюджетних установ*</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54650,9</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55736,6</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58 703,43</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62 362,8</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Плата за оренду комунального майна*</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6200,0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6000,0</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Плата за розміщення тимчасово вільних коштів</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9900,0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5000,0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6000,0</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Кошти пайової участі у розвитку інфраструктури</w:t>
            </w:r>
          </w:p>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населеного пункту</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10300,0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Плата за встановлення земельного сервітуту*</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2000,0</w:t>
            </w:r>
          </w:p>
        </w:tc>
      </w:tr>
      <w:tr w:rsidR="007F5AAB" w:rsidRPr="007F5AAB" w:rsidTr="00381D1A">
        <w:trPr>
          <w:trHeight w:val="558"/>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lastRenderedPageBreak/>
              <w:t>Інші неподаткові надходження</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8 035,0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8730,1</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10 206,9</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10 228,0</w:t>
            </w:r>
          </w:p>
        </w:tc>
      </w:tr>
      <w:tr w:rsidR="007F5AAB" w:rsidRPr="007F5AAB" w:rsidTr="00381D1A">
        <w:trPr>
          <w:trHeight w:val="522"/>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 xml:space="preserve">Інші доходи , з них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18 035,0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19 035,0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18 200,0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18 400,0</w:t>
            </w:r>
          </w:p>
        </w:tc>
      </w:tr>
      <w:tr w:rsidR="007F5AAB" w:rsidRPr="007F5AAB" w:rsidTr="00381D1A">
        <w:trPr>
          <w:trHeight w:val="373"/>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Доходи від продажу  землі*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7500,0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8500,0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7500,0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7500,0</w:t>
            </w:r>
          </w:p>
        </w:tc>
      </w:tr>
      <w:tr w:rsidR="007F5AAB" w:rsidRPr="007F5AAB" w:rsidTr="00381D1A">
        <w:trPr>
          <w:trHeight w:val="481"/>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Доходи від продажу комунального майна*</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3000,0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eastAsia="Times New Roman" w:hAnsi="Times New Roman" w:cs="Times New Roman"/>
                <w:sz w:val="24"/>
                <w:szCs w:val="24"/>
                <w:lang w:eastAsia="ru-RU"/>
              </w:rPr>
              <w:t>3000,0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eastAsia="Times New Roman" w:hAnsi="Times New Roman" w:cs="Times New Roman"/>
                <w:sz w:val="24"/>
                <w:szCs w:val="24"/>
                <w:lang w:eastAsia="ru-RU"/>
              </w:rPr>
              <w:t>3000,0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eastAsia="Times New Roman" w:hAnsi="Times New Roman" w:cs="Times New Roman"/>
                <w:sz w:val="24"/>
                <w:szCs w:val="24"/>
                <w:lang w:eastAsia="ru-RU"/>
              </w:rPr>
              <w:t>3000,0</w:t>
            </w:r>
          </w:p>
        </w:tc>
      </w:tr>
      <w:tr w:rsidR="007F5AAB" w:rsidRPr="007F5AAB" w:rsidTr="00381D1A">
        <w:trPr>
          <w:trHeight w:val="460"/>
        </w:trPr>
        <w:tc>
          <w:tcPr>
            <w:tcW w:w="2226"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Доходи цільового фонду міської громади *</w:t>
            </w:r>
          </w:p>
        </w:tc>
        <w:tc>
          <w:tcPr>
            <w:tcW w:w="69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7535,0</w:t>
            </w:r>
          </w:p>
        </w:tc>
        <w:tc>
          <w:tcPr>
            <w:tcW w:w="700"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7535,0</w:t>
            </w:r>
          </w:p>
        </w:tc>
        <w:tc>
          <w:tcPr>
            <w:tcW w:w="692"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7700,0</w:t>
            </w:r>
          </w:p>
        </w:tc>
        <w:tc>
          <w:tcPr>
            <w:tcW w:w="691" w:type="pct"/>
            <w:tcBorders>
              <w:top w:val="outset" w:sz="4" w:space="0" w:color="000000"/>
              <w:left w:val="outset" w:sz="4" w:space="0" w:color="000000"/>
              <w:bottom w:val="outset" w:sz="4" w:space="0" w:color="000000"/>
              <w:right w:val="outset" w:sz="4" w:space="0" w:color="000000"/>
            </w:tcBorders>
            <w:hideMark/>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7900.0</w:t>
            </w:r>
          </w:p>
        </w:tc>
      </w:tr>
    </w:tbl>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xml:space="preserve">* - </w:t>
      </w:r>
      <w:bookmarkStart w:id="3" w:name="n142"/>
      <w:bookmarkEnd w:id="3"/>
      <w:r w:rsidRPr="007F5AAB">
        <w:rPr>
          <w:rFonts w:ascii="Times New Roman" w:hAnsi="Times New Roman" w:cs="Times New Roman"/>
          <w:b/>
          <w:sz w:val="24"/>
          <w:szCs w:val="24"/>
        </w:rPr>
        <w:t>за даними органів стягнення та головних розпорядників</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дані щодо трансфертів попередні</w:t>
      </w:r>
    </w:p>
    <w:p w:rsidR="007F5AAB" w:rsidRPr="007F5AAB" w:rsidRDefault="007F5AAB" w:rsidP="007F5AAB">
      <w:pPr>
        <w:spacing w:after="0" w:line="240" w:lineRule="auto"/>
        <w:jc w:val="both"/>
        <w:rPr>
          <w:rFonts w:ascii="Times New Roman" w:hAnsi="Times New Roman" w:cs="Times New Roman"/>
          <w:b/>
          <w:bCs/>
          <w:sz w:val="24"/>
          <w:szCs w:val="24"/>
        </w:rPr>
      </w:pPr>
      <w:r w:rsidRPr="007F5AAB">
        <w:rPr>
          <w:rFonts w:ascii="Times New Roman" w:hAnsi="Times New Roman" w:cs="Times New Roman"/>
          <w:b/>
          <w:sz w:val="24"/>
          <w:szCs w:val="24"/>
        </w:rPr>
        <w:t xml:space="preserve">      4</w:t>
      </w:r>
      <w:r w:rsidRPr="007F5AAB">
        <w:rPr>
          <w:rFonts w:ascii="Times New Roman" w:hAnsi="Times New Roman" w:cs="Times New Roman"/>
          <w:b/>
          <w:bCs/>
          <w:sz w:val="24"/>
          <w:szCs w:val="24"/>
        </w:rPr>
        <w:t xml:space="preserve">.Фінансове забезпечення  пріоритетних напрямів розвитку  </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Таблиця 4</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xml:space="preserve"> ВИДАТКИ  ТА НАДАННЯ КРЕДИТІВ</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xml:space="preserve"> загального фонду громади : </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0"/>
        <w:gridCol w:w="2703"/>
        <w:gridCol w:w="1356"/>
        <w:gridCol w:w="1271"/>
        <w:gridCol w:w="1406"/>
        <w:gridCol w:w="1241"/>
      </w:tblGrid>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Код відомчої класифікації</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Найменування  головного розпорядника коштів місцевого  бюджету</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2020 рік</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2021 рік</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2022 рік</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106,2%</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2023 рік</w:t>
            </w:r>
          </w:p>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105,3%</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0100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Міська рада</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90 427,4</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105635,1</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112184,5</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118130,3</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0600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освіти  і науки</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950 237,0</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1182481,1</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1275923,2</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1343547,1</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0700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Відділ охорони </w:t>
            </w:r>
            <w:proofErr w:type="spellStart"/>
            <w:r w:rsidRPr="007F5AAB">
              <w:rPr>
                <w:rFonts w:ascii="Times New Roman" w:eastAsia="Times New Roman" w:hAnsi="Times New Roman" w:cs="Times New Roman"/>
                <w:sz w:val="24"/>
                <w:szCs w:val="24"/>
                <w:lang w:eastAsia="ru-RU"/>
              </w:rPr>
              <w:t>здоров»я</w:t>
            </w:r>
            <w:proofErr w:type="spellEnd"/>
            <w:r w:rsidRPr="007F5AAB">
              <w:rPr>
                <w:rFonts w:ascii="Times New Roman" w:eastAsia="Times New Roman" w:hAnsi="Times New Roman" w:cs="Times New Roman"/>
                <w:sz w:val="24"/>
                <w:szCs w:val="24"/>
                <w:lang w:eastAsia="ru-RU"/>
              </w:rPr>
              <w:t xml:space="preserve">  та медичного забезпечення</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152 123,6</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76410,9</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81148,4</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85449,3</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0800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соціальної політики</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68 963,0</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72684,7</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82182,6</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86538,3</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0900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w:t>
            </w:r>
            <w:proofErr w:type="spellStart"/>
            <w:r w:rsidRPr="007F5AAB">
              <w:rPr>
                <w:rFonts w:ascii="Times New Roman" w:eastAsia="Times New Roman" w:hAnsi="Times New Roman" w:cs="Times New Roman"/>
                <w:sz w:val="24"/>
                <w:szCs w:val="24"/>
                <w:lang w:eastAsia="ru-RU"/>
              </w:rPr>
              <w:t>сім»ї</w:t>
            </w:r>
            <w:proofErr w:type="spellEnd"/>
            <w:r w:rsidRPr="007F5AAB">
              <w:rPr>
                <w:rFonts w:ascii="Times New Roman" w:eastAsia="Times New Roman" w:hAnsi="Times New Roman" w:cs="Times New Roman"/>
                <w:sz w:val="24"/>
                <w:szCs w:val="24"/>
                <w:lang w:eastAsia="ru-RU"/>
              </w:rPr>
              <w:t>, молодіжної політики та захисту дітей</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11 049,2</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sz w:val="24"/>
                <w:szCs w:val="24"/>
                <w:lang w:eastAsia="ru-RU"/>
              </w:rPr>
              <w:t>13223,9</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15206,8</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15317,3</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культури і  мистецтв</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79 100,1</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78808,2</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83694,3</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88130,1</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розвитку спорту  та фізичної  культури</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43 724,1</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60951,6</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66283,2</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69796,2</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w:t>
            </w:r>
            <w:proofErr w:type="spellStart"/>
            <w:r w:rsidRPr="007F5AAB">
              <w:rPr>
                <w:rFonts w:ascii="Times New Roman" w:eastAsia="Times New Roman" w:hAnsi="Times New Roman" w:cs="Times New Roman"/>
                <w:sz w:val="24"/>
                <w:szCs w:val="24"/>
                <w:lang w:eastAsia="ru-RU"/>
              </w:rPr>
              <w:t>житлово-</w:t>
            </w:r>
            <w:proofErr w:type="spellEnd"/>
            <w:r w:rsidRPr="007F5AAB">
              <w:rPr>
                <w:rFonts w:ascii="Times New Roman" w:eastAsia="Times New Roman" w:hAnsi="Times New Roman" w:cs="Times New Roman"/>
                <w:sz w:val="24"/>
                <w:szCs w:val="24"/>
                <w:lang w:eastAsia="ru-RU"/>
              </w:rPr>
              <w:t xml:space="preserve"> комунального господарства, благоустрою та екології</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198 949,3</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201040,0</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215651,0</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227080,5</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1900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транспорту комунікацій та </w:t>
            </w:r>
            <w:proofErr w:type="spellStart"/>
            <w:r w:rsidRPr="007F5AAB">
              <w:rPr>
                <w:rFonts w:ascii="Times New Roman" w:eastAsia="Times New Roman" w:hAnsi="Times New Roman" w:cs="Times New Roman"/>
                <w:sz w:val="24"/>
                <w:szCs w:val="24"/>
                <w:lang w:eastAsia="ru-RU"/>
              </w:rPr>
              <w:t>зв»язку</w:t>
            </w:r>
            <w:proofErr w:type="spellEnd"/>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87 121,1</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111255,6</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123463,4</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130007,0</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3100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обліку  та контролю  за  використанням комунального майна</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3 968,5</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4 617,2</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4903,5</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5163,4</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3500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стратегічного розвитку</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3 001,7</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3 454,0</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3668,1</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3862,5</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3700</w:t>
            </w: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Фінансове управління</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93 002,7</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96126,3</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103741,7</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109240,0</w:t>
            </w: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r>
      <w:tr w:rsidR="007F5AAB" w:rsidRPr="007F5AAB" w:rsidTr="00381D1A">
        <w:tc>
          <w:tcPr>
            <w:tcW w:w="177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2703"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Всього:</w:t>
            </w:r>
          </w:p>
        </w:tc>
        <w:tc>
          <w:tcPr>
            <w:tcW w:w="1356"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1 781 667,7</w:t>
            </w:r>
          </w:p>
        </w:tc>
        <w:tc>
          <w:tcPr>
            <w:tcW w:w="1271"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2006688,6</w:t>
            </w:r>
          </w:p>
        </w:tc>
        <w:tc>
          <w:tcPr>
            <w:tcW w:w="1406"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2166850,7</w:t>
            </w:r>
          </w:p>
        </w:tc>
        <w:tc>
          <w:tcPr>
            <w:tcW w:w="1241"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2281662,0</w:t>
            </w:r>
          </w:p>
        </w:tc>
      </w:tr>
    </w:tbl>
    <w:p w:rsidR="007F5AAB" w:rsidRPr="007F5AAB" w:rsidRDefault="007F5AAB" w:rsidP="007F5AAB">
      <w:pPr>
        <w:spacing w:after="0" w:line="240" w:lineRule="auto"/>
        <w:jc w:val="both"/>
        <w:rPr>
          <w:rFonts w:ascii="Times New Roman" w:hAnsi="Times New Roman" w:cs="Times New Roman"/>
          <w:b/>
          <w:sz w:val="24"/>
          <w:szCs w:val="24"/>
        </w:rPr>
      </w:pP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ВИДАТКИ   ТА НАДАННЯ КРЕДИТІВ</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 xml:space="preserve">спеціального фонду   громади: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5"/>
        <w:gridCol w:w="2757"/>
        <w:gridCol w:w="1275"/>
        <w:gridCol w:w="1274"/>
        <w:gridCol w:w="1416"/>
        <w:gridCol w:w="1240"/>
      </w:tblGrid>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Код відомчої класифікації</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Найменування  головного розпорядника коштів місцевого  бюджету</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2020 рік</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2021 рік</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2022 рік</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2023 рік</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0100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Міська рада</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8 369,7</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5826,6</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6097,5</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6420,7</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0600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освіти  і науки</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115 346,5</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82318,8</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86146,6</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90712,4</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0700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Відділ охорони </w:t>
            </w:r>
            <w:proofErr w:type="spellStart"/>
            <w:r w:rsidRPr="007F5AAB">
              <w:rPr>
                <w:rFonts w:ascii="Times New Roman" w:eastAsia="Times New Roman" w:hAnsi="Times New Roman" w:cs="Times New Roman"/>
                <w:sz w:val="24"/>
                <w:szCs w:val="24"/>
                <w:lang w:eastAsia="ru-RU"/>
              </w:rPr>
              <w:t>здоров»я</w:t>
            </w:r>
            <w:proofErr w:type="spellEnd"/>
            <w:r w:rsidRPr="007F5AAB">
              <w:rPr>
                <w:rFonts w:ascii="Times New Roman" w:eastAsia="Times New Roman" w:hAnsi="Times New Roman" w:cs="Times New Roman"/>
                <w:sz w:val="24"/>
                <w:szCs w:val="24"/>
                <w:lang w:eastAsia="ru-RU"/>
              </w:rPr>
              <w:t xml:space="preserve">  та медичного забезпечення</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47 490,7</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5870,0</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6143,0</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6468,5</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0800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соціальної політики</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2 425,2</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623,0</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661,6</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696,7</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0900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w:t>
            </w:r>
            <w:proofErr w:type="spellStart"/>
            <w:r w:rsidRPr="007F5AAB">
              <w:rPr>
                <w:rFonts w:ascii="Times New Roman" w:eastAsia="Times New Roman" w:hAnsi="Times New Roman" w:cs="Times New Roman"/>
                <w:sz w:val="24"/>
                <w:szCs w:val="24"/>
                <w:lang w:eastAsia="ru-RU"/>
              </w:rPr>
              <w:t>сім»ї</w:t>
            </w:r>
            <w:proofErr w:type="spellEnd"/>
            <w:r w:rsidRPr="007F5AAB">
              <w:rPr>
                <w:rFonts w:ascii="Times New Roman" w:eastAsia="Times New Roman" w:hAnsi="Times New Roman" w:cs="Times New Roman"/>
                <w:sz w:val="24"/>
                <w:szCs w:val="24"/>
                <w:lang w:eastAsia="ru-RU"/>
              </w:rPr>
              <w:t>, молодіжної політики та захисту дітей</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2 973,2</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21,1</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23,0</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25,0</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1000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культури і  мистецтв</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15 177,7</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5435,2</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5687,9</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5989,4</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1100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розвитку спорту  та фізичної  культури</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48 135,2</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24224,3</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25350,7</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26694,3</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1200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w:t>
            </w:r>
            <w:proofErr w:type="spellStart"/>
            <w:r w:rsidRPr="007F5AAB">
              <w:rPr>
                <w:rFonts w:ascii="Times New Roman" w:eastAsia="Times New Roman" w:hAnsi="Times New Roman" w:cs="Times New Roman"/>
                <w:sz w:val="24"/>
                <w:szCs w:val="24"/>
                <w:lang w:eastAsia="ru-RU"/>
              </w:rPr>
              <w:t>житлово-</w:t>
            </w:r>
            <w:proofErr w:type="spellEnd"/>
            <w:r w:rsidRPr="007F5AAB">
              <w:rPr>
                <w:rFonts w:ascii="Times New Roman" w:eastAsia="Times New Roman" w:hAnsi="Times New Roman" w:cs="Times New Roman"/>
                <w:sz w:val="24"/>
                <w:szCs w:val="24"/>
                <w:lang w:eastAsia="ru-RU"/>
              </w:rPr>
              <w:t xml:space="preserve"> комунального господарства, благоустрою та екології</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403 325,9</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477748,7</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498989,0</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525431,5</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1900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Управління  транспорту комунікацій та </w:t>
            </w:r>
            <w:proofErr w:type="spellStart"/>
            <w:r w:rsidRPr="007F5AAB">
              <w:rPr>
                <w:rFonts w:ascii="Times New Roman" w:eastAsia="Times New Roman" w:hAnsi="Times New Roman" w:cs="Times New Roman"/>
                <w:sz w:val="24"/>
                <w:szCs w:val="24"/>
                <w:lang w:eastAsia="ru-RU"/>
              </w:rPr>
              <w:t>зв»язку</w:t>
            </w:r>
            <w:proofErr w:type="spellEnd"/>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64 745,2</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37140,0</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38864,0</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40927,0</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3100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обліку  та контролю  за  використанням комунального майна</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2 160,2 </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480,0</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510,0</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537,0</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3500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Управління  стратегічного розвитку</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2 301,3</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1942,4</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2 062,8</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2 172,1</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3700</w:t>
            </w: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Фінансове управління</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4 236,8</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63322,1</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67248,1</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70812,2</w:t>
            </w: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r>
      <w:tr w:rsidR="007F5AAB" w:rsidRPr="007F5AAB" w:rsidTr="00381D1A">
        <w:tc>
          <w:tcPr>
            <w:tcW w:w="1785"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p>
        </w:tc>
        <w:tc>
          <w:tcPr>
            <w:tcW w:w="2757" w:type="dxa"/>
          </w:tcPr>
          <w:p w:rsidR="007F5AAB" w:rsidRPr="007F5AAB" w:rsidRDefault="007F5AAB" w:rsidP="007F5AAB">
            <w:pPr>
              <w:spacing w:before="100" w:beforeAutospacing="1"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Всього:</w:t>
            </w:r>
          </w:p>
        </w:tc>
        <w:tc>
          <w:tcPr>
            <w:tcW w:w="1275"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716 687,6</w:t>
            </w:r>
          </w:p>
        </w:tc>
        <w:tc>
          <w:tcPr>
            <w:tcW w:w="1274"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704952,2</w:t>
            </w:r>
          </w:p>
        </w:tc>
        <w:tc>
          <w:tcPr>
            <w:tcW w:w="1416"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737784,2</w:t>
            </w:r>
          </w:p>
        </w:tc>
        <w:tc>
          <w:tcPr>
            <w:tcW w:w="1240" w:type="dxa"/>
          </w:tcPr>
          <w:p w:rsidR="007F5AAB" w:rsidRPr="007F5AAB" w:rsidRDefault="007F5AAB" w:rsidP="007F5AAB">
            <w:pPr>
              <w:spacing w:before="100" w:beforeAutospacing="1" w:after="0" w:line="240" w:lineRule="auto"/>
              <w:rPr>
                <w:rFonts w:ascii="Times New Roman" w:eastAsia="Times New Roman" w:hAnsi="Times New Roman" w:cs="Times New Roman"/>
                <w:b/>
                <w:sz w:val="24"/>
                <w:szCs w:val="24"/>
                <w:lang w:eastAsia="ru-RU"/>
              </w:rPr>
            </w:pPr>
            <w:r w:rsidRPr="007F5AAB">
              <w:rPr>
                <w:rFonts w:ascii="Times New Roman" w:eastAsia="Times New Roman" w:hAnsi="Times New Roman" w:cs="Times New Roman"/>
                <w:b/>
                <w:sz w:val="24"/>
                <w:szCs w:val="24"/>
                <w:lang w:eastAsia="ru-RU"/>
              </w:rPr>
              <w:t>776886,8</w:t>
            </w:r>
          </w:p>
        </w:tc>
      </w:tr>
    </w:tbl>
    <w:p w:rsidR="007F5AAB" w:rsidRPr="007F5AAB" w:rsidRDefault="007F5AAB" w:rsidP="007F5AAB">
      <w:pPr>
        <w:pStyle w:val="a5"/>
        <w:ind w:firstLine="709"/>
        <w:jc w:val="both"/>
      </w:pPr>
      <w:r w:rsidRPr="007F5AAB">
        <w:t xml:space="preserve"> Прим. Різниця між доходами та видатками з кредитуванням – це кошти запозичення ( за мінусом повернення), у 2022 році – 266714,4 </w:t>
      </w:r>
      <w:proofErr w:type="spellStart"/>
      <w:r w:rsidRPr="007F5AAB">
        <w:t>тис.грн</w:t>
      </w:r>
      <w:proofErr w:type="spellEnd"/>
      <w:r w:rsidRPr="007F5AAB">
        <w:t xml:space="preserve"> , у 2023 році – 280818,5 </w:t>
      </w:r>
      <w:proofErr w:type="spellStart"/>
      <w:r w:rsidRPr="007F5AAB">
        <w:t>тис.грн</w:t>
      </w:r>
      <w:proofErr w:type="spellEnd"/>
      <w:r w:rsidRPr="007F5AAB">
        <w:t>.</w:t>
      </w:r>
    </w:p>
    <w:p w:rsidR="007F5AAB" w:rsidRPr="007F5AAB" w:rsidRDefault="007F5AAB" w:rsidP="007F5AAB">
      <w:pPr>
        <w:pStyle w:val="a5"/>
        <w:ind w:firstLine="709"/>
        <w:jc w:val="both"/>
      </w:pPr>
      <w:r w:rsidRPr="007F5AAB">
        <w:t>Ключовим завданням бюджетної політики залишатиметься забезпечення макроекономічної стабільності, стійкості та збалансованості бюджетної системи.</w:t>
      </w:r>
    </w:p>
    <w:p w:rsidR="007F5AAB" w:rsidRPr="007F5AAB" w:rsidRDefault="007F5AAB" w:rsidP="007F5AAB">
      <w:pPr>
        <w:pStyle w:val="a5"/>
        <w:spacing w:before="0"/>
        <w:ind w:firstLine="709"/>
        <w:jc w:val="both"/>
      </w:pPr>
      <w:r w:rsidRPr="007F5AAB">
        <w:t>Фінансування бюджетних видатків на період до 2023 року здійснюватиметься в рамках наявних  надходжень  до   бюджету. В цих умовах визначальним стане підвищення ефективності</w:t>
      </w:r>
      <w:r w:rsidRPr="007F5AAB">
        <w:rPr>
          <w:lang w:val="ru-RU"/>
        </w:rPr>
        <w:t xml:space="preserve"> </w:t>
      </w:r>
      <w:r w:rsidRPr="007F5AAB">
        <w:t xml:space="preserve">та результативності видатків, що відбуватиметься на основі їх пріоритетності та оцінки ступеня досягнення очікуваних результатів. </w:t>
      </w:r>
    </w:p>
    <w:p w:rsidR="007F5AAB" w:rsidRPr="007F5AAB" w:rsidRDefault="007F5AAB" w:rsidP="007F5AAB">
      <w:pPr>
        <w:pStyle w:val="a5"/>
        <w:ind w:firstLine="0"/>
        <w:jc w:val="center"/>
        <w:rPr>
          <w:b/>
          <w:bCs/>
          <w:iCs/>
        </w:rPr>
      </w:pPr>
      <w:r w:rsidRPr="007F5AAB">
        <w:rPr>
          <w:b/>
          <w:bCs/>
          <w:iCs/>
        </w:rPr>
        <w:t>Органи  місцевого  самоврядування</w:t>
      </w:r>
    </w:p>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sz w:val="24"/>
          <w:szCs w:val="24"/>
        </w:rPr>
        <w:tab/>
        <w:t>Пріоритетним завданням   буде  забезпечення  належного  виконання  органами  місцевого  самоврядування   покладених  на  них  повноважень.</w:t>
      </w:r>
      <w:r w:rsidRPr="007F5AAB">
        <w:rPr>
          <w:rFonts w:ascii="Times New Roman" w:hAnsi="Times New Roman" w:cs="Times New Roman"/>
          <w:b/>
          <w:sz w:val="24"/>
          <w:szCs w:val="24"/>
        </w:rPr>
        <w:t xml:space="preserve"> </w:t>
      </w:r>
    </w:p>
    <w:p w:rsidR="007F5AAB" w:rsidRPr="007F5AAB" w:rsidRDefault="007F5AAB" w:rsidP="007F5AAB">
      <w:pPr>
        <w:pStyle w:val="a5"/>
        <w:ind w:firstLine="0"/>
        <w:jc w:val="center"/>
        <w:rPr>
          <w:b/>
          <w:iCs/>
        </w:rPr>
      </w:pPr>
      <w:r w:rsidRPr="007F5AAB">
        <w:rPr>
          <w:b/>
          <w:bCs/>
          <w:iCs/>
        </w:rPr>
        <w:lastRenderedPageBreak/>
        <w:t>Освіта</w:t>
      </w:r>
    </w:p>
    <w:p w:rsidR="007F5AAB" w:rsidRPr="007F5AAB" w:rsidRDefault="007F5AAB" w:rsidP="007F5AAB">
      <w:pPr>
        <w:pStyle w:val="a5"/>
        <w:ind w:firstLine="709"/>
        <w:jc w:val="both"/>
      </w:pPr>
      <w:r w:rsidRPr="007F5AAB">
        <w:t xml:space="preserve">Головним завданням галузі буде  розбудова  нового  освітнього  середовища ,  що  відповідатиме  вимогам  сьогодення, задоволення   потреб учасників освітнього  процесу, забезпечення доступності високоякісної  загальної  середньої освіти для всіх громадян   громади   та  належного  функціонування  загальноосвітніх,  позашкільних та  дошкільних  навчальних  закладів, забезпечення закладів загальної  середньої освіти сучасним  навчальним  обладнанням,  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 створення  сприятливих  умов  для  навчання   дітей з  особливими  освітніми  потребами, отримання  освіти  дітьми,  що  перебувають  на  довготривалому  лікуванні в  закладах  охорони  </w:t>
      </w:r>
      <w:proofErr w:type="spellStart"/>
      <w:r w:rsidRPr="007F5AAB">
        <w:t>здоров»я</w:t>
      </w:r>
      <w:proofErr w:type="spellEnd"/>
      <w:r w:rsidRPr="007F5AAB">
        <w:t xml:space="preserve">,  забезпечення  належного  теплового  режиму,  зменшення  показників споживання  енергоносіїв, в  тому  числі  природного газу. </w:t>
      </w:r>
    </w:p>
    <w:p w:rsidR="007F5AAB" w:rsidRPr="007F5AAB" w:rsidRDefault="007F5AAB" w:rsidP="007F5AAB">
      <w:pPr>
        <w:pStyle w:val="a5"/>
        <w:ind w:firstLine="709"/>
        <w:jc w:val="both"/>
      </w:pPr>
      <w:r w:rsidRPr="007F5AAB">
        <w:t xml:space="preserve">Основними напрямами політики протягом 2022-2023 років є: </w:t>
      </w:r>
    </w:p>
    <w:p w:rsidR="007F5AAB" w:rsidRPr="007F5AAB" w:rsidRDefault="007F5AAB" w:rsidP="007F5AAB">
      <w:pPr>
        <w:pStyle w:val="a5"/>
        <w:ind w:firstLine="709"/>
        <w:jc w:val="both"/>
      </w:pPr>
      <w:r w:rsidRPr="007F5AAB">
        <w:t>-  підвищення  якості  надання  освітніх послуг;</w:t>
      </w:r>
    </w:p>
    <w:p w:rsidR="007F5AAB" w:rsidRPr="007F5AAB" w:rsidRDefault="007F5AAB" w:rsidP="007F5AAB">
      <w:pPr>
        <w:pStyle w:val="a5"/>
        <w:ind w:firstLine="709"/>
        <w:jc w:val="both"/>
      </w:pPr>
      <w:r w:rsidRPr="007F5AAB">
        <w:rPr>
          <w:color w:val="000000"/>
        </w:rPr>
        <w:t>-  з</w:t>
      </w:r>
      <w:r w:rsidRPr="007F5AAB">
        <w:t xml:space="preserve">дійснення національної системи оцінювання якості освіти; </w:t>
      </w:r>
    </w:p>
    <w:p w:rsidR="007F5AAB" w:rsidRPr="007F5AAB" w:rsidRDefault="007F5AAB" w:rsidP="007F5AAB">
      <w:pPr>
        <w:pStyle w:val="a5"/>
        <w:ind w:firstLine="709"/>
        <w:jc w:val="both"/>
        <w:rPr>
          <w:color w:val="000000"/>
        </w:rPr>
      </w:pPr>
      <w:r w:rsidRPr="007F5AAB">
        <w:t>- оптимізація мережі навчальних закладів з урахуванням демографічних і економічних реалій</w:t>
      </w:r>
      <w:r w:rsidRPr="007F5AAB">
        <w:rPr>
          <w:color w:val="000000"/>
        </w:rPr>
        <w:t xml:space="preserve">; </w:t>
      </w:r>
    </w:p>
    <w:p w:rsidR="007F5AAB" w:rsidRPr="007F5AAB" w:rsidRDefault="007F5AAB" w:rsidP="007F5AAB">
      <w:pPr>
        <w:pStyle w:val="a5"/>
        <w:ind w:firstLine="709"/>
        <w:jc w:val="both"/>
        <w:rPr>
          <w:color w:val="000000"/>
        </w:rPr>
      </w:pPr>
      <w:r w:rsidRPr="007F5AAB">
        <w:t>-   зміна підходів до формування замовлення на підготовку фахівців на основі впровадження прогнозу потреб економіки регіону</w:t>
      </w:r>
      <w:r w:rsidRPr="007F5AAB">
        <w:rPr>
          <w:color w:val="000000"/>
        </w:rPr>
        <w:t xml:space="preserve">; </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розвиток і підтримка системи роботи з обдарованою і талановитою молоддю, різнобічний розвиток індивідуальності дитини, її задатків і здібностей;</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створення належних умов для здобуття високоякісної освіти дітьми-сиротами, дітьми, позбавленими батьківського піклування, та дітьми, які потребують корекції фізичного та (або) розумового розвитку, соціальної адаптації;  надання навчальним закладам більшої економічної самостійності, розширення переліку платних освітніх послуг з метою раціонального поєднання та ефективного використання бюджетних ресурсів;</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удосконалення системи позашкільної освіти та створення умов для діяльності позашкільних навчальних закладів;</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підвищення професійної компетентності робітничого потенціалу;</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підтримка та  створення належних  умов  для Нової української школи;</w:t>
      </w:r>
    </w:p>
    <w:p w:rsidR="007F5AAB" w:rsidRPr="007F5AAB" w:rsidRDefault="007F5AAB" w:rsidP="007F5AAB">
      <w:pPr>
        <w:spacing w:before="120" w:after="0" w:line="240" w:lineRule="auto"/>
        <w:ind w:firstLine="709"/>
        <w:jc w:val="both"/>
        <w:rPr>
          <w:rFonts w:ascii="Times New Roman" w:hAnsi="Times New Roman" w:cs="Times New Roman"/>
          <w:b/>
          <w:i/>
          <w:sz w:val="24"/>
          <w:szCs w:val="24"/>
        </w:rPr>
      </w:pPr>
      <w:r w:rsidRPr="007F5AAB">
        <w:rPr>
          <w:rFonts w:ascii="Times New Roman" w:hAnsi="Times New Roman" w:cs="Times New Roman"/>
          <w:sz w:val="24"/>
          <w:szCs w:val="24"/>
        </w:rPr>
        <w:t>- удосконалення  науково – методичного забезпечення процесу підвищення кваліфікації  вчителів.</w:t>
      </w:r>
    </w:p>
    <w:p w:rsidR="007F5AAB" w:rsidRPr="007F5AAB" w:rsidRDefault="007F5AAB" w:rsidP="007F5AAB">
      <w:pPr>
        <w:pStyle w:val="a5"/>
        <w:ind w:firstLine="709"/>
        <w:jc w:val="center"/>
        <w:rPr>
          <w:b/>
          <w:iCs/>
        </w:rPr>
      </w:pPr>
      <w:r w:rsidRPr="007F5AAB">
        <w:rPr>
          <w:b/>
          <w:bCs/>
          <w:iCs/>
        </w:rPr>
        <w:t>Охорона здоров’я</w:t>
      </w:r>
    </w:p>
    <w:p w:rsidR="007F5AAB" w:rsidRPr="007F5AAB" w:rsidRDefault="007F5AAB" w:rsidP="007F5AAB">
      <w:pPr>
        <w:pStyle w:val="a5"/>
        <w:ind w:firstLine="709"/>
        <w:jc w:val="both"/>
      </w:pPr>
      <w:r w:rsidRPr="007F5AAB">
        <w:t xml:space="preserve"> Пріоритетами  розвитку охорони  </w:t>
      </w:r>
      <w:proofErr w:type="spellStart"/>
      <w:r w:rsidRPr="007F5AAB">
        <w:t>здоров»я</w:t>
      </w:r>
      <w:proofErr w:type="spellEnd"/>
      <w:r w:rsidRPr="007F5AAB">
        <w:t xml:space="preserve">  на  території  громади буде реформування   медичної галузі  з  метою  забезпечення   універсального  доступу  громадян до  гарантованого  пакету  необхідних  медичних  послуг  та  лікарських  засобів, забезпечення населення високоякісними і доступними медичними послугами, створення сприятливих умов життєдіяльності людини, впровадження  нових  підходів до  організації  роботи  закладів  охорони  </w:t>
      </w:r>
      <w:proofErr w:type="spellStart"/>
      <w:r w:rsidRPr="007F5AAB">
        <w:t>здоров»я</w:t>
      </w:r>
      <w:proofErr w:type="spellEnd"/>
      <w:r w:rsidRPr="007F5AAB">
        <w:t xml:space="preserve">  та  їх  фінансового  забезпечення, запобігання та зниження рівня захворюваності.</w:t>
      </w:r>
    </w:p>
    <w:p w:rsidR="007F5AAB" w:rsidRPr="007F5AAB" w:rsidRDefault="007F5AAB" w:rsidP="007F5AAB">
      <w:pPr>
        <w:pStyle w:val="a5"/>
        <w:ind w:firstLine="709"/>
        <w:jc w:val="both"/>
      </w:pPr>
      <w:r w:rsidRPr="007F5AAB">
        <w:t>До кінця 2023 року передбачається виконати такі завдання:</w:t>
      </w:r>
    </w:p>
    <w:p w:rsidR="007F5AAB" w:rsidRPr="007F5AAB" w:rsidRDefault="007F5AAB" w:rsidP="007F5AAB">
      <w:pPr>
        <w:pStyle w:val="a5"/>
        <w:ind w:firstLine="709"/>
        <w:jc w:val="both"/>
      </w:pPr>
      <w:r w:rsidRPr="007F5AAB">
        <w:rPr>
          <w:color w:val="000000"/>
        </w:rPr>
        <w:t xml:space="preserve">– </w:t>
      </w:r>
      <w:r w:rsidRPr="007F5AAB">
        <w:t xml:space="preserve">надання  першочергових  медичних  послуг для  реагування на  епідемії,  зокрема епідемії </w:t>
      </w:r>
      <w:proofErr w:type="spellStart"/>
      <w:r w:rsidRPr="007F5AAB">
        <w:t>коронавірусної</w:t>
      </w:r>
      <w:proofErr w:type="spellEnd"/>
      <w:r w:rsidRPr="007F5AAB">
        <w:t xml:space="preserve">  хвороби  </w:t>
      </w:r>
      <w:r w:rsidRPr="007F5AAB">
        <w:rPr>
          <w:lang w:val="en-US"/>
        </w:rPr>
        <w:t>COVID</w:t>
      </w:r>
      <w:r w:rsidRPr="007F5AAB">
        <w:t>- 19;</w:t>
      </w:r>
    </w:p>
    <w:p w:rsidR="007F5AAB" w:rsidRPr="007F5AAB" w:rsidRDefault="007F5AAB" w:rsidP="007F5AAB">
      <w:pPr>
        <w:pStyle w:val="a5"/>
        <w:ind w:firstLine="709"/>
        <w:jc w:val="both"/>
      </w:pPr>
      <w:r w:rsidRPr="007F5AAB">
        <w:rPr>
          <w:color w:val="000000"/>
        </w:rPr>
        <w:lastRenderedPageBreak/>
        <w:t xml:space="preserve">– </w:t>
      </w:r>
      <w:r w:rsidRPr="007F5AAB">
        <w:t xml:space="preserve">надання  медичних  послуг  та  лікарських  засобів, в  першу чергу, </w:t>
      </w:r>
      <w:proofErr w:type="spellStart"/>
      <w:r w:rsidRPr="007F5AAB">
        <w:t>пов»язаних</w:t>
      </w:r>
      <w:proofErr w:type="spellEnd"/>
      <w:r w:rsidRPr="007F5AAB">
        <w:t xml:space="preserve"> з  бронхіальною астмою, </w:t>
      </w:r>
      <w:proofErr w:type="spellStart"/>
      <w:r w:rsidRPr="007F5AAB">
        <w:t>серцево</w:t>
      </w:r>
      <w:proofErr w:type="spellEnd"/>
      <w:r w:rsidRPr="007F5AAB">
        <w:t xml:space="preserve"> – судинними захворюваннями, гострим інфарктом міокарда, цукровим  діабет та інші  захворювання;</w:t>
      </w:r>
    </w:p>
    <w:p w:rsidR="007F5AAB" w:rsidRPr="007F5AAB" w:rsidRDefault="007F5AAB" w:rsidP="007F5AAB">
      <w:pPr>
        <w:pStyle w:val="a5"/>
        <w:ind w:firstLine="709"/>
        <w:jc w:val="both"/>
      </w:pPr>
      <w:r w:rsidRPr="007F5AAB">
        <w:rPr>
          <w:color w:val="000000"/>
        </w:rPr>
        <w:t xml:space="preserve">– </w:t>
      </w:r>
      <w:r w:rsidRPr="007F5AAB">
        <w:t>створення умов для переходу в перспективі до загальнообов’язкового державного соціального медичного страхування;</w:t>
      </w:r>
    </w:p>
    <w:p w:rsidR="007F5AAB" w:rsidRPr="007F5AAB" w:rsidRDefault="007F5AAB" w:rsidP="007F5AAB">
      <w:pPr>
        <w:pStyle w:val="a5"/>
        <w:ind w:firstLine="709"/>
        <w:jc w:val="both"/>
      </w:pPr>
      <w:proofErr w:type="spellStart"/>
      <w:r w:rsidRPr="007F5AAB">
        <w:rPr>
          <w:color w:val="000000"/>
        </w:rPr>
        <w:t>–</w:t>
      </w:r>
      <w:r w:rsidRPr="007F5AAB">
        <w:t>оптимізація</w:t>
      </w:r>
      <w:proofErr w:type="spellEnd"/>
      <w:r w:rsidRPr="007F5AAB">
        <w:rPr>
          <w:bCs/>
        </w:rPr>
        <w:t xml:space="preserve"> та реорганізація </w:t>
      </w:r>
      <w:r w:rsidRPr="007F5AAB">
        <w:t>мережі закладів охорони здоров’я;</w:t>
      </w:r>
    </w:p>
    <w:p w:rsidR="007F5AAB" w:rsidRPr="007F5AAB" w:rsidRDefault="007F5AAB" w:rsidP="007F5AAB">
      <w:pPr>
        <w:pStyle w:val="a5"/>
        <w:ind w:left="720" w:firstLine="0"/>
        <w:jc w:val="both"/>
      </w:pPr>
      <w:proofErr w:type="spellStart"/>
      <w:r w:rsidRPr="007F5AAB">
        <w:rPr>
          <w:color w:val="000000"/>
        </w:rPr>
        <w:t>–</w:t>
      </w:r>
      <w:r w:rsidRPr="007F5AAB">
        <w:t>перехід</w:t>
      </w:r>
      <w:proofErr w:type="spellEnd"/>
      <w:r w:rsidRPr="007F5AAB">
        <w:t xml:space="preserve"> лікувальних  закладів   на  фінансування  НСЗУ;</w:t>
      </w:r>
    </w:p>
    <w:p w:rsidR="007F5AAB" w:rsidRPr="007F5AAB" w:rsidRDefault="007F5AAB" w:rsidP="007F5AAB">
      <w:pPr>
        <w:pStyle w:val="a5"/>
        <w:ind w:firstLine="709"/>
        <w:jc w:val="both"/>
        <w:rPr>
          <w:color w:val="000000"/>
        </w:rPr>
      </w:pPr>
      <w:proofErr w:type="spellStart"/>
      <w:r w:rsidRPr="007F5AAB">
        <w:rPr>
          <w:color w:val="000000"/>
        </w:rPr>
        <w:t>–підвищення</w:t>
      </w:r>
      <w:proofErr w:type="spellEnd"/>
      <w:r w:rsidRPr="007F5AAB">
        <w:rPr>
          <w:color w:val="000000"/>
        </w:rPr>
        <w:t xml:space="preserve"> доступності та якості надання медичних послуг;</w:t>
      </w:r>
    </w:p>
    <w:p w:rsidR="007F5AAB" w:rsidRPr="007F5AAB" w:rsidRDefault="007F5AAB" w:rsidP="007F5AAB">
      <w:pPr>
        <w:pStyle w:val="a5"/>
        <w:numPr>
          <w:ilvl w:val="0"/>
          <w:numId w:val="5"/>
        </w:numPr>
        <w:tabs>
          <w:tab w:val="clear" w:pos="927"/>
          <w:tab w:val="num" w:pos="851"/>
        </w:tabs>
        <w:ind w:left="0" w:firstLine="709"/>
        <w:jc w:val="both"/>
        <w:rPr>
          <w:color w:val="000000"/>
        </w:rPr>
      </w:pPr>
      <w:r w:rsidRPr="007F5AAB">
        <w:rPr>
          <w:color w:val="000000"/>
        </w:rPr>
        <w:t>удосконалення системи пільгового забезпечення населення медичними послугами;</w:t>
      </w:r>
    </w:p>
    <w:p w:rsidR="007F5AAB" w:rsidRPr="007F5AAB" w:rsidRDefault="007F5AAB" w:rsidP="007F5AAB">
      <w:pPr>
        <w:pStyle w:val="a5"/>
        <w:numPr>
          <w:ilvl w:val="0"/>
          <w:numId w:val="5"/>
        </w:numPr>
        <w:tabs>
          <w:tab w:val="clear" w:pos="927"/>
          <w:tab w:val="num" w:pos="851"/>
        </w:tabs>
        <w:ind w:left="0" w:firstLine="709"/>
        <w:jc w:val="both"/>
        <w:rPr>
          <w:color w:val="000000"/>
        </w:rPr>
      </w:pPr>
      <w:r w:rsidRPr="007F5AAB">
        <w:rPr>
          <w:color w:val="000000"/>
        </w:rPr>
        <w:t>забезпечення епідемічного благополуччя населення шляхом зниження рівня захворюваності на керовані інфекції шляхом широкого застосування імунопрофілактики;</w:t>
      </w:r>
    </w:p>
    <w:p w:rsidR="007F5AAB" w:rsidRPr="007F5AAB" w:rsidRDefault="007F5AAB" w:rsidP="007F5AAB">
      <w:pPr>
        <w:pStyle w:val="a5"/>
        <w:numPr>
          <w:ilvl w:val="0"/>
          <w:numId w:val="5"/>
        </w:numPr>
        <w:tabs>
          <w:tab w:val="clear" w:pos="927"/>
          <w:tab w:val="num" w:pos="851"/>
        </w:tabs>
        <w:ind w:left="0" w:firstLine="709"/>
        <w:jc w:val="both"/>
        <w:rPr>
          <w:color w:val="000000"/>
        </w:rPr>
      </w:pPr>
      <w:r w:rsidRPr="007F5AAB">
        <w:rPr>
          <w:color w:val="000000"/>
        </w:rPr>
        <w:t xml:space="preserve">удосконалення процесу управління на основі подальшого розвитку інформаційного середовища системи охорони здоров’я. </w:t>
      </w:r>
    </w:p>
    <w:p w:rsidR="007F5AAB" w:rsidRPr="007F5AAB" w:rsidRDefault="007F5AAB" w:rsidP="007F5AAB">
      <w:pPr>
        <w:pStyle w:val="a5"/>
        <w:ind w:firstLine="0"/>
        <w:jc w:val="center"/>
        <w:rPr>
          <w:b/>
          <w:iCs/>
          <w:color w:val="000000"/>
        </w:rPr>
      </w:pPr>
      <w:r w:rsidRPr="007F5AAB">
        <w:rPr>
          <w:b/>
          <w:iCs/>
          <w:color w:val="000000"/>
        </w:rPr>
        <w:t>Соціальний захист та соціальне забезпечення</w:t>
      </w:r>
    </w:p>
    <w:p w:rsidR="007F5AAB" w:rsidRPr="007F5AAB" w:rsidRDefault="007F5AAB" w:rsidP="007F5AAB">
      <w:pPr>
        <w:pStyle w:val="a5"/>
        <w:spacing w:before="40"/>
        <w:ind w:firstLine="720"/>
        <w:jc w:val="both"/>
        <w:rPr>
          <w:color w:val="000000"/>
          <w:lang w:eastAsia="uk-UA"/>
        </w:rPr>
      </w:pPr>
      <w:r w:rsidRPr="007F5AAB">
        <w:rPr>
          <w:color w:val="000000"/>
          <w:lang w:eastAsia="uk-UA"/>
        </w:rPr>
        <w:t xml:space="preserve"> Визначальними напрямками у галузі є забезпечення адресного характеру надання соціальної підтримки, підвищення рівня охоплення соціальною підтримкою незаможних верств населення при раціональному використанні бюджетних коштів, подальше реформування сфери надання соціальних послуг та соціального захисту.</w:t>
      </w:r>
    </w:p>
    <w:p w:rsidR="007F5AAB" w:rsidRPr="007F5AAB" w:rsidRDefault="007F5AAB" w:rsidP="007F5AAB">
      <w:pPr>
        <w:pStyle w:val="a5"/>
        <w:spacing w:before="40"/>
        <w:ind w:firstLine="720"/>
        <w:jc w:val="both"/>
      </w:pPr>
      <w:r w:rsidRPr="007F5AAB">
        <w:rPr>
          <w:lang w:eastAsia="uk-UA"/>
        </w:rPr>
        <w:t xml:space="preserve"> У 2022 та 2023 роках </w:t>
      </w:r>
      <w:r w:rsidRPr="007F5AAB">
        <w:t>передбачається здійснити такі заходи:</w:t>
      </w:r>
    </w:p>
    <w:p w:rsidR="007F5AAB" w:rsidRPr="007F5AAB" w:rsidRDefault="007F5AAB" w:rsidP="007F5AAB">
      <w:pPr>
        <w:pStyle w:val="tjbmf"/>
        <w:shd w:val="clear" w:color="auto" w:fill="FFFFFF"/>
        <w:spacing w:before="0" w:beforeAutospacing="0" w:after="0" w:afterAutospacing="0"/>
        <w:jc w:val="both"/>
        <w:rPr>
          <w:color w:val="000000"/>
        </w:rPr>
      </w:pPr>
      <w:r w:rsidRPr="007F5AAB">
        <w:rPr>
          <w:color w:val="000000"/>
        </w:rPr>
        <w:t xml:space="preserve">         - встановлення розміру прожиткового мінімуму та соціальних гарантій, які визначаються на його основі, з урахуванням зростання показників реального сектору економіки та індексу споживчих цін;</w:t>
      </w:r>
    </w:p>
    <w:p w:rsidR="007F5AAB" w:rsidRPr="007F5AAB" w:rsidRDefault="007F5AAB" w:rsidP="007F5AAB">
      <w:pPr>
        <w:pStyle w:val="a5"/>
        <w:spacing w:before="40"/>
        <w:ind w:firstLine="720"/>
        <w:jc w:val="both"/>
      </w:pPr>
      <w:r w:rsidRPr="007F5AAB">
        <w:t>- підвищення рівня соціального захисту малозабезпечених верств населення;</w:t>
      </w:r>
    </w:p>
    <w:p w:rsidR="007F5AAB" w:rsidRPr="007F5AAB" w:rsidRDefault="007F5AAB" w:rsidP="007F5AAB">
      <w:pPr>
        <w:pStyle w:val="a5"/>
        <w:spacing w:before="40"/>
        <w:ind w:firstLine="720"/>
        <w:jc w:val="both"/>
      </w:pPr>
      <w:r w:rsidRPr="007F5AAB">
        <w:t>- підвищити ефективність соціальної роботи з сім’ями  та  молоддю;</w:t>
      </w:r>
    </w:p>
    <w:p w:rsidR="007F5AAB" w:rsidRPr="007F5AAB" w:rsidRDefault="007F5AAB" w:rsidP="007F5AAB">
      <w:pPr>
        <w:pStyle w:val="a5"/>
        <w:ind w:firstLine="709"/>
        <w:jc w:val="both"/>
      </w:pPr>
      <w:r w:rsidRPr="007F5AAB">
        <w:t xml:space="preserve">- забезпечити </w:t>
      </w:r>
      <w:proofErr w:type="spellStart"/>
      <w:r w:rsidRPr="007F5AAB">
        <w:t>приорітетність</w:t>
      </w:r>
      <w:proofErr w:type="spellEnd"/>
      <w:r w:rsidRPr="007F5AAB">
        <w:t xml:space="preserve"> права дитини на сімейне виховання, розвиток сімейних форм виховання дітей-сиріт та дітей, позбавлених батьківського піклування;</w:t>
      </w:r>
    </w:p>
    <w:p w:rsidR="007F5AAB" w:rsidRPr="007F5AAB" w:rsidRDefault="007F5AAB" w:rsidP="007F5AAB">
      <w:pPr>
        <w:spacing w:before="120" w:after="0" w:line="240" w:lineRule="auto"/>
        <w:ind w:firstLine="720"/>
        <w:jc w:val="both"/>
        <w:rPr>
          <w:rFonts w:ascii="Times New Roman" w:hAnsi="Times New Roman" w:cs="Times New Roman"/>
          <w:sz w:val="24"/>
          <w:szCs w:val="24"/>
        </w:rPr>
      </w:pPr>
      <w:r w:rsidRPr="007F5AAB">
        <w:rPr>
          <w:rFonts w:ascii="Times New Roman" w:hAnsi="Times New Roman" w:cs="Times New Roman"/>
          <w:sz w:val="24"/>
          <w:szCs w:val="24"/>
        </w:rPr>
        <w:t>– реалізація заходів, спрямованих на військово-патріотичне виховання молоді та дітей.</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Основними результатами,  планується досягти :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підтримка найуразливіших верств населення  громади, удосконалення системи соціальних послуг, підвищення їх якості та ефективності;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покращення соціального діалогу між громадськими організаціями міста та владою;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адаптація, реабілітація та інтеграція у суспільство інвалідів та дітей-інвалідів.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Сьогодні на галузь соціального захисту покладена особлива відповідальність – забезпечити соціальний захист тим, хто змушений був залишити свої домівки, надати необхідну підтримку захисникам, які боронять рідну землю, опікуватися сім’ями героїв, які віддали життя  за Україну.</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Управлінням буде продовжуватися робота для забезпечення стабільної діяльності та розвитку галузі, вдосконалення механізмів надання всіх видів соціальної допомоги </w:t>
      </w:r>
      <w:proofErr w:type="spellStart"/>
      <w:r w:rsidRPr="007F5AAB">
        <w:rPr>
          <w:rFonts w:ascii="Times New Roman" w:hAnsi="Times New Roman" w:cs="Times New Roman"/>
          <w:sz w:val="24"/>
          <w:szCs w:val="24"/>
        </w:rPr>
        <w:t>малозахищеним</w:t>
      </w:r>
      <w:proofErr w:type="spellEnd"/>
      <w:r w:rsidRPr="007F5AAB">
        <w:rPr>
          <w:rFonts w:ascii="Times New Roman" w:hAnsi="Times New Roman" w:cs="Times New Roman"/>
          <w:sz w:val="24"/>
          <w:szCs w:val="24"/>
        </w:rPr>
        <w:t xml:space="preserve"> верствам населення, в т. ч. житлових субсидій, дотримання законодавства про працю, надання соціальних послуг підпорядкованими установами.</w:t>
      </w:r>
    </w:p>
    <w:p w:rsidR="007F5AAB" w:rsidRPr="007F5AAB" w:rsidRDefault="007F5AAB" w:rsidP="007F5AAB">
      <w:pPr>
        <w:spacing w:after="0" w:line="240" w:lineRule="auto"/>
        <w:ind w:firstLine="708"/>
        <w:jc w:val="both"/>
        <w:rPr>
          <w:rFonts w:ascii="Times New Roman" w:hAnsi="Times New Roman" w:cs="Times New Roman"/>
          <w:sz w:val="24"/>
          <w:szCs w:val="24"/>
        </w:rPr>
      </w:pPr>
    </w:p>
    <w:p w:rsidR="007F5AAB" w:rsidRPr="007F5AAB" w:rsidRDefault="007F5AAB" w:rsidP="007F5AAB">
      <w:pPr>
        <w:spacing w:after="0" w:line="240" w:lineRule="auto"/>
        <w:ind w:firstLine="708"/>
        <w:jc w:val="both"/>
        <w:rPr>
          <w:rFonts w:ascii="Times New Roman" w:hAnsi="Times New Roman" w:cs="Times New Roman"/>
          <w:b/>
          <w:iCs/>
          <w:color w:val="FF00FF"/>
          <w:sz w:val="24"/>
          <w:szCs w:val="24"/>
        </w:rPr>
      </w:pPr>
      <w:r w:rsidRPr="007F5AAB">
        <w:rPr>
          <w:rFonts w:ascii="Times New Roman" w:hAnsi="Times New Roman" w:cs="Times New Roman"/>
          <w:sz w:val="24"/>
          <w:szCs w:val="24"/>
        </w:rPr>
        <w:t xml:space="preserve">                               </w:t>
      </w:r>
      <w:r w:rsidRPr="007F5AAB">
        <w:rPr>
          <w:rFonts w:ascii="Times New Roman" w:hAnsi="Times New Roman" w:cs="Times New Roman"/>
          <w:b/>
          <w:sz w:val="24"/>
          <w:szCs w:val="24"/>
        </w:rPr>
        <w:t xml:space="preserve">Культура та мистецтво </w:t>
      </w:r>
    </w:p>
    <w:p w:rsidR="007F5AAB" w:rsidRPr="007F5AAB" w:rsidRDefault="007F5AAB" w:rsidP="007F5AAB">
      <w:pPr>
        <w:pStyle w:val="a5"/>
        <w:ind w:firstLine="709"/>
        <w:jc w:val="both"/>
      </w:pPr>
      <w:r w:rsidRPr="007F5AAB">
        <w:lastRenderedPageBreak/>
        <w:t>Головними пріоритетами галузі будуть збереження, відтворення та примноження духовних і культурних здобутків українського народу,  популяризація  народної  творчості  та  проведення  культурно – мистецьких  заходів.</w:t>
      </w:r>
    </w:p>
    <w:p w:rsidR="007F5AAB" w:rsidRPr="007F5AAB" w:rsidRDefault="007F5AAB" w:rsidP="007F5AAB">
      <w:pPr>
        <w:pStyle w:val="a5"/>
        <w:ind w:firstLine="709"/>
        <w:jc w:val="both"/>
      </w:pPr>
      <w:r w:rsidRPr="007F5AAB">
        <w:t>Протягом 2022-2023 років передбачається здійснити:</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повноцінне функціонування існуючої мережі закладів культури; </w:t>
      </w:r>
    </w:p>
    <w:p w:rsidR="007F5AAB" w:rsidRPr="007F5AAB" w:rsidRDefault="007F5AAB" w:rsidP="007F5AAB">
      <w:pPr>
        <w:pStyle w:val="a5"/>
        <w:ind w:firstLine="709"/>
        <w:jc w:val="both"/>
      </w:pPr>
      <w:r w:rsidRPr="007F5AAB">
        <w:rPr>
          <w:color w:val="000000"/>
        </w:rPr>
        <w:t xml:space="preserve"> – упорядкування штатної чисельності працівників установ культури</w:t>
      </w:r>
      <w:r w:rsidRPr="007F5AAB">
        <w:t>;</w:t>
      </w:r>
    </w:p>
    <w:p w:rsidR="007F5AAB" w:rsidRPr="007F5AAB" w:rsidRDefault="007F5AAB" w:rsidP="007F5AAB">
      <w:pPr>
        <w:pStyle w:val="a5"/>
        <w:ind w:firstLine="709"/>
        <w:jc w:val="both"/>
      </w:pPr>
      <w:r w:rsidRPr="007F5AAB">
        <w:rPr>
          <w:color w:val="000000"/>
        </w:rPr>
        <w:t xml:space="preserve">– </w:t>
      </w:r>
      <w:r w:rsidRPr="007F5AAB">
        <w:t>запровадження системи державних стандартів щодо надання культурних послуг населенню;</w:t>
      </w:r>
    </w:p>
    <w:p w:rsidR="007F5AAB" w:rsidRPr="007F5AAB" w:rsidRDefault="007F5AAB" w:rsidP="007F5AAB">
      <w:pPr>
        <w:pStyle w:val="a5"/>
        <w:ind w:firstLine="709"/>
        <w:jc w:val="both"/>
      </w:pPr>
      <w:r w:rsidRPr="007F5AAB">
        <w:rPr>
          <w:color w:val="000000"/>
        </w:rPr>
        <w:t xml:space="preserve">– </w:t>
      </w:r>
      <w:r w:rsidRPr="007F5AAB">
        <w:t>забезпечення підвищення фахового та освітнього рівня працівників культури і мистецтв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проведення соціальних безкоштовних культурно-мистецьких та просвітницьких акцій для вразливих верств населення та школярів міста; </w:t>
      </w:r>
    </w:p>
    <w:p w:rsidR="007F5AAB" w:rsidRPr="007F5AAB" w:rsidRDefault="007F5AAB" w:rsidP="007F5AAB">
      <w:pPr>
        <w:pStyle w:val="a5"/>
        <w:ind w:firstLine="709"/>
        <w:jc w:val="both"/>
        <w:rPr>
          <w:b/>
        </w:rPr>
      </w:pPr>
      <w:r w:rsidRPr="007F5AAB">
        <w:t>- розширення доступу до історико-культурних цінностей міста.</w:t>
      </w:r>
    </w:p>
    <w:p w:rsidR="007F5AAB" w:rsidRPr="007F5AAB" w:rsidRDefault="007F5AAB" w:rsidP="007F5AAB">
      <w:pPr>
        <w:pStyle w:val="a5"/>
        <w:ind w:firstLine="0"/>
        <w:jc w:val="center"/>
        <w:rPr>
          <w:b/>
        </w:rPr>
      </w:pPr>
      <w:r w:rsidRPr="007F5AAB">
        <w:rPr>
          <w:b/>
        </w:rPr>
        <w:t>Фізична культура і спорт</w:t>
      </w:r>
    </w:p>
    <w:p w:rsidR="007F5AAB" w:rsidRPr="007F5AAB" w:rsidRDefault="007F5AAB" w:rsidP="007F5AAB">
      <w:pPr>
        <w:pStyle w:val="a5"/>
        <w:ind w:firstLine="708"/>
        <w:jc w:val="both"/>
      </w:pPr>
      <w:r w:rsidRPr="007F5AAB">
        <w:t>Головними пріоритетами галузі будуть всебічне фізичне виховання та становлення здорової нації,  підвищення рівня  залучення  населення до  занять фізичною  культурою та спортом.</w:t>
      </w:r>
    </w:p>
    <w:p w:rsidR="007F5AAB" w:rsidRPr="007F5AAB" w:rsidRDefault="007F5AAB" w:rsidP="007F5AAB">
      <w:pPr>
        <w:pStyle w:val="a5"/>
        <w:ind w:firstLine="709"/>
        <w:jc w:val="both"/>
      </w:pPr>
      <w:r w:rsidRPr="007F5AAB">
        <w:t>Протягом 2022-2023 років передбачається здійснити:</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створення умов для фізичного виховання і масового спорту в усіх типах навчальних закладів, за місцем роботи, у місцях проживання та масового відпочинку населення;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підтримка масового, дитячо-юнацького, резервного спорту, спорту вищих досягнень, спорту інвалідів та ветеранів;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розвиток олімпійських, </w:t>
      </w:r>
      <w:proofErr w:type="spellStart"/>
      <w:r w:rsidRPr="007F5AAB">
        <w:rPr>
          <w:rFonts w:ascii="Times New Roman" w:hAnsi="Times New Roman" w:cs="Times New Roman"/>
          <w:sz w:val="24"/>
          <w:szCs w:val="24"/>
        </w:rPr>
        <w:t>неолімпійських</w:t>
      </w:r>
      <w:proofErr w:type="spellEnd"/>
      <w:r w:rsidRPr="007F5AAB">
        <w:rPr>
          <w:rFonts w:ascii="Times New Roman" w:hAnsi="Times New Roman" w:cs="Times New Roman"/>
          <w:sz w:val="24"/>
          <w:szCs w:val="24"/>
        </w:rPr>
        <w:t xml:space="preserve">, та </w:t>
      </w:r>
      <w:proofErr w:type="spellStart"/>
      <w:r w:rsidRPr="007F5AAB">
        <w:rPr>
          <w:rFonts w:ascii="Times New Roman" w:hAnsi="Times New Roman" w:cs="Times New Roman"/>
          <w:sz w:val="24"/>
          <w:szCs w:val="24"/>
        </w:rPr>
        <w:t>паралімпійських</w:t>
      </w:r>
      <w:proofErr w:type="spellEnd"/>
      <w:r w:rsidRPr="007F5AAB">
        <w:rPr>
          <w:rFonts w:ascii="Times New Roman" w:hAnsi="Times New Roman" w:cs="Times New Roman"/>
          <w:sz w:val="24"/>
          <w:szCs w:val="24"/>
        </w:rPr>
        <w:t xml:space="preserve"> видів спорту;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залучення широких верств населення до масового спорту, популяризації здорового способу життя та фізичної реабілітації, як важливої складової покращення якості та тривалості активного життя населення;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підготовка та участь спортсменів, збірних команд міста в обласних та всеукраїнських змаганнях, інших масових фізкультурно-спортивних заходах, фінансова підтримка міських команд з ігрових видів спорту (футбол, баскетбол) для підготовки та участі у Всеукраїнських і обласних змаганнях;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забезпечення функціонування та удосконалення мережі закладів фізичної культури і спорту, розвиток матеріально-технічної бази у сфері фізичної культури і спорту;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проведення спортивно-масових заходів для утвердження патріотизму та національної самосвідомості молоді;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проведення просвітницької роботи з пропагування здорового способу життя та фізичної культури і спорту; </w:t>
      </w:r>
    </w:p>
    <w:p w:rsidR="007F5AAB" w:rsidRPr="007F5AAB" w:rsidRDefault="007F5AAB" w:rsidP="007F5AAB">
      <w:pPr>
        <w:pStyle w:val="a5"/>
        <w:ind w:firstLine="709"/>
        <w:jc w:val="both"/>
      </w:pPr>
      <w:r w:rsidRPr="007F5AAB">
        <w:rPr>
          <w:color w:val="000000"/>
        </w:rPr>
        <w:t xml:space="preserve">– </w:t>
      </w:r>
      <w:r w:rsidRPr="007F5AAB">
        <w:t>підвищення рівня залучення населення до занять фізичною культурою та масовим спортом, удосконалення механізму утворення та утримання мережі сучасних спортивних споруд;</w:t>
      </w:r>
    </w:p>
    <w:p w:rsidR="007F5AAB" w:rsidRPr="007F5AAB" w:rsidRDefault="007F5AAB" w:rsidP="007F5AAB">
      <w:pPr>
        <w:pStyle w:val="a5"/>
        <w:ind w:firstLine="709"/>
        <w:jc w:val="both"/>
      </w:pPr>
      <w:r w:rsidRPr="007F5AAB">
        <w:rPr>
          <w:color w:val="000000"/>
        </w:rPr>
        <w:t xml:space="preserve"> – </w:t>
      </w:r>
      <w:r w:rsidRPr="007F5AAB">
        <w:t>створення стимулів для здорового способу життя й здорових умов праці шляхом розвитку інфраструктури для занять спортом та активного відпочинку.</w:t>
      </w:r>
    </w:p>
    <w:p w:rsidR="007F5AAB" w:rsidRPr="007F5AAB" w:rsidRDefault="007F5AAB" w:rsidP="007F5AAB">
      <w:pPr>
        <w:pStyle w:val="a5"/>
        <w:ind w:firstLine="709"/>
        <w:jc w:val="both"/>
      </w:pPr>
    </w:p>
    <w:p w:rsidR="007F5AAB" w:rsidRPr="007F5AAB" w:rsidRDefault="007F5AAB" w:rsidP="007F5AAB">
      <w:pPr>
        <w:pStyle w:val="a5"/>
        <w:ind w:firstLine="709"/>
        <w:jc w:val="both"/>
      </w:pPr>
    </w:p>
    <w:p w:rsidR="007F5AAB" w:rsidRPr="007F5AAB" w:rsidRDefault="007F5AAB" w:rsidP="007F5AAB">
      <w:pPr>
        <w:pStyle w:val="a5"/>
        <w:ind w:firstLine="709"/>
        <w:jc w:val="both"/>
      </w:pPr>
    </w:p>
    <w:p w:rsidR="007F5AAB" w:rsidRPr="007F5AAB" w:rsidRDefault="007F5AAB" w:rsidP="007F5AAB">
      <w:pPr>
        <w:pStyle w:val="a5"/>
        <w:ind w:firstLine="709"/>
        <w:jc w:val="both"/>
      </w:pPr>
      <w:r w:rsidRPr="007F5AAB">
        <w:lastRenderedPageBreak/>
        <w:t xml:space="preserve">                  </w:t>
      </w:r>
      <w:proofErr w:type="spellStart"/>
      <w:r w:rsidRPr="007F5AAB">
        <w:rPr>
          <w:b/>
        </w:rPr>
        <w:t>Житлово</w:t>
      </w:r>
      <w:proofErr w:type="spellEnd"/>
      <w:r w:rsidRPr="007F5AAB">
        <w:rPr>
          <w:b/>
        </w:rPr>
        <w:t xml:space="preserve">  - комунальне господарство</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Актуальними   завданнями  функціонування   </w:t>
      </w:r>
      <w:proofErr w:type="spellStart"/>
      <w:r w:rsidRPr="007F5AAB">
        <w:rPr>
          <w:rFonts w:ascii="Times New Roman" w:hAnsi="Times New Roman" w:cs="Times New Roman"/>
          <w:sz w:val="24"/>
          <w:szCs w:val="24"/>
        </w:rPr>
        <w:t>житлово</w:t>
      </w:r>
      <w:proofErr w:type="spellEnd"/>
      <w:r w:rsidRPr="007F5AAB">
        <w:rPr>
          <w:rFonts w:ascii="Times New Roman" w:hAnsi="Times New Roman" w:cs="Times New Roman"/>
          <w:sz w:val="24"/>
          <w:szCs w:val="24"/>
        </w:rPr>
        <w:t xml:space="preserve"> – комунального  господарства  у  прогнозному  періоді  буде  підвищення  якості  </w:t>
      </w:r>
      <w:proofErr w:type="spellStart"/>
      <w:r w:rsidRPr="007F5AAB">
        <w:rPr>
          <w:rFonts w:ascii="Times New Roman" w:hAnsi="Times New Roman" w:cs="Times New Roman"/>
          <w:sz w:val="24"/>
          <w:szCs w:val="24"/>
        </w:rPr>
        <w:t>житлово</w:t>
      </w:r>
      <w:proofErr w:type="spellEnd"/>
      <w:r w:rsidRPr="007F5AAB">
        <w:rPr>
          <w:rFonts w:ascii="Times New Roman" w:hAnsi="Times New Roman" w:cs="Times New Roman"/>
          <w:sz w:val="24"/>
          <w:szCs w:val="24"/>
        </w:rPr>
        <w:t xml:space="preserve"> – комунальних  послуг  для  всіх  верств  населення  та  обґрунтованої  тарифної  політики.</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У  2022 та  2023  роках  передбачається  здійснити  заходи  щодо  модернізації  теплоенергетики,  ремонту  систем  тепло -,  водопостачання  та  водовідведення,   планомірне  приведення  тарифів  на   </w:t>
      </w:r>
      <w:proofErr w:type="spellStart"/>
      <w:r w:rsidRPr="007F5AAB">
        <w:rPr>
          <w:rFonts w:ascii="Times New Roman" w:hAnsi="Times New Roman" w:cs="Times New Roman"/>
          <w:sz w:val="24"/>
          <w:szCs w:val="24"/>
        </w:rPr>
        <w:t>житлово</w:t>
      </w:r>
      <w:proofErr w:type="spellEnd"/>
      <w:r w:rsidRPr="007F5AAB">
        <w:rPr>
          <w:rFonts w:ascii="Times New Roman" w:hAnsi="Times New Roman" w:cs="Times New Roman"/>
          <w:sz w:val="24"/>
          <w:szCs w:val="24"/>
        </w:rPr>
        <w:t xml:space="preserve"> – комунальні  послуги  до  рівня,  що  покриває  економічно обґрунтовані  витрати.</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Прогнозом  місцевих  бюджетів  на  2022 -  2023  роки   передбачається  спрямувати  бюджетні  кошти  на  підтримку  </w:t>
      </w:r>
      <w:proofErr w:type="spellStart"/>
      <w:r w:rsidRPr="007F5AAB">
        <w:rPr>
          <w:rFonts w:ascii="Times New Roman" w:hAnsi="Times New Roman" w:cs="Times New Roman"/>
          <w:sz w:val="24"/>
          <w:szCs w:val="24"/>
        </w:rPr>
        <w:t>житлово</w:t>
      </w:r>
      <w:proofErr w:type="spellEnd"/>
      <w:r w:rsidRPr="007F5AAB">
        <w:rPr>
          <w:rFonts w:ascii="Times New Roman" w:hAnsi="Times New Roman" w:cs="Times New Roman"/>
          <w:sz w:val="24"/>
          <w:szCs w:val="24"/>
        </w:rPr>
        <w:t xml:space="preserve"> – експлуатаційного господарства,  проведення  капітального  ремонту  житлового  фонду,  реконструкцію  теплових  та  інженерних  мереж, благоустрій  міста,  проведення  капітальних  робіт  згідно  місцевих  Програм,  </w:t>
      </w:r>
      <w:proofErr w:type="spellStart"/>
      <w:r w:rsidRPr="007F5AAB">
        <w:rPr>
          <w:rFonts w:ascii="Times New Roman" w:hAnsi="Times New Roman" w:cs="Times New Roman"/>
          <w:sz w:val="24"/>
          <w:szCs w:val="24"/>
        </w:rPr>
        <w:t>пов»язаних</w:t>
      </w:r>
      <w:proofErr w:type="spellEnd"/>
      <w:r w:rsidRPr="007F5AAB">
        <w:rPr>
          <w:rFonts w:ascii="Times New Roman" w:hAnsi="Times New Roman" w:cs="Times New Roman"/>
          <w:sz w:val="24"/>
          <w:szCs w:val="24"/>
        </w:rPr>
        <w:t xml:space="preserve">  з  ефективністю  енергозбереження  та  модернізацією  житлового  фонду  м. Тернополя  на  2015-2022 роки  та  інші  </w:t>
      </w:r>
      <w:proofErr w:type="spellStart"/>
      <w:r w:rsidRPr="007F5AAB">
        <w:rPr>
          <w:rFonts w:ascii="Times New Roman" w:hAnsi="Times New Roman" w:cs="Times New Roman"/>
          <w:sz w:val="24"/>
          <w:szCs w:val="24"/>
        </w:rPr>
        <w:t>житлово</w:t>
      </w:r>
      <w:proofErr w:type="spellEnd"/>
      <w:r w:rsidRPr="007F5AAB">
        <w:rPr>
          <w:rFonts w:ascii="Times New Roman" w:hAnsi="Times New Roman" w:cs="Times New Roman"/>
          <w:sz w:val="24"/>
          <w:szCs w:val="24"/>
        </w:rPr>
        <w:t xml:space="preserve"> – комунальні послуги.</w:t>
      </w:r>
    </w:p>
    <w:p w:rsidR="007F5AAB" w:rsidRPr="007F5AAB" w:rsidRDefault="007F5AAB" w:rsidP="007F5AAB">
      <w:pPr>
        <w:tabs>
          <w:tab w:val="left" w:pos="-6946"/>
        </w:tabs>
        <w:spacing w:after="0" w:line="240" w:lineRule="auto"/>
        <w:jc w:val="center"/>
        <w:rPr>
          <w:rFonts w:ascii="Times New Roman" w:hAnsi="Times New Roman" w:cs="Times New Roman"/>
          <w:b/>
          <w:sz w:val="24"/>
          <w:szCs w:val="24"/>
        </w:rPr>
      </w:pPr>
      <w:r w:rsidRPr="007F5AAB">
        <w:rPr>
          <w:rFonts w:ascii="Times New Roman" w:hAnsi="Times New Roman" w:cs="Times New Roman"/>
          <w:b/>
          <w:sz w:val="24"/>
          <w:szCs w:val="24"/>
        </w:rPr>
        <w:t>Кредитування  бюджету</w:t>
      </w:r>
    </w:p>
    <w:p w:rsidR="007F5AAB" w:rsidRPr="007F5AAB" w:rsidRDefault="007F5AAB" w:rsidP="007F5AAB">
      <w:pPr>
        <w:tabs>
          <w:tab w:val="left" w:pos="-6946"/>
        </w:tabs>
        <w:spacing w:after="0" w:line="240" w:lineRule="auto"/>
        <w:jc w:val="center"/>
        <w:rPr>
          <w:rFonts w:ascii="Times New Roman" w:hAnsi="Times New Roman" w:cs="Times New Roman"/>
          <w:sz w:val="24"/>
          <w:szCs w:val="24"/>
        </w:rPr>
      </w:pPr>
    </w:p>
    <w:p w:rsidR="007F5AAB" w:rsidRPr="007F5AAB" w:rsidRDefault="007F5AAB" w:rsidP="007F5AAB">
      <w:pPr>
        <w:tabs>
          <w:tab w:val="left" w:pos="-6946"/>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Молодіжне  кредитування   визначає  порядок  надання пільгових довготермінових кредитів  молодим  сім'ям  та  одиноким  молодим громадянам   на будівництво  (реконструкцію )  і придбання житла.  </w:t>
      </w:r>
    </w:p>
    <w:p w:rsidR="007F5AAB" w:rsidRPr="007F5AAB" w:rsidRDefault="007F5AAB" w:rsidP="007F5AAB">
      <w:pPr>
        <w:tabs>
          <w:tab w:val="left" w:pos="-6946"/>
        </w:tabs>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Для  надання  пільгового кредиту на  2022 – 2023  роки  по загальному  фонду передбачається спрямувати   по  600,0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 xml:space="preserve">.              </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jc w:val="both"/>
        <w:rPr>
          <w:rFonts w:ascii="Times New Roman" w:hAnsi="Times New Roman" w:cs="Times New Roman"/>
          <w:b/>
          <w:bCs/>
          <w:sz w:val="24"/>
          <w:szCs w:val="24"/>
        </w:rPr>
      </w:pPr>
      <w:r w:rsidRPr="007F5AAB">
        <w:rPr>
          <w:rFonts w:ascii="Times New Roman" w:hAnsi="Times New Roman" w:cs="Times New Roman"/>
          <w:sz w:val="24"/>
          <w:szCs w:val="24"/>
        </w:rPr>
        <w:t xml:space="preserve">             Витрати на сплату гарантійних  </w:t>
      </w:r>
      <w:proofErr w:type="spellStart"/>
      <w:r w:rsidRPr="007F5AAB">
        <w:rPr>
          <w:rFonts w:ascii="Times New Roman" w:hAnsi="Times New Roman" w:cs="Times New Roman"/>
          <w:sz w:val="24"/>
          <w:szCs w:val="24"/>
        </w:rPr>
        <w:t>зобов»язань</w:t>
      </w:r>
      <w:proofErr w:type="spellEnd"/>
      <w:r w:rsidRPr="007F5AAB">
        <w:rPr>
          <w:rFonts w:ascii="Times New Roman" w:hAnsi="Times New Roman" w:cs="Times New Roman"/>
          <w:sz w:val="24"/>
          <w:szCs w:val="24"/>
        </w:rPr>
        <w:t xml:space="preserve">  міської ради по кредитах БРР, НЕФКО та Міністерства фінансів України  (кошти ЄІБ), наданих  комунальним підприємствам громади,  які згідно із Бюджетним кодексом України належать до операцій кредитування, прогнозуються на 2022 та 2023 роки по спеціальному фонду  у сумі  67 141,7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 xml:space="preserve"> та 70 700,2 </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w:t>
      </w: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 xml:space="preserve">            </w:t>
      </w:r>
    </w:p>
    <w:p w:rsidR="007F5AAB" w:rsidRPr="007F5AAB" w:rsidRDefault="007F5AAB" w:rsidP="007F5AAB">
      <w:pPr>
        <w:tabs>
          <w:tab w:val="left" w:pos="-6946"/>
        </w:tabs>
        <w:spacing w:after="0" w:line="240" w:lineRule="auto"/>
        <w:ind w:firstLine="709"/>
        <w:jc w:val="center"/>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firstLine="709"/>
        <w:jc w:val="center"/>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firstLine="709"/>
        <w:jc w:val="center"/>
        <w:rPr>
          <w:rFonts w:ascii="Times New Roman" w:hAnsi="Times New Roman" w:cs="Times New Roman"/>
          <w:b/>
          <w:bCs/>
          <w:sz w:val="24"/>
          <w:szCs w:val="24"/>
        </w:rPr>
      </w:pPr>
      <w:r w:rsidRPr="007F5AAB">
        <w:rPr>
          <w:rFonts w:ascii="Times New Roman" w:hAnsi="Times New Roman" w:cs="Times New Roman"/>
          <w:b/>
          <w:bCs/>
          <w:sz w:val="24"/>
          <w:szCs w:val="24"/>
        </w:rPr>
        <w:t xml:space="preserve"> Реалізація інвестиційних програм (</w:t>
      </w:r>
      <w:proofErr w:type="spellStart"/>
      <w:r w:rsidRPr="007F5AAB">
        <w:rPr>
          <w:rFonts w:ascii="Times New Roman" w:hAnsi="Times New Roman" w:cs="Times New Roman"/>
          <w:b/>
          <w:bCs/>
          <w:sz w:val="24"/>
          <w:szCs w:val="24"/>
        </w:rPr>
        <w:t>проєктів</w:t>
      </w:r>
      <w:proofErr w:type="spellEnd"/>
      <w:r w:rsidRPr="007F5AAB">
        <w:rPr>
          <w:rFonts w:ascii="Times New Roman" w:hAnsi="Times New Roman" w:cs="Times New Roman"/>
          <w:b/>
          <w:bCs/>
          <w:sz w:val="24"/>
          <w:szCs w:val="24"/>
        </w:rPr>
        <w:t>)</w:t>
      </w:r>
    </w:p>
    <w:p w:rsidR="007F5AAB" w:rsidRPr="007F5AAB" w:rsidRDefault="007F5AAB" w:rsidP="007F5AAB">
      <w:pPr>
        <w:tabs>
          <w:tab w:val="left" w:pos="-6946"/>
        </w:tabs>
        <w:spacing w:after="0" w:line="240" w:lineRule="auto"/>
        <w:ind w:firstLine="709"/>
        <w:jc w:val="center"/>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firstLine="709"/>
        <w:rPr>
          <w:rFonts w:ascii="Times New Roman" w:hAnsi="Times New Roman" w:cs="Times New Roman"/>
          <w:bCs/>
          <w:sz w:val="24"/>
          <w:szCs w:val="24"/>
        </w:rPr>
      </w:pPr>
      <w:r w:rsidRPr="007F5AAB">
        <w:rPr>
          <w:rFonts w:ascii="Times New Roman" w:hAnsi="Times New Roman" w:cs="Times New Roman"/>
          <w:bCs/>
          <w:sz w:val="24"/>
          <w:szCs w:val="24"/>
        </w:rPr>
        <w:t>Прогнозні показники  бюджету громади  за бюджетними програмами,</w:t>
      </w: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r w:rsidRPr="007F5AAB">
        <w:rPr>
          <w:rFonts w:ascii="Times New Roman" w:hAnsi="Times New Roman" w:cs="Times New Roman"/>
          <w:bCs/>
          <w:sz w:val="24"/>
          <w:szCs w:val="24"/>
        </w:rPr>
        <w:t>які забезпечуватимуть виконання</w:t>
      </w:r>
      <w:r w:rsidRPr="007F5AAB">
        <w:rPr>
          <w:rFonts w:ascii="Times New Roman" w:hAnsi="Times New Roman" w:cs="Times New Roman"/>
          <w:b/>
          <w:bCs/>
          <w:sz w:val="24"/>
          <w:szCs w:val="24"/>
        </w:rPr>
        <w:t xml:space="preserve"> </w:t>
      </w:r>
      <w:r w:rsidRPr="007F5AAB">
        <w:rPr>
          <w:rFonts w:ascii="Times New Roman" w:hAnsi="Times New Roman" w:cs="Times New Roman"/>
          <w:bCs/>
          <w:sz w:val="24"/>
          <w:szCs w:val="24"/>
        </w:rPr>
        <w:t>інвестиційних програм ( проектів)*:</w:t>
      </w:r>
      <w:r w:rsidRPr="007F5AAB">
        <w:rPr>
          <w:rFonts w:ascii="Times New Roman" w:hAnsi="Times New Roman" w:cs="Times New Roman"/>
          <w:b/>
          <w:bCs/>
          <w:sz w:val="24"/>
          <w:szCs w:val="24"/>
        </w:rPr>
        <w:t xml:space="preserve">   </w:t>
      </w: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r w:rsidRPr="007F5AAB">
        <w:rPr>
          <w:rFonts w:ascii="Times New Roman" w:hAnsi="Times New Roman" w:cs="Times New Roman"/>
          <w:b/>
          <w:bCs/>
          <w:sz w:val="24"/>
          <w:szCs w:val="24"/>
        </w:rPr>
        <w:t xml:space="preserve">                                                                                     </w:t>
      </w:r>
    </w:p>
    <w:p w:rsidR="007F5AAB" w:rsidRPr="007F5AAB" w:rsidRDefault="007F5AAB" w:rsidP="007F5AAB">
      <w:pPr>
        <w:tabs>
          <w:tab w:val="left" w:pos="-6946"/>
        </w:tabs>
        <w:spacing w:after="0" w:line="240" w:lineRule="auto"/>
        <w:ind w:hanging="180"/>
        <w:rPr>
          <w:rFonts w:ascii="Times New Roman" w:hAnsi="Times New Roman" w:cs="Times New Roman"/>
          <w:b/>
          <w:bCs/>
          <w:sz w:val="24"/>
          <w:szCs w:val="24"/>
        </w:rPr>
      </w:pPr>
    </w:p>
    <w:p w:rsidR="007F5AAB" w:rsidRPr="007F5AAB" w:rsidRDefault="007F5AAB" w:rsidP="007F5AAB">
      <w:pPr>
        <w:tabs>
          <w:tab w:val="left" w:pos="-6946"/>
        </w:tabs>
        <w:spacing w:after="0" w:line="240" w:lineRule="auto"/>
        <w:ind w:hanging="180"/>
        <w:jc w:val="both"/>
        <w:rPr>
          <w:rFonts w:ascii="Times New Roman" w:hAnsi="Times New Roman" w:cs="Times New Roman"/>
          <w:bCs/>
          <w:sz w:val="24"/>
          <w:szCs w:val="24"/>
        </w:rPr>
      </w:pPr>
      <w:r w:rsidRPr="007F5AAB">
        <w:rPr>
          <w:rFonts w:ascii="Times New Roman" w:hAnsi="Times New Roman" w:cs="Times New Roman"/>
          <w:b/>
          <w:bCs/>
          <w:sz w:val="24"/>
          <w:szCs w:val="24"/>
        </w:rPr>
        <w:t xml:space="preserve">                                                                                                              </w:t>
      </w:r>
      <w:r w:rsidRPr="007F5AAB">
        <w:rPr>
          <w:rFonts w:ascii="Times New Roman" w:hAnsi="Times New Roman" w:cs="Times New Roman"/>
          <w:bCs/>
          <w:sz w:val="24"/>
          <w:szCs w:val="24"/>
        </w:rPr>
        <w:t>Таблиця 5</w:t>
      </w:r>
    </w:p>
    <w:p w:rsidR="007F5AAB" w:rsidRPr="007F5AAB" w:rsidRDefault="007F5AAB" w:rsidP="007F5AAB">
      <w:pPr>
        <w:tabs>
          <w:tab w:val="left" w:pos="-6946"/>
        </w:tabs>
        <w:spacing w:after="0" w:line="240" w:lineRule="auto"/>
        <w:ind w:hanging="180"/>
        <w:jc w:val="both"/>
        <w:rPr>
          <w:rFonts w:ascii="Times New Roman" w:hAnsi="Times New Roman" w:cs="Times New Roman"/>
          <w:bCs/>
          <w:sz w:val="24"/>
          <w:szCs w:val="24"/>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984"/>
        <w:gridCol w:w="1843"/>
        <w:gridCol w:w="25"/>
        <w:gridCol w:w="1109"/>
        <w:gridCol w:w="25"/>
        <w:gridCol w:w="1251"/>
        <w:gridCol w:w="25"/>
        <w:gridCol w:w="1251"/>
        <w:gridCol w:w="25"/>
        <w:gridCol w:w="1392"/>
        <w:gridCol w:w="25"/>
      </w:tblGrid>
      <w:tr w:rsidR="007F5AAB" w:rsidRPr="007F5AAB" w:rsidTr="00381D1A">
        <w:trPr>
          <w:trHeight w:val="1380"/>
        </w:trPr>
        <w:tc>
          <w:tcPr>
            <w:tcW w:w="1101" w:type="dxa"/>
          </w:tcPr>
          <w:p w:rsidR="007F5AAB" w:rsidRPr="007F5AAB" w:rsidRDefault="007F5AAB" w:rsidP="007F5AAB">
            <w:pPr>
              <w:tabs>
                <w:tab w:val="left" w:pos="-6946"/>
              </w:tabs>
              <w:spacing w:after="0" w:line="240" w:lineRule="auto"/>
              <w:jc w:val="center"/>
              <w:rPr>
                <w:rFonts w:ascii="Times New Roman" w:hAnsi="Times New Roman" w:cs="Times New Roman"/>
                <w:b/>
                <w:bCs/>
                <w:sz w:val="24"/>
                <w:szCs w:val="24"/>
              </w:rPr>
            </w:pPr>
            <w:r w:rsidRPr="007F5AAB">
              <w:rPr>
                <w:rFonts w:ascii="Times New Roman" w:hAnsi="Times New Roman" w:cs="Times New Roman"/>
                <w:b/>
                <w:bCs/>
                <w:sz w:val="24"/>
                <w:szCs w:val="24"/>
              </w:rPr>
              <w:t>КПКВКМБ</w:t>
            </w:r>
          </w:p>
        </w:tc>
        <w:tc>
          <w:tcPr>
            <w:tcW w:w="1984" w:type="dxa"/>
          </w:tcPr>
          <w:p w:rsidR="007F5AAB" w:rsidRPr="007F5AAB" w:rsidRDefault="007F5AAB" w:rsidP="007F5AAB">
            <w:pPr>
              <w:tabs>
                <w:tab w:val="left" w:pos="-6946"/>
              </w:tabs>
              <w:spacing w:after="0" w:line="240" w:lineRule="auto"/>
              <w:jc w:val="center"/>
              <w:rPr>
                <w:rFonts w:ascii="Times New Roman" w:hAnsi="Times New Roman" w:cs="Times New Roman"/>
                <w:b/>
                <w:bCs/>
                <w:sz w:val="24"/>
                <w:szCs w:val="24"/>
              </w:rPr>
            </w:pPr>
            <w:r w:rsidRPr="007F5AAB">
              <w:rPr>
                <w:rFonts w:ascii="Times New Roman" w:hAnsi="Times New Roman" w:cs="Times New Roman"/>
                <w:b/>
                <w:bCs/>
                <w:sz w:val="24"/>
                <w:szCs w:val="24"/>
              </w:rPr>
              <w:t>Назва бюджетної програми</w:t>
            </w:r>
          </w:p>
        </w:tc>
        <w:tc>
          <w:tcPr>
            <w:tcW w:w="1868" w:type="dxa"/>
            <w:gridSpan w:val="2"/>
          </w:tcPr>
          <w:p w:rsidR="007F5AAB" w:rsidRPr="007F5AAB" w:rsidRDefault="007F5AAB" w:rsidP="007F5AAB">
            <w:pPr>
              <w:tabs>
                <w:tab w:val="left" w:pos="-6946"/>
              </w:tabs>
              <w:spacing w:after="0" w:line="240" w:lineRule="auto"/>
              <w:jc w:val="center"/>
              <w:rPr>
                <w:rFonts w:ascii="Times New Roman" w:hAnsi="Times New Roman" w:cs="Times New Roman"/>
                <w:b/>
                <w:bCs/>
                <w:sz w:val="24"/>
                <w:szCs w:val="24"/>
              </w:rPr>
            </w:pPr>
            <w:r w:rsidRPr="007F5AAB">
              <w:rPr>
                <w:rFonts w:ascii="Times New Roman" w:hAnsi="Times New Roman" w:cs="Times New Roman"/>
                <w:b/>
                <w:bCs/>
                <w:sz w:val="24"/>
                <w:szCs w:val="24"/>
              </w:rPr>
              <w:t xml:space="preserve">Найменування </w:t>
            </w:r>
            <w:proofErr w:type="spellStart"/>
            <w:r w:rsidRPr="007F5AAB">
              <w:rPr>
                <w:rFonts w:ascii="Times New Roman" w:hAnsi="Times New Roman" w:cs="Times New Roman"/>
                <w:b/>
                <w:bCs/>
                <w:sz w:val="24"/>
                <w:szCs w:val="24"/>
              </w:rPr>
              <w:t>проєкту</w:t>
            </w:r>
            <w:proofErr w:type="spellEnd"/>
            <w:r w:rsidRPr="007F5AAB">
              <w:rPr>
                <w:rFonts w:ascii="Times New Roman" w:hAnsi="Times New Roman" w:cs="Times New Roman"/>
                <w:b/>
                <w:bCs/>
                <w:sz w:val="24"/>
                <w:szCs w:val="24"/>
              </w:rPr>
              <w:t xml:space="preserve"> (об’єкта), строк реалізації</w:t>
            </w:r>
          </w:p>
        </w:tc>
        <w:tc>
          <w:tcPr>
            <w:tcW w:w="1134" w:type="dxa"/>
            <w:gridSpan w:val="2"/>
          </w:tcPr>
          <w:p w:rsidR="007F5AAB" w:rsidRPr="007F5AAB" w:rsidRDefault="007F5AAB" w:rsidP="007F5AAB">
            <w:pPr>
              <w:tabs>
                <w:tab w:val="left" w:pos="-6946"/>
              </w:tabs>
              <w:spacing w:after="0" w:line="240" w:lineRule="auto"/>
              <w:jc w:val="center"/>
              <w:rPr>
                <w:rFonts w:ascii="Times New Roman" w:hAnsi="Times New Roman" w:cs="Times New Roman"/>
                <w:b/>
                <w:bCs/>
                <w:sz w:val="24"/>
                <w:szCs w:val="24"/>
              </w:rPr>
            </w:pPr>
            <w:r w:rsidRPr="007F5AAB">
              <w:rPr>
                <w:rFonts w:ascii="Times New Roman" w:hAnsi="Times New Roman" w:cs="Times New Roman"/>
                <w:b/>
                <w:bCs/>
                <w:sz w:val="24"/>
                <w:szCs w:val="24"/>
              </w:rPr>
              <w:t>2020 рік</w:t>
            </w:r>
          </w:p>
        </w:tc>
        <w:tc>
          <w:tcPr>
            <w:tcW w:w="1276" w:type="dxa"/>
            <w:gridSpan w:val="2"/>
          </w:tcPr>
          <w:p w:rsidR="007F5AAB" w:rsidRPr="007F5AAB" w:rsidRDefault="007F5AAB" w:rsidP="007F5AAB">
            <w:pPr>
              <w:tabs>
                <w:tab w:val="left" w:pos="-6946"/>
              </w:tabs>
              <w:spacing w:after="0" w:line="240" w:lineRule="auto"/>
              <w:jc w:val="center"/>
              <w:rPr>
                <w:rFonts w:ascii="Times New Roman" w:hAnsi="Times New Roman" w:cs="Times New Roman"/>
                <w:b/>
                <w:bCs/>
                <w:sz w:val="24"/>
                <w:szCs w:val="24"/>
              </w:rPr>
            </w:pPr>
            <w:r w:rsidRPr="007F5AAB">
              <w:rPr>
                <w:rFonts w:ascii="Times New Roman" w:hAnsi="Times New Roman" w:cs="Times New Roman"/>
                <w:b/>
                <w:bCs/>
                <w:sz w:val="24"/>
                <w:szCs w:val="24"/>
              </w:rPr>
              <w:t>2021рік</w:t>
            </w:r>
          </w:p>
        </w:tc>
        <w:tc>
          <w:tcPr>
            <w:tcW w:w="1276" w:type="dxa"/>
            <w:gridSpan w:val="2"/>
          </w:tcPr>
          <w:p w:rsidR="007F5AAB" w:rsidRPr="007F5AAB" w:rsidRDefault="007F5AAB" w:rsidP="007F5AAB">
            <w:pPr>
              <w:tabs>
                <w:tab w:val="left" w:pos="-6946"/>
              </w:tabs>
              <w:spacing w:after="0" w:line="240" w:lineRule="auto"/>
              <w:jc w:val="both"/>
              <w:rPr>
                <w:rFonts w:ascii="Times New Roman" w:hAnsi="Times New Roman" w:cs="Times New Roman"/>
                <w:b/>
                <w:bCs/>
                <w:sz w:val="24"/>
                <w:szCs w:val="24"/>
              </w:rPr>
            </w:pPr>
            <w:r w:rsidRPr="007F5AAB">
              <w:rPr>
                <w:rFonts w:ascii="Times New Roman" w:hAnsi="Times New Roman" w:cs="Times New Roman"/>
                <w:b/>
                <w:bCs/>
                <w:sz w:val="24"/>
                <w:szCs w:val="24"/>
              </w:rPr>
              <w:t>2022рік</w:t>
            </w:r>
          </w:p>
        </w:tc>
        <w:tc>
          <w:tcPr>
            <w:tcW w:w="1417" w:type="dxa"/>
            <w:gridSpan w:val="2"/>
          </w:tcPr>
          <w:p w:rsidR="007F5AAB" w:rsidRPr="007F5AAB" w:rsidRDefault="007F5AAB" w:rsidP="007F5AAB">
            <w:pPr>
              <w:tabs>
                <w:tab w:val="left" w:pos="-6946"/>
              </w:tabs>
              <w:spacing w:after="0" w:line="240" w:lineRule="auto"/>
              <w:jc w:val="both"/>
              <w:rPr>
                <w:rFonts w:ascii="Times New Roman" w:hAnsi="Times New Roman" w:cs="Times New Roman"/>
                <w:b/>
                <w:bCs/>
                <w:sz w:val="24"/>
                <w:szCs w:val="24"/>
              </w:rPr>
            </w:pPr>
            <w:r w:rsidRPr="007F5AAB">
              <w:rPr>
                <w:rFonts w:ascii="Times New Roman" w:hAnsi="Times New Roman" w:cs="Times New Roman"/>
                <w:b/>
                <w:bCs/>
                <w:sz w:val="24"/>
                <w:szCs w:val="24"/>
              </w:rPr>
              <w:t>2023 рік</w:t>
            </w:r>
          </w:p>
        </w:tc>
      </w:tr>
      <w:tr w:rsidR="007F5AAB" w:rsidRPr="007F5AAB" w:rsidTr="00381D1A">
        <w:trPr>
          <w:gridAfter w:val="1"/>
          <w:wAfter w:w="25" w:type="dxa"/>
          <w:trHeight w:val="3472"/>
        </w:trPr>
        <w:tc>
          <w:tcPr>
            <w:tcW w:w="1101" w:type="dxa"/>
          </w:tcPr>
          <w:p w:rsidR="007F5AAB" w:rsidRPr="007F5AAB" w:rsidRDefault="007F5AAB" w:rsidP="007F5AAB">
            <w:pPr>
              <w:tabs>
                <w:tab w:val="left" w:pos="-6946"/>
              </w:tabs>
              <w:spacing w:after="0" w:line="240" w:lineRule="auto"/>
              <w:jc w:val="both"/>
              <w:rPr>
                <w:rFonts w:ascii="Times New Roman" w:hAnsi="Times New Roman" w:cs="Times New Roman"/>
                <w:bCs/>
                <w:sz w:val="24"/>
                <w:szCs w:val="24"/>
              </w:rPr>
            </w:pPr>
            <w:r w:rsidRPr="007F5AAB">
              <w:rPr>
                <w:rFonts w:ascii="Times New Roman" w:hAnsi="Times New Roman" w:cs="Times New Roman"/>
                <w:bCs/>
                <w:sz w:val="24"/>
                <w:szCs w:val="24"/>
              </w:rPr>
              <w:lastRenderedPageBreak/>
              <w:t>0617640</w:t>
            </w:r>
          </w:p>
        </w:tc>
        <w:tc>
          <w:tcPr>
            <w:tcW w:w="1984" w:type="dxa"/>
          </w:tcPr>
          <w:p w:rsidR="007F5AAB" w:rsidRPr="007F5AAB" w:rsidRDefault="007F5AAB" w:rsidP="007F5AAB">
            <w:pPr>
              <w:tabs>
                <w:tab w:val="left" w:pos="-6946"/>
              </w:tabs>
              <w:spacing w:after="0" w:line="240" w:lineRule="auto"/>
              <w:jc w:val="both"/>
              <w:rPr>
                <w:rFonts w:ascii="Times New Roman" w:hAnsi="Times New Roman" w:cs="Times New Roman"/>
                <w:color w:val="000000"/>
                <w:sz w:val="24"/>
                <w:szCs w:val="24"/>
              </w:rPr>
            </w:pPr>
            <w:r w:rsidRPr="007F5AAB">
              <w:rPr>
                <w:rFonts w:ascii="Times New Roman" w:hAnsi="Times New Roman" w:cs="Times New Roman"/>
                <w:color w:val="000000"/>
                <w:sz w:val="24"/>
                <w:szCs w:val="24"/>
              </w:rPr>
              <w:t>Програма розвитку освіти</w:t>
            </w:r>
          </w:p>
          <w:p w:rsidR="007F5AAB" w:rsidRPr="007F5AAB" w:rsidRDefault="007F5AAB" w:rsidP="007F5AAB">
            <w:pPr>
              <w:tabs>
                <w:tab w:val="left" w:pos="-6946"/>
              </w:tabs>
              <w:spacing w:after="0" w:line="240" w:lineRule="auto"/>
              <w:jc w:val="both"/>
              <w:rPr>
                <w:rFonts w:ascii="Times New Roman" w:hAnsi="Times New Roman" w:cs="Times New Roman"/>
                <w:color w:val="000000"/>
                <w:sz w:val="24"/>
                <w:szCs w:val="24"/>
              </w:rPr>
            </w:pPr>
            <w:r w:rsidRPr="007F5AAB">
              <w:rPr>
                <w:rFonts w:ascii="Times New Roman" w:hAnsi="Times New Roman" w:cs="Times New Roman"/>
                <w:color w:val="000000"/>
                <w:sz w:val="24"/>
                <w:szCs w:val="24"/>
              </w:rPr>
              <w:t>на 2020-2022р.</w:t>
            </w:r>
          </w:p>
        </w:tc>
        <w:tc>
          <w:tcPr>
            <w:tcW w:w="1843" w:type="dxa"/>
          </w:tcPr>
          <w:p w:rsidR="007F5AAB" w:rsidRPr="007F5AAB" w:rsidRDefault="007F5AAB" w:rsidP="007F5AAB">
            <w:pPr>
              <w:tabs>
                <w:tab w:val="left" w:pos="-6946"/>
              </w:tabs>
              <w:spacing w:after="0" w:line="240" w:lineRule="auto"/>
              <w:jc w:val="center"/>
              <w:rPr>
                <w:rFonts w:ascii="Times New Roman" w:hAnsi="Times New Roman" w:cs="Times New Roman"/>
                <w:bCs/>
                <w:sz w:val="24"/>
                <w:szCs w:val="24"/>
              </w:rPr>
            </w:pPr>
            <w:r w:rsidRPr="007F5AAB">
              <w:rPr>
                <w:rFonts w:ascii="Times New Roman" w:hAnsi="Times New Roman" w:cs="Times New Roman"/>
                <w:sz w:val="24"/>
                <w:szCs w:val="24"/>
              </w:rPr>
              <w:t xml:space="preserve"> «Глибока </w:t>
            </w:r>
            <w:proofErr w:type="spellStart"/>
            <w:r w:rsidRPr="007F5AAB">
              <w:rPr>
                <w:rFonts w:ascii="Times New Roman" w:hAnsi="Times New Roman" w:cs="Times New Roman"/>
                <w:sz w:val="24"/>
                <w:szCs w:val="24"/>
              </w:rPr>
              <w:t>термомодерні-зація</w:t>
            </w:r>
            <w:proofErr w:type="spellEnd"/>
            <w:r w:rsidRPr="007F5AAB">
              <w:rPr>
                <w:rFonts w:ascii="Times New Roman" w:hAnsi="Times New Roman" w:cs="Times New Roman"/>
                <w:sz w:val="24"/>
                <w:szCs w:val="24"/>
              </w:rPr>
              <w:t xml:space="preserve"> будівель закладів освіти м. Тернополя»</w:t>
            </w:r>
          </w:p>
        </w:tc>
        <w:tc>
          <w:tcPr>
            <w:tcW w:w="1134"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0,0</w:t>
            </w:r>
          </w:p>
        </w:tc>
        <w:tc>
          <w:tcPr>
            <w:tcW w:w="1276"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242428,5</w:t>
            </w:r>
          </w:p>
        </w:tc>
        <w:tc>
          <w:tcPr>
            <w:tcW w:w="1276"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262 333,3</w:t>
            </w:r>
          </w:p>
        </w:tc>
        <w:tc>
          <w:tcPr>
            <w:tcW w:w="1417"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277 532,7</w:t>
            </w:r>
          </w:p>
        </w:tc>
      </w:tr>
      <w:tr w:rsidR="007F5AAB" w:rsidRPr="007F5AAB" w:rsidTr="00381D1A">
        <w:trPr>
          <w:gridAfter w:val="1"/>
          <w:wAfter w:w="25" w:type="dxa"/>
          <w:trHeight w:val="3472"/>
        </w:trPr>
        <w:tc>
          <w:tcPr>
            <w:tcW w:w="1101" w:type="dxa"/>
          </w:tcPr>
          <w:p w:rsidR="007F5AAB" w:rsidRPr="007F5AAB" w:rsidRDefault="007F5AAB" w:rsidP="007F5AAB">
            <w:pPr>
              <w:tabs>
                <w:tab w:val="left" w:pos="-6946"/>
              </w:tabs>
              <w:spacing w:after="0" w:line="240" w:lineRule="auto"/>
              <w:jc w:val="both"/>
              <w:rPr>
                <w:rFonts w:ascii="Times New Roman" w:hAnsi="Times New Roman" w:cs="Times New Roman"/>
                <w:bCs/>
                <w:sz w:val="24"/>
                <w:szCs w:val="24"/>
              </w:rPr>
            </w:pPr>
            <w:r w:rsidRPr="007F5AAB">
              <w:rPr>
                <w:rFonts w:ascii="Times New Roman" w:hAnsi="Times New Roman" w:cs="Times New Roman"/>
                <w:bCs/>
                <w:sz w:val="24"/>
                <w:szCs w:val="24"/>
              </w:rPr>
              <w:t>1217640</w:t>
            </w:r>
          </w:p>
          <w:p w:rsidR="007F5AAB" w:rsidRPr="007F5AAB" w:rsidRDefault="007F5AAB" w:rsidP="007F5AAB">
            <w:pPr>
              <w:tabs>
                <w:tab w:val="left" w:pos="-6946"/>
              </w:tabs>
              <w:spacing w:after="0" w:line="240" w:lineRule="auto"/>
              <w:jc w:val="both"/>
              <w:rPr>
                <w:rFonts w:ascii="Times New Roman" w:hAnsi="Times New Roman" w:cs="Times New Roman"/>
                <w:bCs/>
                <w:sz w:val="24"/>
                <w:szCs w:val="24"/>
              </w:rPr>
            </w:pPr>
          </w:p>
        </w:tc>
        <w:tc>
          <w:tcPr>
            <w:tcW w:w="1984" w:type="dxa"/>
          </w:tcPr>
          <w:p w:rsidR="007F5AAB" w:rsidRPr="007F5AAB" w:rsidRDefault="007F5AAB" w:rsidP="007F5AAB">
            <w:pPr>
              <w:spacing w:after="0" w:line="240" w:lineRule="auto"/>
              <w:rPr>
                <w:rFonts w:ascii="Times New Roman" w:hAnsi="Times New Roman" w:cs="Times New Roman"/>
                <w:color w:val="000000"/>
                <w:sz w:val="24"/>
                <w:szCs w:val="24"/>
              </w:rPr>
            </w:pPr>
            <w:r w:rsidRPr="007F5AAB">
              <w:rPr>
                <w:rFonts w:ascii="Times New Roman" w:hAnsi="Times New Roman" w:cs="Times New Roman"/>
                <w:color w:val="000000"/>
                <w:sz w:val="24"/>
                <w:szCs w:val="24"/>
              </w:rPr>
              <w:t>Програма  реформування  і розвитку житлово-комунального господарства Тернопільської міської територіальної громади</w:t>
            </w:r>
          </w:p>
        </w:tc>
        <w:tc>
          <w:tcPr>
            <w:tcW w:w="1843" w:type="dxa"/>
          </w:tcPr>
          <w:p w:rsidR="007F5AAB" w:rsidRPr="007F5AAB" w:rsidRDefault="007F5AAB" w:rsidP="007F5AAB">
            <w:pPr>
              <w:tabs>
                <w:tab w:val="left" w:pos="-6946"/>
              </w:tabs>
              <w:spacing w:after="0" w:line="240" w:lineRule="auto"/>
              <w:jc w:val="center"/>
              <w:rPr>
                <w:rFonts w:ascii="Times New Roman" w:hAnsi="Times New Roman" w:cs="Times New Roman"/>
                <w:sz w:val="24"/>
                <w:szCs w:val="24"/>
              </w:rPr>
            </w:pPr>
            <w:r w:rsidRPr="007F5AAB">
              <w:rPr>
                <w:rFonts w:ascii="Times New Roman" w:hAnsi="Times New Roman" w:cs="Times New Roman"/>
                <w:sz w:val="24"/>
                <w:szCs w:val="24"/>
              </w:rPr>
              <w:t>«Світло без ртуті»</w:t>
            </w:r>
          </w:p>
        </w:tc>
        <w:tc>
          <w:tcPr>
            <w:tcW w:w="1134"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 xml:space="preserve"> 3750,0 </w:t>
            </w:r>
          </w:p>
        </w:tc>
        <w:tc>
          <w:tcPr>
            <w:tcW w:w="1276"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8750,0</w:t>
            </w:r>
          </w:p>
        </w:tc>
        <w:tc>
          <w:tcPr>
            <w:tcW w:w="1276"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4381,1</w:t>
            </w:r>
          </w:p>
        </w:tc>
        <w:tc>
          <w:tcPr>
            <w:tcW w:w="1417" w:type="dxa"/>
            <w:gridSpan w:val="2"/>
          </w:tcPr>
          <w:p w:rsidR="007F5AAB" w:rsidRPr="007F5AAB" w:rsidRDefault="007F5AAB" w:rsidP="007F5AAB">
            <w:pPr>
              <w:spacing w:after="0" w:line="240" w:lineRule="auto"/>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3285,8</w:t>
            </w:r>
          </w:p>
        </w:tc>
      </w:tr>
    </w:tbl>
    <w:p w:rsidR="007F5AAB" w:rsidRPr="007F5AAB" w:rsidRDefault="007F5AAB" w:rsidP="007F5AAB">
      <w:pPr>
        <w:tabs>
          <w:tab w:val="left" w:pos="-6946"/>
        </w:tabs>
        <w:spacing w:after="0" w:line="240" w:lineRule="auto"/>
        <w:jc w:val="both"/>
        <w:rPr>
          <w:rFonts w:ascii="Times New Roman" w:hAnsi="Times New Roman" w:cs="Times New Roman"/>
          <w:b/>
          <w:sz w:val="24"/>
          <w:szCs w:val="24"/>
        </w:rPr>
      </w:pPr>
      <w:r w:rsidRPr="007F5AAB">
        <w:rPr>
          <w:rFonts w:ascii="Times New Roman" w:hAnsi="Times New Roman" w:cs="Times New Roman"/>
          <w:bCs/>
          <w:sz w:val="24"/>
          <w:szCs w:val="24"/>
        </w:rPr>
        <w:t xml:space="preserve">                   *Дані  попередні, будуть  уточнюватись  по мірі прийняття програм.</w:t>
      </w:r>
    </w:p>
    <w:p w:rsidR="007F5AAB" w:rsidRPr="007F5AAB" w:rsidRDefault="007F5AAB" w:rsidP="007F5AAB">
      <w:pPr>
        <w:spacing w:after="0" w:line="240" w:lineRule="auto"/>
        <w:jc w:val="center"/>
        <w:rPr>
          <w:rFonts w:ascii="Times New Roman" w:hAnsi="Times New Roman" w:cs="Times New Roman"/>
          <w:b/>
          <w:sz w:val="24"/>
          <w:szCs w:val="24"/>
        </w:rPr>
      </w:pPr>
    </w:p>
    <w:p w:rsidR="007F5AAB" w:rsidRPr="007F5AAB" w:rsidRDefault="007F5AAB" w:rsidP="007F5AAB">
      <w:pPr>
        <w:spacing w:after="0" w:line="240" w:lineRule="auto"/>
        <w:jc w:val="center"/>
        <w:rPr>
          <w:rFonts w:ascii="Times New Roman" w:hAnsi="Times New Roman" w:cs="Times New Roman"/>
          <w:sz w:val="24"/>
          <w:szCs w:val="24"/>
        </w:rPr>
      </w:pPr>
      <w:r w:rsidRPr="007F5AAB">
        <w:rPr>
          <w:rFonts w:ascii="Times New Roman" w:hAnsi="Times New Roman" w:cs="Times New Roman"/>
          <w:b/>
          <w:sz w:val="24"/>
          <w:szCs w:val="24"/>
        </w:rPr>
        <w:t>6. Управління місцевим боргом та ліквідністю бюджету</w:t>
      </w:r>
    </w:p>
    <w:p w:rsidR="007F5AAB" w:rsidRPr="007F5AAB" w:rsidRDefault="007F5AAB" w:rsidP="007F5AAB">
      <w:pPr>
        <w:spacing w:after="0" w:line="240" w:lineRule="auto"/>
        <w:ind w:firstLine="708"/>
        <w:jc w:val="both"/>
        <w:rPr>
          <w:rFonts w:ascii="Times New Roman" w:hAnsi="Times New Roman" w:cs="Times New Roman"/>
          <w:sz w:val="24"/>
          <w:szCs w:val="24"/>
        </w:rPr>
      </w:pP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Залучення фінансових ресурсів до бюджету зумовлене потребою в додаткових коштах на виконання ряду інвестиційних проектів в галузі </w:t>
      </w:r>
      <w:proofErr w:type="spellStart"/>
      <w:r w:rsidRPr="007F5AAB">
        <w:rPr>
          <w:rFonts w:ascii="Times New Roman" w:hAnsi="Times New Roman" w:cs="Times New Roman"/>
          <w:sz w:val="24"/>
          <w:szCs w:val="24"/>
        </w:rPr>
        <w:t>енергоефективності</w:t>
      </w:r>
      <w:proofErr w:type="spellEnd"/>
      <w:r w:rsidRPr="007F5AAB">
        <w:rPr>
          <w:rFonts w:ascii="Times New Roman" w:hAnsi="Times New Roman" w:cs="Times New Roman"/>
          <w:sz w:val="24"/>
          <w:szCs w:val="24"/>
        </w:rPr>
        <w:t xml:space="preserve"> та інших, термін реалізації яких припадає на найближчі роки.</w:t>
      </w:r>
    </w:p>
    <w:p w:rsidR="007F5AAB" w:rsidRPr="007F5AAB" w:rsidRDefault="007F5AAB" w:rsidP="007F5AAB">
      <w:pPr>
        <w:spacing w:before="120"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 xml:space="preserve"> Так, відповідно до рішення Тернопільської міської ради від 15 червня 2018 року № 7/25/18  «Про залучення кредиту НЕФКО для фінансування інвестиційного проекту «Реконструкція системи зовнішнього освітлення м. Тернополя «Світло без ртуті» ( із змінами та доповненнями) , з 2020 року міська рада  залучатиме кредитні кошти від Північної екологічної фінансової корпорації (НЕФКО) у сумі 12500,00 тис. гривень. Мета запозичення: фінансування впровадження заходів проекту «Реконструкція систем зовнішнього освітлення м. Тернополя «Світло без ртуті».</w:t>
      </w:r>
    </w:p>
    <w:p w:rsidR="007F5AAB" w:rsidRPr="007F5AAB" w:rsidRDefault="007F5AAB" w:rsidP="007F5AAB">
      <w:pPr>
        <w:spacing w:before="120" w:after="0" w:line="240" w:lineRule="auto"/>
        <w:ind w:firstLine="709"/>
        <w:jc w:val="both"/>
        <w:rPr>
          <w:rFonts w:ascii="Times New Roman" w:hAnsi="Times New Roman" w:cs="Times New Roman"/>
          <w:sz w:val="24"/>
          <w:szCs w:val="24"/>
        </w:rPr>
      </w:pPr>
      <w:r w:rsidRPr="007F5AAB">
        <w:rPr>
          <w:rFonts w:ascii="Times New Roman" w:hAnsi="Times New Roman" w:cs="Times New Roman"/>
          <w:sz w:val="24"/>
          <w:szCs w:val="24"/>
        </w:rPr>
        <w:t xml:space="preserve">Крім того, відповідно до рішення Тернопільської міської ради від 15 червня 2018 року № 7/25/20  «Про здійснення запозичення для фінансування проекту «Глибока </w:t>
      </w:r>
      <w:proofErr w:type="spellStart"/>
      <w:r w:rsidRPr="007F5AAB">
        <w:rPr>
          <w:rFonts w:ascii="Times New Roman" w:hAnsi="Times New Roman" w:cs="Times New Roman"/>
          <w:sz w:val="24"/>
          <w:szCs w:val="24"/>
        </w:rPr>
        <w:t>термомодернізація</w:t>
      </w:r>
      <w:proofErr w:type="spellEnd"/>
      <w:r w:rsidRPr="007F5AAB">
        <w:rPr>
          <w:rFonts w:ascii="Times New Roman" w:hAnsi="Times New Roman" w:cs="Times New Roman"/>
          <w:sz w:val="24"/>
          <w:szCs w:val="24"/>
        </w:rPr>
        <w:t xml:space="preserve"> будівель закладів освіти м. Тернополя» (із змінами та доповненнями),  міська рада залучатиме кредитні кошти від Європейського інвестиційного банку, загальна сума кредиту 25408,35 </w:t>
      </w:r>
      <w:proofErr w:type="spellStart"/>
      <w:r w:rsidRPr="007F5AAB">
        <w:rPr>
          <w:rFonts w:ascii="Times New Roman" w:hAnsi="Times New Roman" w:cs="Times New Roman"/>
          <w:sz w:val="24"/>
          <w:szCs w:val="24"/>
        </w:rPr>
        <w:t>тис.євро</w:t>
      </w:r>
      <w:proofErr w:type="spellEnd"/>
      <w:r w:rsidRPr="007F5AAB">
        <w:rPr>
          <w:rFonts w:ascii="Times New Roman" w:hAnsi="Times New Roman" w:cs="Times New Roman"/>
          <w:sz w:val="24"/>
          <w:szCs w:val="24"/>
        </w:rPr>
        <w:t>.</w:t>
      </w: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 xml:space="preserve">Мета запозичення: впровадження заходів проекту «Глибока </w:t>
      </w:r>
      <w:proofErr w:type="spellStart"/>
      <w:r w:rsidRPr="007F5AAB">
        <w:rPr>
          <w:rFonts w:ascii="Times New Roman" w:hAnsi="Times New Roman" w:cs="Times New Roman"/>
          <w:sz w:val="24"/>
          <w:szCs w:val="24"/>
        </w:rPr>
        <w:t>термомодернізація</w:t>
      </w:r>
      <w:proofErr w:type="spellEnd"/>
      <w:r w:rsidRPr="007F5AAB">
        <w:rPr>
          <w:rFonts w:ascii="Times New Roman" w:hAnsi="Times New Roman" w:cs="Times New Roman"/>
          <w:sz w:val="24"/>
          <w:szCs w:val="24"/>
        </w:rPr>
        <w:t xml:space="preserve"> будівель закладів освіти міста Тернополя».          </w:t>
      </w:r>
    </w:p>
    <w:p w:rsidR="007F5AAB" w:rsidRPr="007F5AAB" w:rsidRDefault="007F5AAB" w:rsidP="007F5AAB">
      <w:pPr>
        <w:pStyle w:val="a5"/>
        <w:ind w:firstLine="709"/>
        <w:jc w:val="both"/>
      </w:pPr>
      <w:r w:rsidRPr="007F5AAB">
        <w:t xml:space="preserve">  За попередніми даними, сума надходжень кредитних коштів у 2022-2023 роках  складе : </w:t>
      </w:r>
    </w:p>
    <w:p w:rsidR="007F5AAB" w:rsidRPr="007F5AAB" w:rsidRDefault="007F5AAB" w:rsidP="007F5AAB">
      <w:pPr>
        <w:pStyle w:val="a5"/>
        <w:ind w:firstLine="709"/>
        <w:jc w:val="both"/>
      </w:pPr>
      <w:r w:rsidRPr="007F5AAB">
        <w:rPr>
          <w:b/>
        </w:rPr>
        <w:t>1. За проектом</w:t>
      </w:r>
      <w:r w:rsidRPr="007F5AAB">
        <w:t xml:space="preserve"> </w:t>
      </w:r>
      <w:r w:rsidRPr="007F5AAB">
        <w:rPr>
          <w:b/>
        </w:rPr>
        <w:t>«Світло без ртуті» - кредит НЕФКО ( надається у гривнях)</w:t>
      </w:r>
      <w:r w:rsidRPr="007F5AAB">
        <w:t>:</w:t>
      </w:r>
    </w:p>
    <w:p w:rsidR="007F5AAB" w:rsidRPr="007F5AAB" w:rsidRDefault="007F5AAB" w:rsidP="007F5AAB">
      <w:pPr>
        <w:pStyle w:val="a5"/>
        <w:ind w:firstLine="709"/>
        <w:jc w:val="both"/>
      </w:pPr>
      <w:r w:rsidRPr="007F5AAB">
        <w:t xml:space="preserve">- у 2022 році - 4381,1 </w:t>
      </w:r>
      <w:proofErr w:type="spellStart"/>
      <w:r w:rsidRPr="007F5AAB">
        <w:t>тис.грн</w:t>
      </w:r>
      <w:proofErr w:type="spellEnd"/>
      <w:r w:rsidRPr="007F5AAB">
        <w:t>;</w:t>
      </w:r>
    </w:p>
    <w:p w:rsidR="007F5AAB" w:rsidRPr="007F5AAB" w:rsidRDefault="007F5AAB" w:rsidP="007F5AAB">
      <w:pPr>
        <w:pStyle w:val="a5"/>
        <w:ind w:firstLine="709"/>
        <w:jc w:val="both"/>
      </w:pPr>
      <w:r w:rsidRPr="007F5AAB">
        <w:lastRenderedPageBreak/>
        <w:t xml:space="preserve">- у 2023 році – 3 285,8 </w:t>
      </w:r>
      <w:proofErr w:type="spellStart"/>
      <w:r w:rsidRPr="007F5AAB">
        <w:t>тис.грн</w:t>
      </w:r>
      <w:proofErr w:type="spellEnd"/>
    </w:p>
    <w:p w:rsidR="007F5AAB" w:rsidRPr="007F5AAB" w:rsidRDefault="007F5AAB" w:rsidP="007F5AAB">
      <w:pPr>
        <w:pStyle w:val="a5"/>
        <w:ind w:firstLine="709"/>
        <w:jc w:val="both"/>
        <w:rPr>
          <w:b/>
          <w:iCs/>
          <w:lang w:eastAsia="uk-UA"/>
        </w:rPr>
      </w:pPr>
      <w:r w:rsidRPr="007F5AAB">
        <w:t>2. За проектом «</w:t>
      </w:r>
      <w:r w:rsidRPr="007F5AAB">
        <w:rPr>
          <w:b/>
          <w:iCs/>
          <w:lang w:eastAsia="uk-UA"/>
        </w:rPr>
        <w:t xml:space="preserve">Глибока </w:t>
      </w:r>
      <w:proofErr w:type="spellStart"/>
      <w:r w:rsidRPr="007F5AAB">
        <w:rPr>
          <w:b/>
          <w:iCs/>
          <w:lang w:eastAsia="uk-UA"/>
        </w:rPr>
        <w:t>термомодернізація</w:t>
      </w:r>
      <w:proofErr w:type="spellEnd"/>
      <w:r w:rsidRPr="007F5AAB">
        <w:rPr>
          <w:b/>
          <w:iCs/>
          <w:lang w:eastAsia="uk-UA"/>
        </w:rPr>
        <w:t xml:space="preserve">  будівель закладів освіти м. Тернополя ”-</w:t>
      </w:r>
      <w:r w:rsidRPr="007F5AAB">
        <w:rPr>
          <w:iCs/>
          <w:lang w:eastAsia="uk-UA"/>
        </w:rPr>
        <w:t xml:space="preserve"> </w:t>
      </w:r>
      <w:r w:rsidRPr="007F5AAB">
        <w:rPr>
          <w:b/>
          <w:iCs/>
          <w:lang w:eastAsia="uk-UA"/>
        </w:rPr>
        <w:t>кредит Міністерства фінансів України (кошти ЄІБ) ( за умовним курсом євро на два найближчих роки  37,0 та 39,0 ):</w:t>
      </w:r>
    </w:p>
    <w:p w:rsidR="007F5AAB" w:rsidRPr="007F5AAB" w:rsidRDefault="007F5AAB" w:rsidP="007F5AAB">
      <w:pPr>
        <w:pStyle w:val="a5"/>
        <w:ind w:firstLine="709"/>
        <w:jc w:val="both"/>
      </w:pPr>
      <w:r w:rsidRPr="007F5AAB">
        <w:t xml:space="preserve"> - у 2022 році -  262 333,3 </w:t>
      </w:r>
      <w:proofErr w:type="spellStart"/>
      <w:r w:rsidRPr="007F5AAB">
        <w:t>тис.грн</w:t>
      </w:r>
      <w:proofErr w:type="spellEnd"/>
      <w:r w:rsidRPr="007F5AAB">
        <w:t>;</w:t>
      </w:r>
    </w:p>
    <w:p w:rsidR="007F5AAB" w:rsidRPr="007F5AAB" w:rsidRDefault="007F5AAB" w:rsidP="007F5AAB">
      <w:pPr>
        <w:pStyle w:val="a5"/>
        <w:ind w:firstLine="709"/>
        <w:jc w:val="both"/>
      </w:pPr>
      <w:r w:rsidRPr="007F5AAB">
        <w:t xml:space="preserve">- у 2023 році – 277 532,7 </w:t>
      </w:r>
      <w:proofErr w:type="spellStart"/>
      <w:r w:rsidRPr="007F5AAB">
        <w:t>тис.грн</w:t>
      </w:r>
      <w:proofErr w:type="spellEnd"/>
      <w:r w:rsidRPr="007F5AAB">
        <w:t>.</w:t>
      </w:r>
    </w:p>
    <w:p w:rsidR="007F5AAB" w:rsidRPr="007F5AAB" w:rsidRDefault="007F5AAB" w:rsidP="007F5AAB">
      <w:pPr>
        <w:pStyle w:val="a5"/>
        <w:jc w:val="both"/>
      </w:pPr>
      <w:r w:rsidRPr="007F5AAB">
        <w:t xml:space="preserve">Загальна сума кредитних коштів, що прогнозується залучити до бюджету, становитиме : у 2022 році – 266714,4, у 2023 році – 280818,5 </w:t>
      </w:r>
      <w:proofErr w:type="spellStart"/>
      <w:r w:rsidRPr="007F5AAB">
        <w:t>тис.грн</w:t>
      </w:r>
      <w:proofErr w:type="spellEnd"/>
      <w:r w:rsidRPr="007F5AAB">
        <w:t xml:space="preserve">. </w:t>
      </w:r>
    </w:p>
    <w:p w:rsidR="007F5AAB" w:rsidRPr="007F5AAB" w:rsidRDefault="007F5AAB" w:rsidP="007F5AAB">
      <w:pPr>
        <w:pStyle w:val="a5"/>
        <w:ind w:firstLine="0"/>
        <w:jc w:val="both"/>
        <w:rPr>
          <w:bCs/>
          <w:lang w:eastAsia="uk-UA"/>
        </w:rPr>
      </w:pPr>
      <w:r w:rsidRPr="007F5AAB">
        <w:t xml:space="preserve">       Враховуючи наявний борг, а також прогнозоване  погашення тіла кредиту, яке відбуватиметься у 2022-2023 роках, показники </w:t>
      </w:r>
      <w:r w:rsidRPr="007F5AAB">
        <w:rPr>
          <w:b/>
        </w:rPr>
        <w:t>прямого боргу</w:t>
      </w:r>
      <w:r w:rsidRPr="007F5AAB">
        <w:t xml:space="preserve"> бюджету громади  очікуються у наступних  обсягах:</w:t>
      </w:r>
      <w:r w:rsidRPr="007F5AAB">
        <w:rPr>
          <w:bCs/>
          <w:lang w:eastAsia="uk-UA"/>
        </w:rPr>
        <w:t xml:space="preserve">       </w:t>
      </w:r>
      <w:r w:rsidRPr="007F5AAB">
        <w:rPr>
          <w:b/>
          <w:bCs/>
          <w:lang w:eastAsia="uk-UA"/>
        </w:rPr>
        <w:t xml:space="preserve"> </w:t>
      </w:r>
    </w:p>
    <w:p w:rsidR="007F5AAB" w:rsidRPr="007F5AAB" w:rsidRDefault="007F5AAB" w:rsidP="007F5AAB">
      <w:pPr>
        <w:spacing w:after="0" w:line="240" w:lineRule="auto"/>
        <w:ind w:firstLine="708"/>
        <w:jc w:val="both"/>
        <w:rPr>
          <w:rFonts w:ascii="Times New Roman" w:hAnsi="Times New Roman" w:cs="Times New Roman"/>
          <w:sz w:val="24"/>
          <w:szCs w:val="24"/>
        </w:rPr>
      </w:pPr>
      <w:r w:rsidRPr="007F5AAB">
        <w:rPr>
          <w:rFonts w:ascii="Times New Roman" w:hAnsi="Times New Roman" w:cs="Times New Roman"/>
          <w:sz w:val="24"/>
          <w:szCs w:val="24"/>
        </w:rPr>
        <w:tab/>
        <w:t>1). За проектом</w:t>
      </w: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 Світло без ртуті» - кредит НЕФКО :</w:t>
      </w:r>
    </w:p>
    <w:p w:rsidR="007F5AAB" w:rsidRPr="007F5AAB" w:rsidRDefault="007F5AAB" w:rsidP="007F5AAB">
      <w:pPr>
        <w:spacing w:after="0" w:line="240" w:lineRule="auto"/>
        <w:ind w:firstLine="708"/>
        <w:jc w:val="both"/>
        <w:rPr>
          <w:rFonts w:ascii="Times New Roman" w:eastAsia="Times New Roman" w:hAnsi="Times New Roman" w:cs="Times New Roman"/>
          <w:sz w:val="24"/>
          <w:szCs w:val="24"/>
          <w:lang w:eastAsia="ru-RU"/>
        </w:rPr>
      </w:pPr>
      <w:r w:rsidRPr="007F5AAB">
        <w:rPr>
          <w:rFonts w:ascii="Times New Roman" w:hAnsi="Times New Roman" w:cs="Times New Roman"/>
          <w:sz w:val="24"/>
          <w:szCs w:val="24"/>
        </w:rPr>
        <w:t>Станом на 31.12.22року</w:t>
      </w:r>
      <w:r w:rsidRPr="007F5AAB">
        <w:rPr>
          <w:rFonts w:ascii="Times New Roman" w:hAnsi="Times New Roman" w:cs="Times New Roman"/>
          <w:b/>
          <w:sz w:val="24"/>
          <w:szCs w:val="24"/>
        </w:rPr>
        <w:t xml:space="preserve"> </w:t>
      </w:r>
      <w:r w:rsidRPr="007F5AAB">
        <w:rPr>
          <w:rFonts w:ascii="Times New Roman" w:eastAsia="Times New Roman" w:hAnsi="Times New Roman" w:cs="Times New Roman"/>
          <w:sz w:val="24"/>
          <w:szCs w:val="24"/>
          <w:lang w:eastAsia="ru-RU"/>
        </w:rPr>
        <w:t xml:space="preserve">- 3 285,8 </w:t>
      </w:r>
      <w:proofErr w:type="spellStart"/>
      <w:r w:rsidRPr="007F5AAB">
        <w:rPr>
          <w:rFonts w:ascii="Times New Roman" w:eastAsia="Times New Roman" w:hAnsi="Times New Roman" w:cs="Times New Roman"/>
          <w:sz w:val="24"/>
          <w:szCs w:val="24"/>
          <w:lang w:eastAsia="ru-RU"/>
        </w:rPr>
        <w:t>тис.грн</w:t>
      </w:r>
      <w:proofErr w:type="spellEnd"/>
      <w:r w:rsidRPr="007F5AAB">
        <w:rPr>
          <w:rFonts w:ascii="Times New Roman" w:eastAsia="Times New Roman" w:hAnsi="Times New Roman" w:cs="Times New Roman"/>
          <w:sz w:val="24"/>
          <w:szCs w:val="24"/>
          <w:lang w:eastAsia="ru-RU"/>
        </w:rPr>
        <w:t xml:space="preserve">, на 31.12.23 року – 0,0 </w:t>
      </w:r>
      <w:proofErr w:type="spellStart"/>
      <w:r w:rsidRPr="007F5AAB">
        <w:rPr>
          <w:rFonts w:ascii="Times New Roman" w:eastAsia="Times New Roman" w:hAnsi="Times New Roman" w:cs="Times New Roman"/>
          <w:sz w:val="24"/>
          <w:szCs w:val="24"/>
          <w:lang w:eastAsia="ru-RU"/>
        </w:rPr>
        <w:t>тис.грн</w:t>
      </w:r>
      <w:proofErr w:type="spellEnd"/>
      <w:r w:rsidRPr="007F5AAB">
        <w:rPr>
          <w:rFonts w:ascii="Times New Roman" w:eastAsia="Times New Roman" w:hAnsi="Times New Roman" w:cs="Times New Roman"/>
          <w:sz w:val="24"/>
          <w:szCs w:val="24"/>
          <w:lang w:eastAsia="ru-RU"/>
        </w:rPr>
        <w:t xml:space="preserve"> ( оскільки «тіло» кредиту буде погашено  у 2023 році).</w:t>
      </w:r>
    </w:p>
    <w:p w:rsidR="007F5AAB" w:rsidRPr="007F5AAB" w:rsidRDefault="007F5AAB" w:rsidP="007F5AAB">
      <w:pPr>
        <w:spacing w:after="0" w:line="240" w:lineRule="auto"/>
        <w:ind w:firstLine="708"/>
        <w:jc w:val="both"/>
        <w:rPr>
          <w:rFonts w:ascii="Times New Roman" w:hAnsi="Times New Roman" w:cs="Times New Roman"/>
          <w:i/>
          <w:sz w:val="24"/>
          <w:szCs w:val="24"/>
        </w:rPr>
      </w:pPr>
    </w:p>
    <w:p w:rsidR="007F5AAB" w:rsidRPr="007F5AAB" w:rsidRDefault="007F5AAB" w:rsidP="007F5AAB">
      <w:pPr>
        <w:spacing w:after="0" w:line="240" w:lineRule="auto"/>
        <w:ind w:left="284"/>
        <w:jc w:val="both"/>
        <w:rPr>
          <w:rFonts w:ascii="Times New Roman" w:hAnsi="Times New Roman" w:cs="Times New Roman"/>
          <w:iCs/>
          <w:sz w:val="24"/>
          <w:szCs w:val="24"/>
        </w:rPr>
      </w:pPr>
      <w:r w:rsidRPr="007F5AAB">
        <w:rPr>
          <w:rFonts w:ascii="Times New Roman" w:hAnsi="Times New Roman" w:cs="Times New Roman"/>
          <w:iCs/>
          <w:sz w:val="24"/>
          <w:szCs w:val="24"/>
        </w:rPr>
        <w:t xml:space="preserve">            2). За </w:t>
      </w:r>
      <w:proofErr w:type="spellStart"/>
      <w:r w:rsidRPr="007F5AAB">
        <w:rPr>
          <w:rFonts w:ascii="Times New Roman" w:hAnsi="Times New Roman" w:cs="Times New Roman"/>
          <w:iCs/>
          <w:sz w:val="24"/>
          <w:szCs w:val="24"/>
        </w:rPr>
        <w:t>проєктом</w:t>
      </w:r>
      <w:proofErr w:type="spellEnd"/>
      <w:r w:rsidRPr="007F5AAB">
        <w:rPr>
          <w:rFonts w:ascii="Times New Roman" w:hAnsi="Times New Roman" w:cs="Times New Roman"/>
          <w:iCs/>
          <w:sz w:val="24"/>
          <w:szCs w:val="24"/>
        </w:rPr>
        <w:t xml:space="preserve"> «Глибока </w:t>
      </w:r>
      <w:proofErr w:type="spellStart"/>
      <w:r w:rsidRPr="007F5AAB">
        <w:rPr>
          <w:rFonts w:ascii="Times New Roman" w:hAnsi="Times New Roman" w:cs="Times New Roman"/>
          <w:iCs/>
          <w:sz w:val="24"/>
          <w:szCs w:val="24"/>
        </w:rPr>
        <w:t>термомодернізація</w:t>
      </w:r>
      <w:proofErr w:type="spellEnd"/>
      <w:r w:rsidRPr="007F5AAB">
        <w:rPr>
          <w:rFonts w:ascii="Times New Roman" w:hAnsi="Times New Roman" w:cs="Times New Roman"/>
          <w:iCs/>
          <w:sz w:val="24"/>
          <w:szCs w:val="24"/>
        </w:rPr>
        <w:t xml:space="preserve">  будівель закладів освіти м. Тернополя ”-  кредит Міністерства фінансів України (кошти ЄІБ):</w:t>
      </w:r>
    </w:p>
    <w:p w:rsidR="007F5AAB" w:rsidRPr="007F5AAB" w:rsidRDefault="007F5AAB" w:rsidP="007F5AAB">
      <w:pPr>
        <w:spacing w:after="0" w:line="240" w:lineRule="auto"/>
        <w:ind w:left="284"/>
        <w:jc w:val="both"/>
        <w:rPr>
          <w:rFonts w:ascii="Times New Roman" w:hAnsi="Times New Roman" w:cs="Times New Roman"/>
          <w:iCs/>
          <w:sz w:val="24"/>
          <w:szCs w:val="24"/>
        </w:rPr>
      </w:pPr>
    </w:p>
    <w:p w:rsidR="007F5AAB" w:rsidRPr="007F5AAB" w:rsidRDefault="007F5AAB" w:rsidP="007F5AAB">
      <w:pPr>
        <w:spacing w:after="0" w:line="240" w:lineRule="auto"/>
        <w:ind w:firstLine="708"/>
        <w:jc w:val="both"/>
        <w:rPr>
          <w:rFonts w:ascii="Times New Roman" w:eastAsia="Times New Roman" w:hAnsi="Times New Roman" w:cs="Times New Roman"/>
          <w:sz w:val="24"/>
          <w:szCs w:val="24"/>
          <w:lang w:eastAsia="ru-RU"/>
        </w:rPr>
      </w:pPr>
      <w:r w:rsidRPr="007F5AAB">
        <w:rPr>
          <w:rFonts w:ascii="Times New Roman" w:hAnsi="Times New Roman" w:cs="Times New Roman"/>
          <w:sz w:val="24"/>
          <w:szCs w:val="24"/>
        </w:rPr>
        <w:t xml:space="preserve">Станом на 31.12.22 року </w:t>
      </w:r>
      <w:r w:rsidRPr="007F5AAB">
        <w:rPr>
          <w:rFonts w:ascii="Times New Roman" w:eastAsia="Times New Roman" w:hAnsi="Times New Roman" w:cs="Times New Roman"/>
          <w:sz w:val="24"/>
          <w:szCs w:val="24"/>
          <w:lang w:eastAsia="ru-RU"/>
        </w:rPr>
        <w:t xml:space="preserve">– 14  096,3тис.євро,  на 31.12.23 року – 21146,1 </w:t>
      </w:r>
      <w:proofErr w:type="spellStart"/>
      <w:r w:rsidRPr="007F5AAB">
        <w:rPr>
          <w:rFonts w:ascii="Times New Roman" w:eastAsia="Times New Roman" w:hAnsi="Times New Roman" w:cs="Times New Roman"/>
          <w:sz w:val="24"/>
          <w:szCs w:val="24"/>
          <w:lang w:eastAsia="ru-RU"/>
        </w:rPr>
        <w:t>тис.євро</w:t>
      </w:r>
      <w:proofErr w:type="spellEnd"/>
      <w:r w:rsidRPr="007F5AAB">
        <w:rPr>
          <w:rFonts w:ascii="Times New Roman" w:eastAsia="Times New Roman" w:hAnsi="Times New Roman" w:cs="Times New Roman"/>
          <w:sz w:val="24"/>
          <w:szCs w:val="24"/>
          <w:lang w:eastAsia="ru-RU"/>
        </w:rPr>
        <w:t xml:space="preserve"> або 521563,1 та 824 697,9 </w:t>
      </w:r>
      <w:proofErr w:type="spellStart"/>
      <w:r w:rsidRPr="007F5AAB">
        <w:rPr>
          <w:rFonts w:ascii="Times New Roman" w:eastAsia="Times New Roman" w:hAnsi="Times New Roman" w:cs="Times New Roman"/>
          <w:sz w:val="24"/>
          <w:szCs w:val="24"/>
          <w:lang w:eastAsia="ru-RU"/>
        </w:rPr>
        <w:t>тис.грн</w:t>
      </w:r>
      <w:proofErr w:type="spellEnd"/>
      <w:r w:rsidRPr="007F5AAB">
        <w:rPr>
          <w:rFonts w:ascii="Times New Roman" w:eastAsia="Times New Roman" w:hAnsi="Times New Roman" w:cs="Times New Roman"/>
          <w:sz w:val="24"/>
          <w:szCs w:val="24"/>
          <w:lang w:eastAsia="ru-RU"/>
        </w:rPr>
        <w:t xml:space="preserve"> відповідно ( за умовним курсом). </w:t>
      </w:r>
    </w:p>
    <w:p w:rsidR="007F5AAB" w:rsidRPr="007F5AAB" w:rsidRDefault="007F5AAB" w:rsidP="007F5AAB">
      <w:pPr>
        <w:spacing w:after="0" w:line="240" w:lineRule="auto"/>
        <w:jc w:val="both"/>
        <w:rPr>
          <w:rFonts w:ascii="Times New Roman" w:hAnsi="Times New Roman" w:cs="Times New Roman"/>
          <w:iCs/>
          <w:sz w:val="24"/>
          <w:szCs w:val="24"/>
        </w:rPr>
      </w:pPr>
    </w:p>
    <w:p w:rsidR="007F5AAB" w:rsidRPr="007F5AAB" w:rsidRDefault="007F5AAB" w:rsidP="007F5AAB">
      <w:pPr>
        <w:spacing w:after="0" w:line="240" w:lineRule="auto"/>
        <w:jc w:val="both"/>
        <w:rPr>
          <w:rFonts w:ascii="Times New Roman" w:hAnsi="Times New Roman" w:cs="Times New Roman"/>
          <w:iCs/>
          <w:sz w:val="24"/>
          <w:szCs w:val="24"/>
        </w:rPr>
      </w:pPr>
      <w:r w:rsidRPr="007F5AAB">
        <w:rPr>
          <w:rFonts w:ascii="Times New Roman" w:hAnsi="Times New Roman" w:cs="Times New Roman"/>
          <w:iCs/>
          <w:sz w:val="24"/>
          <w:szCs w:val="24"/>
        </w:rPr>
        <w:t xml:space="preserve">        В цілому прогнозні </w:t>
      </w:r>
      <w:r w:rsidRPr="007F5AAB">
        <w:rPr>
          <w:rFonts w:ascii="Times New Roman" w:hAnsi="Times New Roman" w:cs="Times New Roman"/>
          <w:b/>
          <w:iCs/>
          <w:sz w:val="24"/>
          <w:szCs w:val="24"/>
        </w:rPr>
        <w:t>показники місцевого (прямого) боргу</w:t>
      </w:r>
      <w:r w:rsidRPr="007F5AAB">
        <w:rPr>
          <w:rFonts w:ascii="Times New Roman" w:hAnsi="Times New Roman" w:cs="Times New Roman"/>
          <w:iCs/>
          <w:sz w:val="24"/>
          <w:szCs w:val="24"/>
        </w:rPr>
        <w:t xml:space="preserve"> умовно становитимуть: </w:t>
      </w:r>
    </w:p>
    <w:p w:rsidR="007F5AAB" w:rsidRPr="007F5AAB" w:rsidRDefault="007F5AAB" w:rsidP="007F5AAB">
      <w:pPr>
        <w:spacing w:after="0" w:line="240" w:lineRule="auto"/>
        <w:ind w:left="720"/>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2022 року  - 524 848,9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w:t>
      </w:r>
    </w:p>
    <w:p w:rsidR="007F5AAB" w:rsidRPr="007F5AAB" w:rsidRDefault="007F5AAB" w:rsidP="007F5AAB">
      <w:pPr>
        <w:spacing w:after="0" w:line="240" w:lineRule="auto"/>
        <w:ind w:left="720"/>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2023 року  -  824 697,9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 xml:space="preserve">.  </w:t>
      </w:r>
    </w:p>
    <w:p w:rsidR="007F5AAB" w:rsidRPr="007F5AAB" w:rsidRDefault="007F5AAB" w:rsidP="007F5AAB">
      <w:pPr>
        <w:spacing w:after="0" w:line="240" w:lineRule="auto"/>
        <w:ind w:left="720"/>
        <w:jc w:val="both"/>
        <w:rPr>
          <w:rFonts w:ascii="Times New Roman" w:hAnsi="Times New Roman" w:cs="Times New Roman"/>
          <w:i/>
          <w:sz w:val="24"/>
          <w:szCs w:val="24"/>
        </w:rPr>
      </w:pPr>
      <w:r w:rsidRPr="007F5AAB">
        <w:rPr>
          <w:rFonts w:ascii="Times New Roman" w:hAnsi="Times New Roman" w:cs="Times New Roman"/>
          <w:iCs/>
          <w:sz w:val="24"/>
          <w:szCs w:val="24"/>
        </w:rPr>
        <w:t xml:space="preserve">   </w:t>
      </w:r>
      <w:r w:rsidRPr="007F5AAB">
        <w:rPr>
          <w:rFonts w:ascii="Times New Roman" w:hAnsi="Times New Roman" w:cs="Times New Roman"/>
          <w:bCs/>
          <w:sz w:val="24"/>
          <w:szCs w:val="24"/>
        </w:rPr>
        <w:t xml:space="preserve">       </w:t>
      </w:r>
    </w:p>
    <w:p w:rsidR="007F5AAB" w:rsidRPr="007F5AAB" w:rsidRDefault="007F5AAB" w:rsidP="007F5AAB">
      <w:pPr>
        <w:pStyle w:val="a3"/>
        <w:ind w:left="0"/>
        <w:jc w:val="both"/>
        <w:rPr>
          <w:bCs/>
          <w:szCs w:val="24"/>
          <w:lang w:val="uk-UA" w:eastAsia="uk-UA"/>
        </w:rPr>
      </w:pPr>
      <w:r w:rsidRPr="007F5AAB">
        <w:rPr>
          <w:bCs/>
          <w:szCs w:val="24"/>
          <w:lang w:val="uk-UA" w:eastAsia="uk-UA"/>
        </w:rPr>
        <w:t xml:space="preserve">       Крім того, на сьогодні  Тернопільська міська рада виступає гарантом по трьох кредитах міжнародних банків, а саме :</w:t>
      </w:r>
    </w:p>
    <w:p w:rsidR="007F5AAB" w:rsidRPr="007F5AAB" w:rsidRDefault="007F5AAB" w:rsidP="007F5AAB">
      <w:pPr>
        <w:pStyle w:val="a3"/>
        <w:numPr>
          <w:ilvl w:val="0"/>
          <w:numId w:val="14"/>
        </w:numPr>
        <w:ind w:left="0"/>
        <w:jc w:val="both"/>
        <w:rPr>
          <w:bCs/>
          <w:szCs w:val="24"/>
          <w:lang w:val="uk-UA" w:eastAsia="uk-UA"/>
        </w:rPr>
      </w:pPr>
      <w:r w:rsidRPr="007F5AAB">
        <w:rPr>
          <w:bCs/>
          <w:szCs w:val="24"/>
          <w:lang w:val="uk-UA" w:eastAsia="uk-UA"/>
        </w:rPr>
        <w:t xml:space="preserve">  </w:t>
      </w:r>
      <w:proofErr w:type="spellStart"/>
      <w:r w:rsidRPr="007F5AAB">
        <w:rPr>
          <w:b/>
          <w:bCs/>
          <w:szCs w:val="24"/>
          <w:lang w:val="uk-UA" w:eastAsia="uk-UA"/>
        </w:rPr>
        <w:t>КП</w:t>
      </w:r>
      <w:proofErr w:type="spellEnd"/>
      <w:r w:rsidRPr="007F5AAB">
        <w:rPr>
          <w:b/>
          <w:bCs/>
          <w:szCs w:val="24"/>
          <w:lang w:val="uk-UA" w:eastAsia="uk-UA"/>
        </w:rPr>
        <w:t xml:space="preserve"> «</w:t>
      </w:r>
      <w:proofErr w:type="spellStart"/>
      <w:r w:rsidRPr="007F5AAB">
        <w:rPr>
          <w:b/>
          <w:bCs/>
          <w:szCs w:val="24"/>
          <w:lang w:val="uk-UA" w:eastAsia="uk-UA"/>
        </w:rPr>
        <w:t>Тернопільміськтеплокомуненерго</w:t>
      </w:r>
      <w:proofErr w:type="spellEnd"/>
      <w:r w:rsidRPr="007F5AAB">
        <w:rPr>
          <w:bCs/>
          <w:szCs w:val="24"/>
          <w:lang w:val="uk-UA" w:eastAsia="uk-UA"/>
        </w:rPr>
        <w:t xml:space="preserve">» -  за  кредитною угодою </w:t>
      </w:r>
      <w:r w:rsidRPr="007F5AAB">
        <w:rPr>
          <w:b/>
          <w:bCs/>
          <w:szCs w:val="24"/>
          <w:lang w:val="uk-UA" w:eastAsia="uk-UA"/>
        </w:rPr>
        <w:t xml:space="preserve">ЄБРР </w:t>
      </w:r>
      <w:r w:rsidRPr="007F5AAB">
        <w:rPr>
          <w:bCs/>
          <w:szCs w:val="24"/>
          <w:lang w:val="uk-UA" w:eastAsia="uk-UA"/>
        </w:rPr>
        <w:t xml:space="preserve">(кредитний договір від 28.09.2012р. із внесеними змінами від 16.02.2018р.)  для реалізації  </w:t>
      </w:r>
      <w:proofErr w:type="spellStart"/>
      <w:r w:rsidRPr="007F5AAB">
        <w:rPr>
          <w:bCs/>
          <w:szCs w:val="24"/>
          <w:lang w:val="uk-UA" w:eastAsia="uk-UA"/>
        </w:rPr>
        <w:t>проєкту</w:t>
      </w:r>
      <w:proofErr w:type="spellEnd"/>
      <w:r w:rsidRPr="007F5AAB">
        <w:rPr>
          <w:bCs/>
          <w:szCs w:val="24"/>
          <w:lang w:val="uk-UA" w:eastAsia="uk-UA"/>
        </w:rPr>
        <w:t xml:space="preserve">  «Модернізація системи теплопостачання м. Тернопіль» в сумі 10 000,0 </w:t>
      </w:r>
      <w:proofErr w:type="spellStart"/>
      <w:r w:rsidRPr="007F5AAB">
        <w:rPr>
          <w:bCs/>
          <w:szCs w:val="24"/>
          <w:lang w:val="uk-UA" w:eastAsia="uk-UA"/>
        </w:rPr>
        <w:t>єврота</w:t>
      </w:r>
      <w:proofErr w:type="spellEnd"/>
      <w:r w:rsidRPr="007F5AAB">
        <w:rPr>
          <w:bCs/>
          <w:szCs w:val="24"/>
          <w:lang w:val="uk-UA" w:eastAsia="uk-UA"/>
        </w:rPr>
        <w:t xml:space="preserve"> за  кредитною угодою </w:t>
      </w:r>
      <w:r w:rsidRPr="007F5AAB">
        <w:rPr>
          <w:b/>
          <w:bCs/>
          <w:szCs w:val="24"/>
          <w:lang w:val="uk-UA" w:eastAsia="uk-UA"/>
        </w:rPr>
        <w:t>НЕФКО</w:t>
      </w:r>
      <w:r w:rsidRPr="007F5AAB">
        <w:rPr>
          <w:bCs/>
          <w:szCs w:val="24"/>
          <w:lang w:val="uk-UA" w:eastAsia="uk-UA"/>
        </w:rPr>
        <w:t xml:space="preserve"> (кредитний договір від 21.12.2016р.) в сумі до 355,0 тис. євро  для реалізації  </w:t>
      </w:r>
      <w:proofErr w:type="spellStart"/>
      <w:r w:rsidRPr="007F5AAB">
        <w:rPr>
          <w:bCs/>
          <w:szCs w:val="24"/>
          <w:lang w:val="uk-UA" w:eastAsia="uk-UA"/>
        </w:rPr>
        <w:t>проєкту</w:t>
      </w:r>
      <w:proofErr w:type="spellEnd"/>
      <w:r w:rsidRPr="007F5AAB">
        <w:rPr>
          <w:bCs/>
          <w:szCs w:val="24"/>
          <w:lang w:val="uk-UA" w:eastAsia="uk-UA"/>
        </w:rPr>
        <w:t xml:space="preserve">   «</w:t>
      </w:r>
      <w:proofErr w:type="spellStart"/>
      <w:r w:rsidRPr="007F5AAB">
        <w:rPr>
          <w:bCs/>
          <w:szCs w:val="24"/>
          <w:lang w:val="uk-UA" w:eastAsia="uk-UA"/>
        </w:rPr>
        <w:t>DemoUkrainaDH-Тернопіль</w:t>
      </w:r>
      <w:proofErr w:type="spellEnd"/>
      <w:r w:rsidRPr="007F5AAB">
        <w:rPr>
          <w:bCs/>
          <w:szCs w:val="24"/>
          <w:lang w:val="uk-UA" w:eastAsia="uk-UA"/>
        </w:rPr>
        <w:t>».;</w:t>
      </w:r>
    </w:p>
    <w:p w:rsidR="007F5AAB" w:rsidRPr="007F5AAB" w:rsidRDefault="007F5AAB" w:rsidP="007F5AAB">
      <w:pPr>
        <w:pStyle w:val="a3"/>
        <w:ind w:left="0"/>
        <w:jc w:val="both"/>
        <w:rPr>
          <w:bCs/>
          <w:szCs w:val="24"/>
          <w:lang w:val="uk-UA" w:eastAsia="uk-UA"/>
        </w:rPr>
      </w:pPr>
      <w:r w:rsidRPr="007F5AAB">
        <w:rPr>
          <w:bCs/>
          <w:szCs w:val="24"/>
          <w:lang w:val="uk-UA" w:eastAsia="uk-UA"/>
        </w:rPr>
        <w:t xml:space="preserve">  </w:t>
      </w:r>
      <w:r w:rsidRPr="007F5AAB">
        <w:rPr>
          <w:b/>
          <w:bCs/>
          <w:szCs w:val="24"/>
          <w:lang w:val="uk-UA" w:eastAsia="uk-UA"/>
        </w:rPr>
        <w:t xml:space="preserve">-    </w:t>
      </w:r>
      <w:proofErr w:type="spellStart"/>
      <w:r w:rsidRPr="007F5AAB">
        <w:rPr>
          <w:b/>
          <w:bCs/>
          <w:szCs w:val="24"/>
          <w:lang w:val="uk-UA" w:eastAsia="uk-UA"/>
        </w:rPr>
        <w:t>КП</w:t>
      </w:r>
      <w:proofErr w:type="spellEnd"/>
      <w:r w:rsidRPr="007F5AAB">
        <w:rPr>
          <w:b/>
          <w:bCs/>
          <w:szCs w:val="24"/>
          <w:lang w:val="uk-UA" w:eastAsia="uk-UA"/>
        </w:rPr>
        <w:t xml:space="preserve"> </w:t>
      </w:r>
      <w:r w:rsidRPr="007F5AAB">
        <w:rPr>
          <w:b/>
          <w:iCs/>
          <w:szCs w:val="24"/>
          <w:lang w:val="uk-UA" w:eastAsia="uk-UA"/>
        </w:rPr>
        <w:t xml:space="preserve"> «</w:t>
      </w:r>
      <w:proofErr w:type="spellStart"/>
      <w:r w:rsidRPr="007F5AAB">
        <w:rPr>
          <w:b/>
          <w:iCs/>
          <w:szCs w:val="24"/>
          <w:lang w:val="uk-UA" w:eastAsia="uk-UA"/>
        </w:rPr>
        <w:t>Міськавтотранс</w:t>
      </w:r>
      <w:proofErr w:type="spellEnd"/>
      <w:r w:rsidRPr="007F5AAB">
        <w:rPr>
          <w:iCs/>
          <w:szCs w:val="24"/>
          <w:lang w:val="uk-UA" w:eastAsia="uk-UA"/>
        </w:rPr>
        <w:t xml:space="preserve">» - за кредитом Міністерства фінансів ( кошти </w:t>
      </w:r>
      <w:r w:rsidRPr="007F5AAB">
        <w:rPr>
          <w:b/>
          <w:iCs/>
          <w:szCs w:val="24"/>
          <w:lang w:val="uk-UA" w:eastAsia="uk-UA"/>
        </w:rPr>
        <w:t>ЄІБ</w:t>
      </w:r>
      <w:r w:rsidRPr="007F5AAB">
        <w:rPr>
          <w:iCs/>
          <w:szCs w:val="24"/>
          <w:lang w:val="uk-UA" w:eastAsia="uk-UA"/>
        </w:rPr>
        <w:t xml:space="preserve">) в сумі 2 000,0 тис. євро для реалізації </w:t>
      </w:r>
      <w:proofErr w:type="spellStart"/>
      <w:r w:rsidRPr="007F5AAB">
        <w:rPr>
          <w:iCs/>
          <w:szCs w:val="24"/>
          <w:lang w:val="uk-UA" w:eastAsia="uk-UA"/>
        </w:rPr>
        <w:t>проєкту</w:t>
      </w:r>
      <w:proofErr w:type="spellEnd"/>
      <w:r w:rsidRPr="007F5AAB">
        <w:rPr>
          <w:iCs/>
          <w:szCs w:val="24"/>
          <w:lang w:val="uk-UA" w:eastAsia="uk-UA"/>
        </w:rPr>
        <w:t xml:space="preserve"> «Міський громадський транспорт України» (придбання автобусів). </w:t>
      </w:r>
    </w:p>
    <w:p w:rsidR="007F5AAB" w:rsidRPr="007F5AAB" w:rsidRDefault="007F5AAB" w:rsidP="007F5AAB">
      <w:pPr>
        <w:pStyle w:val="a3"/>
        <w:ind w:left="0"/>
        <w:jc w:val="both"/>
        <w:rPr>
          <w:bCs/>
          <w:szCs w:val="24"/>
          <w:lang w:val="uk-UA" w:eastAsia="uk-UA"/>
        </w:rPr>
      </w:pPr>
      <w:r w:rsidRPr="007F5AAB">
        <w:rPr>
          <w:iCs/>
          <w:szCs w:val="24"/>
          <w:lang w:val="uk-UA" w:eastAsia="uk-UA"/>
        </w:rPr>
        <w:t xml:space="preserve">          </w:t>
      </w:r>
      <w:r w:rsidRPr="007F5AAB">
        <w:rPr>
          <w:bCs/>
          <w:szCs w:val="24"/>
          <w:lang w:val="uk-UA" w:eastAsia="uk-UA"/>
        </w:rPr>
        <w:t>Відтак, виходячи із наявних на сьогодні  прогнозних графіків , очікуємо наступні показники непрямого гарантованого боргу.</w:t>
      </w:r>
    </w:p>
    <w:p w:rsidR="007F5AAB" w:rsidRPr="007F5AAB" w:rsidRDefault="007F5AAB" w:rsidP="007F5AAB">
      <w:pPr>
        <w:numPr>
          <w:ilvl w:val="0"/>
          <w:numId w:val="25"/>
        </w:numPr>
        <w:spacing w:after="0" w:line="240" w:lineRule="auto"/>
        <w:jc w:val="both"/>
        <w:rPr>
          <w:rFonts w:ascii="Times New Roman" w:hAnsi="Times New Roman" w:cs="Times New Roman"/>
          <w:b/>
          <w:iCs/>
          <w:sz w:val="24"/>
          <w:szCs w:val="24"/>
        </w:rPr>
      </w:pPr>
      <w:proofErr w:type="spellStart"/>
      <w:r w:rsidRPr="007F5AAB">
        <w:rPr>
          <w:rFonts w:ascii="Times New Roman" w:hAnsi="Times New Roman" w:cs="Times New Roman"/>
          <w:b/>
          <w:sz w:val="24"/>
          <w:szCs w:val="24"/>
        </w:rPr>
        <w:t>Проєкт</w:t>
      </w:r>
      <w:proofErr w:type="spellEnd"/>
      <w:r w:rsidRPr="007F5AAB">
        <w:rPr>
          <w:rFonts w:ascii="Times New Roman" w:hAnsi="Times New Roman" w:cs="Times New Roman"/>
          <w:b/>
          <w:sz w:val="24"/>
          <w:szCs w:val="24"/>
        </w:rPr>
        <w:t xml:space="preserve"> « </w:t>
      </w:r>
      <w:proofErr w:type="spellStart"/>
      <w:r w:rsidRPr="007F5AAB">
        <w:rPr>
          <w:rFonts w:ascii="Times New Roman" w:hAnsi="Times New Roman" w:cs="Times New Roman"/>
          <w:b/>
          <w:sz w:val="24"/>
          <w:szCs w:val="24"/>
        </w:rPr>
        <w:t>DemoUkrainaDH</w:t>
      </w:r>
      <w:proofErr w:type="spellEnd"/>
      <w:r w:rsidRPr="007F5AAB">
        <w:rPr>
          <w:rFonts w:ascii="Times New Roman" w:hAnsi="Times New Roman" w:cs="Times New Roman"/>
          <w:b/>
          <w:sz w:val="24"/>
          <w:szCs w:val="24"/>
        </w:rPr>
        <w:t xml:space="preserve"> – Тернопіль:</w:t>
      </w:r>
      <w:r w:rsidRPr="007F5AAB">
        <w:rPr>
          <w:rFonts w:ascii="Times New Roman" w:hAnsi="Times New Roman" w:cs="Times New Roman"/>
          <w:b/>
          <w:iCs/>
          <w:sz w:val="24"/>
          <w:szCs w:val="24"/>
        </w:rPr>
        <w:t xml:space="preserve"> </w:t>
      </w:r>
    </w:p>
    <w:p w:rsidR="007F5AAB" w:rsidRPr="007F5AAB" w:rsidRDefault="007F5AAB" w:rsidP="007F5AAB">
      <w:pPr>
        <w:spacing w:after="0" w:line="240" w:lineRule="auto"/>
        <w:ind w:firstLine="1095"/>
        <w:jc w:val="both"/>
        <w:rPr>
          <w:rFonts w:ascii="Times New Roman" w:hAnsi="Times New Roman" w:cs="Times New Roman"/>
          <w:i/>
          <w:sz w:val="24"/>
          <w:szCs w:val="24"/>
        </w:rPr>
      </w:pPr>
      <w:r w:rsidRPr="007F5AAB">
        <w:rPr>
          <w:rFonts w:ascii="Times New Roman" w:hAnsi="Times New Roman" w:cs="Times New Roman"/>
          <w:iCs/>
          <w:sz w:val="24"/>
          <w:szCs w:val="24"/>
        </w:rPr>
        <w:t xml:space="preserve">станом на 31 грудня 2022 року  - 0,0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 xml:space="preserve">, станом на 31 грудня 2023 року  - 0,0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 xml:space="preserve">.  – оскільки «тіло»   кредиту буде погашено у 2022 році. </w:t>
      </w:r>
      <w:r w:rsidRPr="007F5AAB">
        <w:rPr>
          <w:rFonts w:ascii="Times New Roman" w:hAnsi="Times New Roman" w:cs="Times New Roman"/>
          <w:bCs/>
          <w:sz w:val="24"/>
          <w:szCs w:val="24"/>
        </w:rPr>
        <w:t xml:space="preserve">       </w:t>
      </w:r>
    </w:p>
    <w:p w:rsidR="007F5AAB" w:rsidRPr="007F5AAB" w:rsidRDefault="007F5AAB" w:rsidP="007F5AAB">
      <w:pPr>
        <w:spacing w:after="0" w:line="240" w:lineRule="auto"/>
        <w:ind w:firstLine="644"/>
        <w:jc w:val="both"/>
        <w:rPr>
          <w:rFonts w:ascii="Times New Roman" w:hAnsi="Times New Roman" w:cs="Times New Roman"/>
          <w:b/>
          <w:sz w:val="24"/>
          <w:szCs w:val="24"/>
        </w:rPr>
      </w:pPr>
      <w:r w:rsidRPr="007F5AAB">
        <w:rPr>
          <w:rFonts w:ascii="Times New Roman" w:hAnsi="Times New Roman" w:cs="Times New Roman"/>
          <w:b/>
          <w:iCs/>
          <w:sz w:val="24"/>
          <w:szCs w:val="24"/>
        </w:rPr>
        <w:t>2</w:t>
      </w:r>
      <w:r w:rsidRPr="007F5AAB">
        <w:rPr>
          <w:rFonts w:ascii="Times New Roman" w:hAnsi="Times New Roman" w:cs="Times New Roman"/>
          <w:b/>
          <w:sz w:val="24"/>
          <w:szCs w:val="24"/>
        </w:rPr>
        <w:t xml:space="preserve">). </w:t>
      </w:r>
      <w:proofErr w:type="spellStart"/>
      <w:r w:rsidRPr="007F5AAB">
        <w:rPr>
          <w:rFonts w:ascii="Times New Roman" w:hAnsi="Times New Roman" w:cs="Times New Roman"/>
          <w:b/>
          <w:sz w:val="24"/>
          <w:szCs w:val="24"/>
        </w:rPr>
        <w:t>Проєкт</w:t>
      </w:r>
      <w:proofErr w:type="spellEnd"/>
      <w:r w:rsidRPr="007F5AAB">
        <w:rPr>
          <w:rFonts w:ascii="Times New Roman" w:hAnsi="Times New Roman" w:cs="Times New Roman"/>
          <w:b/>
          <w:sz w:val="24"/>
          <w:szCs w:val="24"/>
        </w:rPr>
        <w:t xml:space="preserve"> « Програма пріоритетних інвестицій з модернізації системи централізованого теплопостачання міста Тернопіль» :</w:t>
      </w:r>
    </w:p>
    <w:p w:rsidR="007F5AAB" w:rsidRPr="007F5AAB" w:rsidRDefault="007F5AAB" w:rsidP="007F5AAB">
      <w:pPr>
        <w:spacing w:after="0" w:line="240" w:lineRule="auto"/>
        <w:ind w:firstLine="644"/>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2022 року  - 6340,505 тис. євро  або   234 598,7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w:t>
      </w:r>
    </w:p>
    <w:p w:rsidR="007F5AAB" w:rsidRPr="007F5AAB" w:rsidRDefault="007F5AAB" w:rsidP="007F5AAB">
      <w:pPr>
        <w:spacing w:after="0" w:line="240" w:lineRule="auto"/>
        <w:ind w:firstLine="644"/>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2023 року  - 4931,011 тис. євро  або 192 309,4 </w:t>
      </w:r>
      <w:proofErr w:type="spellStart"/>
      <w:r w:rsidRPr="007F5AAB">
        <w:rPr>
          <w:rFonts w:ascii="Times New Roman" w:hAnsi="Times New Roman" w:cs="Times New Roman"/>
          <w:iCs/>
          <w:sz w:val="24"/>
          <w:szCs w:val="24"/>
        </w:rPr>
        <w:t>тис.грн</w:t>
      </w:r>
      <w:proofErr w:type="spellEnd"/>
    </w:p>
    <w:p w:rsidR="007F5AAB" w:rsidRPr="007F5AAB" w:rsidRDefault="007F5AAB" w:rsidP="007F5AAB">
      <w:pPr>
        <w:tabs>
          <w:tab w:val="left" w:pos="-6946"/>
        </w:tabs>
        <w:spacing w:after="0" w:line="240" w:lineRule="auto"/>
        <w:ind w:firstLine="709"/>
        <w:jc w:val="both"/>
        <w:rPr>
          <w:rFonts w:ascii="Times New Roman" w:hAnsi="Times New Roman" w:cs="Times New Roman"/>
          <w:bCs/>
          <w:sz w:val="24"/>
          <w:szCs w:val="24"/>
        </w:rPr>
      </w:pPr>
    </w:p>
    <w:p w:rsidR="007F5AAB" w:rsidRPr="007F5AAB" w:rsidRDefault="007F5AAB" w:rsidP="007F5AAB">
      <w:pPr>
        <w:spacing w:after="0" w:line="240" w:lineRule="auto"/>
        <w:ind w:left="284"/>
        <w:jc w:val="both"/>
        <w:rPr>
          <w:rFonts w:ascii="Times New Roman" w:hAnsi="Times New Roman" w:cs="Times New Roman"/>
          <w:b/>
          <w:sz w:val="24"/>
          <w:szCs w:val="24"/>
        </w:rPr>
      </w:pPr>
      <w:r w:rsidRPr="007F5AAB">
        <w:rPr>
          <w:rFonts w:ascii="Times New Roman" w:hAnsi="Times New Roman" w:cs="Times New Roman"/>
          <w:b/>
          <w:sz w:val="24"/>
          <w:szCs w:val="24"/>
        </w:rPr>
        <w:t xml:space="preserve">3). </w:t>
      </w:r>
      <w:proofErr w:type="spellStart"/>
      <w:r w:rsidRPr="007F5AAB">
        <w:rPr>
          <w:rFonts w:ascii="Times New Roman" w:hAnsi="Times New Roman" w:cs="Times New Roman"/>
          <w:b/>
          <w:sz w:val="24"/>
          <w:szCs w:val="24"/>
        </w:rPr>
        <w:t>Проєкт</w:t>
      </w:r>
      <w:proofErr w:type="spellEnd"/>
      <w:r w:rsidRPr="007F5AAB">
        <w:rPr>
          <w:rFonts w:ascii="Times New Roman" w:hAnsi="Times New Roman" w:cs="Times New Roman"/>
          <w:b/>
          <w:sz w:val="24"/>
          <w:szCs w:val="24"/>
        </w:rPr>
        <w:t xml:space="preserve"> «Міський громадський транспорт України» (придбання автобусів)</w:t>
      </w:r>
    </w:p>
    <w:p w:rsidR="007F5AAB" w:rsidRPr="007F5AAB" w:rsidRDefault="007F5AAB" w:rsidP="007F5AAB">
      <w:pPr>
        <w:spacing w:after="0" w:line="240" w:lineRule="auto"/>
        <w:ind w:left="284"/>
        <w:jc w:val="both"/>
        <w:rPr>
          <w:rFonts w:ascii="Times New Roman" w:hAnsi="Times New Roman" w:cs="Times New Roman"/>
          <w:iCs/>
          <w:sz w:val="24"/>
          <w:szCs w:val="24"/>
        </w:rPr>
      </w:pPr>
    </w:p>
    <w:p w:rsidR="007F5AAB" w:rsidRPr="007F5AAB" w:rsidRDefault="007F5AAB" w:rsidP="007F5AAB">
      <w:pPr>
        <w:spacing w:after="0" w:line="240" w:lineRule="auto"/>
        <w:ind w:firstLine="644"/>
        <w:jc w:val="both"/>
        <w:rPr>
          <w:rFonts w:ascii="Times New Roman" w:hAnsi="Times New Roman" w:cs="Times New Roman"/>
          <w:b/>
          <w:iCs/>
          <w:sz w:val="24"/>
          <w:szCs w:val="24"/>
        </w:rPr>
      </w:pPr>
      <w:r w:rsidRPr="007F5AAB">
        <w:rPr>
          <w:rFonts w:ascii="Times New Roman" w:hAnsi="Times New Roman" w:cs="Times New Roman"/>
          <w:iCs/>
          <w:sz w:val="24"/>
          <w:szCs w:val="24"/>
        </w:rPr>
        <w:t xml:space="preserve">станом на 31 грудня 2022 року  -  2000,0 </w:t>
      </w:r>
      <w:r w:rsidRPr="007F5AAB">
        <w:rPr>
          <w:rFonts w:ascii="Times New Roman" w:hAnsi="Times New Roman" w:cs="Times New Roman"/>
          <w:sz w:val="24"/>
          <w:szCs w:val="24"/>
        </w:rPr>
        <w:t xml:space="preserve"> </w:t>
      </w:r>
      <w:r w:rsidRPr="007F5AAB">
        <w:rPr>
          <w:rFonts w:ascii="Times New Roman" w:hAnsi="Times New Roman" w:cs="Times New Roman"/>
          <w:bCs/>
          <w:sz w:val="24"/>
          <w:szCs w:val="24"/>
        </w:rPr>
        <w:t>тис. євро  або</w:t>
      </w:r>
      <w:r w:rsidRPr="007F5AAB">
        <w:rPr>
          <w:rFonts w:ascii="Times New Roman" w:hAnsi="Times New Roman" w:cs="Times New Roman"/>
          <w:sz w:val="24"/>
          <w:szCs w:val="24"/>
        </w:rPr>
        <w:t xml:space="preserve"> </w:t>
      </w:r>
      <w:r w:rsidRPr="007F5AAB">
        <w:rPr>
          <w:rFonts w:ascii="Times New Roman" w:hAnsi="Times New Roman" w:cs="Times New Roman"/>
          <w:iCs/>
          <w:sz w:val="24"/>
          <w:szCs w:val="24"/>
        </w:rPr>
        <w:t xml:space="preserve">   74000,0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w:t>
      </w:r>
    </w:p>
    <w:p w:rsidR="007F5AAB" w:rsidRPr="007F5AAB" w:rsidRDefault="007F5AAB" w:rsidP="007F5AAB">
      <w:pPr>
        <w:tabs>
          <w:tab w:val="left" w:pos="-6946"/>
        </w:tabs>
        <w:spacing w:after="0" w:line="240" w:lineRule="auto"/>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2023 року  -  2000,0 </w:t>
      </w:r>
      <w:r w:rsidRPr="007F5AAB">
        <w:rPr>
          <w:rFonts w:ascii="Times New Roman" w:hAnsi="Times New Roman" w:cs="Times New Roman"/>
          <w:bCs/>
          <w:sz w:val="24"/>
          <w:szCs w:val="24"/>
        </w:rPr>
        <w:t>тис. євро  або</w:t>
      </w:r>
      <w:r w:rsidRPr="007F5AAB">
        <w:rPr>
          <w:rFonts w:ascii="Times New Roman" w:hAnsi="Times New Roman" w:cs="Times New Roman"/>
          <w:sz w:val="24"/>
          <w:szCs w:val="24"/>
        </w:rPr>
        <w:t xml:space="preserve">     </w:t>
      </w:r>
      <w:r w:rsidRPr="007F5AAB">
        <w:rPr>
          <w:rFonts w:ascii="Times New Roman" w:hAnsi="Times New Roman" w:cs="Times New Roman"/>
          <w:iCs/>
          <w:sz w:val="24"/>
          <w:szCs w:val="24"/>
        </w:rPr>
        <w:t xml:space="preserve">78000,0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w:t>
      </w:r>
    </w:p>
    <w:p w:rsidR="007F5AAB" w:rsidRPr="007F5AAB" w:rsidRDefault="007F5AAB" w:rsidP="007F5AAB">
      <w:pPr>
        <w:tabs>
          <w:tab w:val="left" w:pos="-6946"/>
        </w:tabs>
        <w:spacing w:after="0" w:line="240" w:lineRule="auto"/>
        <w:ind w:firstLine="709"/>
        <w:jc w:val="both"/>
        <w:rPr>
          <w:rFonts w:ascii="Times New Roman" w:hAnsi="Times New Roman" w:cs="Times New Roman"/>
          <w:b/>
          <w:iCs/>
          <w:sz w:val="24"/>
          <w:szCs w:val="24"/>
        </w:rPr>
      </w:pPr>
      <w:r w:rsidRPr="007F5AAB">
        <w:rPr>
          <w:rFonts w:ascii="Times New Roman" w:hAnsi="Times New Roman" w:cs="Times New Roman"/>
          <w:bCs/>
          <w:sz w:val="24"/>
          <w:szCs w:val="24"/>
        </w:rPr>
        <w:lastRenderedPageBreak/>
        <w:t xml:space="preserve">Загальні прогнозні показники гарантованого боргу у гривнях ( за  умовним курсом євро)  </w:t>
      </w:r>
      <w:r w:rsidRPr="007F5AAB">
        <w:rPr>
          <w:rFonts w:ascii="Times New Roman" w:hAnsi="Times New Roman" w:cs="Times New Roman"/>
          <w:iCs/>
          <w:sz w:val="24"/>
          <w:szCs w:val="24"/>
        </w:rPr>
        <w:t xml:space="preserve">становитимуть </w:t>
      </w:r>
      <w:r w:rsidRPr="007F5AAB">
        <w:rPr>
          <w:rFonts w:ascii="Times New Roman" w:hAnsi="Times New Roman" w:cs="Times New Roman"/>
          <w:b/>
          <w:iCs/>
          <w:sz w:val="24"/>
          <w:szCs w:val="24"/>
        </w:rPr>
        <w:t>:</w:t>
      </w:r>
    </w:p>
    <w:p w:rsidR="007F5AAB" w:rsidRPr="007F5AAB" w:rsidRDefault="007F5AAB" w:rsidP="007F5AAB">
      <w:pPr>
        <w:tabs>
          <w:tab w:val="left" w:pos="-6946"/>
        </w:tabs>
        <w:spacing w:after="0" w:line="240" w:lineRule="auto"/>
        <w:ind w:firstLine="709"/>
        <w:jc w:val="both"/>
        <w:rPr>
          <w:rFonts w:ascii="Times New Roman" w:hAnsi="Times New Roman" w:cs="Times New Roman"/>
          <w:b/>
          <w:iCs/>
          <w:sz w:val="24"/>
          <w:szCs w:val="24"/>
        </w:rPr>
      </w:pPr>
    </w:p>
    <w:p w:rsidR="007F5AAB" w:rsidRPr="007F5AAB" w:rsidRDefault="007F5AAB" w:rsidP="007F5AAB">
      <w:pPr>
        <w:spacing w:after="0" w:line="240" w:lineRule="auto"/>
        <w:ind w:firstLine="708"/>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2022 року -   308 598,7 </w:t>
      </w:r>
      <w:proofErr w:type="spellStart"/>
      <w:r w:rsidRPr="007F5AAB">
        <w:rPr>
          <w:rFonts w:ascii="Times New Roman" w:hAnsi="Times New Roman" w:cs="Times New Roman"/>
          <w:iCs/>
          <w:sz w:val="24"/>
          <w:szCs w:val="24"/>
        </w:rPr>
        <w:t>тис.грн</w:t>
      </w:r>
      <w:proofErr w:type="spellEnd"/>
    </w:p>
    <w:p w:rsidR="007F5AAB" w:rsidRPr="007F5AAB" w:rsidRDefault="007F5AAB" w:rsidP="007F5AAB">
      <w:pPr>
        <w:spacing w:after="0" w:line="240" w:lineRule="auto"/>
        <w:ind w:firstLine="708"/>
        <w:jc w:val="both"/>
        <w:rPr>
          <w:rFonts w:ascii="Times New Roman" w:hAnsi="Times New Roman" w:cs="Times New Roman"/>
          <w:iCs/>
          <w:sz w:val="24"/>
          <w:szCs w:val="24"/>
        </w:rPr>
      </w:pPr>
      <w:r w:rsidRPr="007F5AAB">
        <w:rPr>
          <w:rFonts w:ascii="Times New Roman" w:hAnsi="Times New Roman" w:cs="Times New Roman"/>
          <w:iCs/>
          <w:sz w:val="24"/>
          <w:szCs w:val="24"/>
        </w:rPr>
        <w:t xml:space="preserve">- станом на 31 грудня 2023 року – 270 309,4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 xml:space="preserve">.         </w:t>
      </w:r>
    </w:p>
    <w:p w:rsidR="007F5AAB" w:rsidRPr="007F5AAB" w:rsidRDefault="007F5AAB" w:rsidP="007F5AAB">
      <w:pPr>
        <w:spacing w:after="0" w:line="240" w:lineRule="auto"/>
        <w:ind w:firstLine="708"/>
        <w:jc w:val="both"/>
        <w:rPr>
          <w:rFonts w:ascii="Times New Roman" w:hAnsi="Times New Roman" w:cs="Times New Roman"/>
          <w:iCs/>
          <w:sz w:val="24"/>
          <w:szCs w:val="24"/>
        </w:rPr>
      </w:pPr>
    </w:p>
    <w:p w:rsidR="007F5AAB" w:rsidRPr="007F5AAB" w:rsidRDefault="007F5AAB" w:rsidP="007F5AAB">
      <w:pPr>
        <w:spacing w:after="0" w:line="240" w:lineRule="auto"/>
        <w:ind w:firstLine="708"/>
        <w:jc w:val="both"/>
        <w:rPr>
          <w:rFonts w:ascii="Times New Roman" w:hAnsi="Times New Roman" w:cs="Times New Roman"/>
          <w:iCs/>
          <w:sz w:val="24"/>
          <w:szCs w:val="24"/>
        </w:rPr>
      </w:pPr>
      <w:r w:rsidRPr="007F5AAB">
        <w:rPr>
          <w:rFonts w:ascii="Times New Roman" w:hAnsi="Times New Roman" w:cs="Times New Roman"/>
          <w:iCs/>
          <w:sz w:val="24"/>
          <w:szCs w:val="24"/>
        </w:rPr>
        <w:t xml:space="preserve">Сума гарантійних </w:t>
      </w:r>
      <w:proofErr w:type="spellStart"/>
      <w:r w:rsidRPr="007F5AAB">
        <w:rPr>
          <w:rFonts w:ascii="Times New Roman" w:hAnsi="Times New Roman" w:cs="Times New Roman"/>
          <w:iCs/>
          <w:sz w:val="24"/>
          <w:szCs w:val="24"/>
        </w:rPr>
        <w:t>зобов»язань</w:t>
      </w:r>
      <w:proofErr w:type="spellEnd"/>
      <w:r w:rsidRPr="007F5AAB">
        <w:rPr>
          <w:rFonts w:ascii="Times New Roman" w:hAnsi="Times New Roman" w:cs="Times New Roman"/>
          <w:iCs/>
          <w:sz w:val="24"/>
          <w:szCs w:val="24"/>
        </w:rPr>
        <w:t xml:space="preserve"> бюджету  громади по зазначених проектах   у 2022 році  прогнозовано  складе   1851,5 тис. євро, у 2023 році – 1729,8 тис. євро ( за  умовним курсом євро – 67 141,7 та   70 700,2 </w:t>
      </w:r>
      <w:proofErr w:type="spellStart"/>
      <w:r w:rsidRPr="007F5AAB">
        <w:rPr>
          <w:rFonts w:ascii="Times New Roman" w:hAnsi="Times New Roman" w:cs="Times New Roman"/>
          <w:iCs/>
          <w:sz w:val="24"/>
          <w:szCs w:val="24"/>
        </w:rPr>
        <w:t>тис.грн</w:t>
      </w:r>
      <w:proofErr w:type="spellEnd"/>
      <w:r w:rsidRPr="007F5AAB">
        <w:rPr>
          <w:rFonts w:ascii="Times New Roman" w:hAnsi="Times New Roman" w:cs="Times New Roman"/>
          <w:iCs/>
          <w:sz w:val="24"/>
          <w:szCs w:val="24"/>
        </w:rPr>
        <w:t xml:space="preserve"> відповідно). Проте, ця сума попередня,  враховуючи невизначеність з курсом євро та те , що сума гарантійних </w:t>
      </w:r>
      <w:proofErr w:type="spellStart"/>
      <w:r w:rsidRPr="007F5AAB">
        <w:rPr>
          <w:rFonts w:ascii="Times New Roman" w:hAnsi="Times New Roman" w:cs="Times New Roman"/>
          <w:iCs/>
          <w:sz w:val="24"/>
          <w:szCs w:val="24"/>
        </w:rPr>
        <w:t>зобов»язань</w:t>
      </w:r>
      <w:proofErr w:type="spellEnd"/>
      <w:r w:rsidRPr="007F5AAB">
        <w:rPr>
          <w:rFonts w:ascii="Times New Roman" w:hAnsi="Times New Roman" w:cs="Times New Roman"/>
          <w:iCs/>
          <w:sz w:val="24"/>
          <w:szCs w:val="24"/>
        </w:rPr>
        <w:t xml:space="preserve"> підлягатиме уточненню.</w:t>
      </w:r>
    </w:p>
    <w:p w:rsidR="007F5AAB" w:rsidRPr="007F5AAB" w:rsidRDefault="007F5AAB" w:rsidP="007F5AAB">
      <w:pPr>
        <w:spacing w:after="0" w:line="240" w:lineRule="auto"/>
        <w:jc w:val="both"/>
        <w:rPr>
          <w:rFonts w:ascii="Times New Roman" w:hAnsi="Times New Roman" w:cs="Times New Roman"/>
          <w:bCs/>
          <w:sz w:val="24"/>
          <w:szCs w:val="24"/>
        </w:rPr>
      </w:pPr>
      <w:r w:rsidRPr="007F5AAB">
        <w:rPr>
          <w:rFonts w:ascii="Times New Roman" w:hAnsi="Times New Roman" w:cs="Times New Roman"/>
          <w:bCs/>
          <w:sz w:val="24"/>
          <w:szCs w:val="24"/>
        </w:rPr>
        <w:t xml:space="preserve">        Ризиками, </w:t>
      </w:r>
      <w:proofErr w:type="spellStart"/>
      <w:r w:rsidRPr="007F5AAB">
        <w:rPr>
          <w:rFonts w:ascii="Times New Roman" w:hAnsi="Times New Roman" w:cs="Times New Roman"/>
          <w:bCs/>
          <w:sz w:val="24"/>
          <w:szCs w:val="24"/>
        </w:rPr>
        <w:t>пов»язаними</w:t>
      </w:r>
      <w:proofErr w:type="spellEnd"/>
      <w:r w:rsidRPr="007F5AAB">
        <w:rPr>
          <w:rFonts w:ascii="Times New Roman" w:hAnsi="Times New Roman" w:cs="Times New Roman"/>
          <w:bCs/>
          <w:sz w:val="24"/>
          <w:szCs w:val="24"/>
        </w:rPr>
        <w:t xml:space="preserve"> з управлінням місцевим  боргом, є  невиконання дохідної частини бюджету, в т.ч. спричинене  епідемічною ситуацією в громаді, змінами в податковому законодавстві, зміна умов кредитування та погашення, додатковими залученнями запозичень, що  спричинить перевищення межі витрат на обслуговування боргу, а також граничної межі боргу на кінець року, тощо.</w:t>
      </w:r>
    </w:p>
    <w:p w:rsidR="007F5AAB" w:rsidRPr="007F5AAB" w:rsidRDefault="007F5AAB" w:rsidP="007F5AAB">
      <w:pPr>
        <w:spacing w:after="0" w:line="240" w:lineRule="auto"/>
        <w:jc w:val="both"/>
        <w:rPr>
          <w:rFonts w:ascii="Times New Roman" w:hAnsi="Times New Roman" w:cs="Times New Roman"/>
          <w:bCs/>
          <w:sz w:val="24"/>
          <w:szCs w:val="24"/>
        </w:rPr>
      </w:pPr>
      <w:r w:rsidRPr="007F5AAB">
        <w:rPr>
          <w:rFonts w:ascii="Times New Roman" w:hAnsi="Times New Roman" w:cs="Times New Roman"/>
          <w:bCs/>
          <w:sz w:val="24"/>
          <w:szCs w:val="24"/>
        </w:rPr>
        <w:t xml:space="preserve"> </w:t>
      </w:r>
    </w:p>
    <w:p w:rsidR="007F5AAB" w:rsidRPr="007F5AAB" w:rsidRDefault="007F5AAB" w:rsidP="007F5AAB">
      <w:pPr>
        <w:spacing w:after="0" w:line="240" w:lineRule="auto"/>
        <w:jc w:val="center"/>
        <w:rPr>
          <w:rFonts w:ascii="Times New Roman" w:hAnsi="Times New Roman" w:cs="Times New Roman"/>
          <w:b/>
          <w:sz w:val="24"/>
          <w:szCs w:val="24"/>
        </w:rPr>
      </w:pPr>
      <w:r w:rsidRPr="007F5AAB">
        <w:rPr>
          <w:rFonts w:ascii="Times New Roman" w:hAnsi="Times New Roman" w:cs="Times New Roman"/>
          <w:b/>
          <w:sz w:val="24"/>
          <w:szCs w:val="24"/>
        </w:rPr>
        <w:t>5. Міжбюджетні відносини</w:t>
      </w:r>
    </w:p>
    <w:p w:rsidR="007F5AAB" w:rsidRPr="007F5AAB" w:rsidRDefault="007F5AAB" w:rsidP="007F5AAB">
      <w:pPr>
        <w:spacing w:after="0" w:line="240" w:lineRule="auto"/>
        <w:jc w:val="center"/>
        <w:rPr>
          <w:rFonts w:ascii="Times New Roman" w:hAnsi="Times New Roman" w:cs="Times New Roman"/>
          <w:b/>
          <w:sz w:val="24"/>
          <w:szCs w:val="24"/>
        </w:rPr>
      </w:pPr>
    </w:p>
    <w:p w:rsidR="007F5AAB" w:rsidRPr="007F5AAB" w:rsidRDefault="007F5AAB" w:rsidP="007F5AAB">
      <w:pPr>
        <w:spacing w:after="0" w:line="240" w:lineRule="auto"/>
        <w:rPr>
          <w:rFonts w:ascii="Times New Roman" w:hAnsi="Times New Roman" w:cs="Times New Roman"/>
          <w:b/>
          <w:sz w:val="24"/>
          <w:szCs w:val="24"/>
        </w:rPr>
      </w:pPr>
      <w:r w:rsidRPr="007F5AAB">
        <w:rPr>
          <w:rFonts w:ascii="Times New Roman" w:hAnsi="Times New Roman" w:cs="Times New Roman"/>
          <w:b/>
          <w:sz w:val="24"/>
          <w:szCs w:val="24"/>
        </w:rPr>
        <w:t>Прогнозні показники міжбюджетних трансфертів бюджету                                 громади на 2022 та 2023 роки*</w:t>
      </w:r>
    </w:p>
    <w:p w:rsidR="007F5AAB" w:rsidRPr="007F5AAB" w:rsidRDefault="007F5AAB" w:rsidP="007F5AAB">
      <w:pPr>
        <w:spacing w:after="0" w:line="240" w:lineRule="auto"/>
        <w:jc w:val="center"/>
        <w:rPr>
          <w:rFonts w:ascii="Times New Roman" w:hAnsi="Times New Roman" w:cs="Times New Roman"/>
          <w:sz w:val="24"/>
          <w:szCs w:val="24"/>
        </w:rPr>
      </w:pPr>
      <w:r w:rsidRPr="007F5AAB">
        <w:rPr>
          <w:rFonts w:ascii="Times New Roman" w:hAnsi="Times New Roman" w:cs="Times New Roman"/>
          <w:b/>
          <w:sz w:val="24"/>
          <w:szCs w:val="24"/>
        </w:rPr>
        <w:t xml:space="preserve">                                                                                                                              </w:t>
      </w:r>
      <w:r w:rsidRPr="007F5AAB">
        <w:rPr>
          <w:rFonts w:ascii="Times New Roman" w:hAnsi="Times New Roman" w:cs="Times New Roman"/>
          <w:sz w:val="24"/>
          <w:szCs w:val="24"/>
        </w:rPr>
        <w:t>(</w:t>
      </w:r>
      <w:proofErr w:type="spellStart"/>
      <w:r w:rsidRPr="007F5AAB">
        <w:rPr>
          <w:rFonts w:ascii="Times New Roman" w:hAnsi="Times New Roman" w:cs="Times New Roman"/>
          <w:sz w:val="24"/>
          <w:szCs w:val="24"/>
        </w:rPr>
        <w:t>тис.грн</w:t>
      </w:r>
      <w:proofErr w:type="spellEnd"/>
      <w:r w:rsidRPr="007F5AAB">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700"/>
        <w:gridCol w:w="2262"/>
      </w:tblGrid>
      <w:tr w:rsidR="007F5AAB" w:rsidRPr="007F5AAB" w:rsidTr="00381D1A">
        <w:tc>
          <w:tcPr>
            <w:tcW w:w="4608" w:type="dxa"/>
          </w:tcPr>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Назва показника</w:t>
            </w:r>
          </w:p>
        </w:tc>
        <w:tc>
          <w:tcPr>
            <w:tcW w:w="2700" w:type="dxa"/>
          </w:tcPr>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2022 рік</w:t>
            </w:r>
          </w:p>
        </w:tc>
        <w:tc>
          <w:tcPr>
            <w:tcW w:w="2262" w:type="dxa"/>
          </w:tcPr>
          <w:p w:rsidR="007F5AAB" w:rsidRPr="007F5AAB" w:rsidRDefault="007F5AAB" w:rsidP="007F5AAB">
            <w:pPr>
              <w:spacing w:after="0" w:line="240" w:lineRule="auto"/>
              <w:jc w:val="both"/>
              <w:rPr>
                <w:rFonts w:ascii="Times New Roman" w:hAnsi="Times New Roman" w:cs="Times New Roman"/>
                <w:b/>
                <w:sz w:val="24"/>
                <w:szCs w:val="24"/>
              </w:rPr>
            </w:pPr>
            <w:r w:rsidRPr="007F5AAB">
              <w:rPr>
                <w:rFonts w:ascii="Times New Roman" w:hAnsi="Times New Roman" w:cs="Times New Roman"/>
                <w:b/>
                <w:sz w:val="24"/>
                <w:szCs w:val="24"/>
              </w:rPr>
              <w:t>2023 рік</w:t>
            </w:r>
          </w:p>
        </w:tc>
      </w:tr>
      <w:tr w:rsidR="007F5AAB" w:rsidRPr="007F5AAB" w:rsidTr="00381D1A">
        <w:tc>
          <w:tcPr>
            <w:tcW w:w="4608" w:type="dxa"/>
            <w:vAlign w:val="center"/>
          </w:tcPr>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Реверсна дотація</w:t>
            </w:r>
          </w:p>
        </w:tc>
        <w:tc>
          <w:tcPr>
            <w:tcW w:w="2700" w:type="dxa"/>
            <w:vAlign w:val="center"/>
          </w:tcPr>
          <w:p w:rsidR="007F5AAB" w:rsidRPr="007F5AAB" w:rsidRDefault="007F5AAB" w:rsidP="007F5AAB">
            <w:pPr>
              <w:spacing w:after="0" w:line="240" w:lineRule="auto"/>
              <w:rPr>
                <w:rFonts w:ascii="Times New Roman" w:hAnsi="Times New Roman" w:cs="Times New Roman"/>
                <w:b/>
                <w:sz w:val="24"/>
                <w:szCs w:val="24"/>
              </w:rPr>
            </w:pPr>
            <w:r w:rsidRPr="007F5AAB">
              <w:rPr>
                <w:rFonts w:ascii="Times New Roman" w:hAnsi="Times New Roman" w:cs="Times New Roman"/>
                <w:sz w:val="24"/>
                <w:szCs w:val="24"/>
              </w:rPr>
              <w:t xml:space="preserve"> </w:t>
            </w:r>
            <w:r w:rsidRPr="007F5AAB">
              <w:rPr>
                <w:rFonts w:ascii="Times New Roman" w:hAnsi="Times New Roman" w:cs="Times New Roman"/>
                <w:b/>
                <w:sz w:val="24"/>
                <w:szCs w:val="24"/>
              </w:rPr>
              <w:t>78 622,1</w:t>
            </w:r>
          </w:p>
        </w:tc>
        <w:tc>
          <w:tcPr>
            <w:tcW w:w="2262" w:type="dxa"/>
            <w:vAlign w:val="center"/>
          </w:tcPr>
          <w:p w:rsidR="007F5AAB" w:rsidRPr="007F5AAB" w:rsidRDefault="007F5AAB" w:rsidP="007F5AAB">
            <w:pPr>
              <w:spacing w:after="0" w:line="240" w:lineRule="auto"/>
              <w:rPr>
                <w:rFonts w:ascii="Times New Roman" w:hAnsi="Times New Roman" w:cs="Times New Roman"/>
                <w:b/>
                <w:sz w:val="24"/>
                <w:szCs w:val="24"/>
              </w:rPr>
            </w:pPr>
            <w:r w:rsidRPr="007F5AAB">
              <w:rPr>
                <w:rFonts w:ascii="Times New Roman" w:hAnsi="Times New Roman" w:cs="Times New Roman"/>
                <w:b/>
                <w:sz w:val="24"/>
                <w:szCs w:val="24"/>
              </w:rPr>
              <w:t>79000,0</w:t>
            </w:r>
          </w:p>
        </w:tc>
      </w:tr>
      <w:tr w:rsidR="007F5AAB" w:rsidRPr="007F5AAB" w:rsidTr="00381D1A">
        <w:tc>
          <w:tcPr>
            <w:tcW w:w="4608" w:type="dxa"/>
          </w:tcPr>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Субвенції (освітня субвенція)</w:t>
            </w:r>
          </w:p>
        </w:tc>
        <w:tc>
          <w:tcPr>
            <w:tcW w:w="2700" w:type="dxa"/>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545518,4</w:t>
            </w:r>
          </w:p>
        </w:tc>
        <w:tc>
          <w:tcPr>
            <w:tcW w:w="2262" w:type="dxa"/>
          </w:tcPr>
          <w:p w:rsidR="007F5AAB" w:rsidRPr="007F5AAB" w:rsidRDefault="007F5AAB" w:rsidP="007F5AAB">
            <w:pPr>
              <w:spacing w:after="0" w:line="240" w:lineRule="auto"/>
              <w:jc w:val="both"/>
              <w:rPr>
                <w:rFonts w:ascii="Times New Roman" w:eastAsia="Times New Roman" w:hAnsi="Times New Roman" w:cs="Times New Roman"/>
                <w:sz w:val="24"/>
                <w:szCs w:val="24"/>
                <w:lang w:eastAsia="ru-RU"/>
              </w:rPr>
            </w:pPr>
            <w:r w:rsidRPr="007F5AAB">
              <w:rPr>
                <w:rFonts w:ascii="Times New Roman" w:eastAsia="Times New Roman" w:hAnsi="Times New Roman" w:cs="Times New Roman"/>
                <w:sz w:val="24"/>
                <w:szCs w:val="24"/>
                <w:lang w:eastAsia="ru-RU"/>
              </w:rPr>
              <w:t>566941,8</w:t>
            </w:r>
          </w:p>
        </w:tc>
      </w:tr>
    </w:tbl>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цифри попередні</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У  сфері  взаємовідносин  державного, обласного  бюджету  та бюджетів громад з  місцевим  бюджетом  у  середньостроковому  періоді  відповідно  до  положень  Бюджетного  кодексу  України  є  реформування  міжбюджетних  відносин  з  метою  забезпечення  регіонального  економічного  зростання,  підвищення  рівня  фінансової  незалежності   та  видаткової  автономності  місцевого  бюджету,  підвищення  ефективності  використання  бюджетних  коштів.</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У  2022  та  2023  роках  передбачається  здійснити  такі  заходи  :</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      посилення ролі місцевого самоврядування у розв’язанні актуальних проблем соціально - економічного розвитку  громади у нинішніх складних умовах;   </w:t>
      </w:r>
    </w:p>
    <w:p w:rsidR="007F5AAB" w:rsidRPr="007F5AAB" w:rsidRDefault="007F5AAB" w:rsidP="007F5AAB">
      <w:pPr>
        <w:spacing w:after="0" w:line="240" w:lineRule="auto"/>
        <w:ind w:firstLine="567"/>
        <w:jc w:val="both"/>
        <w:rPr>
          <w:rFonts w:ascii="Times New Roman" w:hAnsi="Times New Roman" w:cs="Times New Roman"/>
          <w:sz w:val="24"/>
          <w:szCs w:val="24"/>
        </w:rPr>
      </w:pPr>
      <w:r w:rsidRPr="007F5AAB">
        <w:rPr>
          <w:rFonts w:ascii="Times New Roman" w:hAnsi="Times New Roman" w:cs="Times New Roman"/>
          <w:sz w:val="24"/>
          <w:szCs w:val="24"/>
        </w:rPr>
        <w:t xml:space="preserve">   -    підвищення фінансової спроможності місцевих бюджетів та рівня фінансової забезпеченості делегованих повноважень в умовах середньострокового планування  ( на три роки);</w:t>
      </w:r>
    </w:p>
    <w:p w:rsidR="007F5AAB" w:rsidRPr="007F5AAB" w:rsidRDefault="007F5AAB" w:rsidP="007F5AAB">
      <w:pPr>
        <w:spacing w:after="0" w:line="240" w:lineRule="auto"/>
        <w:ind w:firstLine="567"/>
        <w:jc w:val="both"/>
        <w:rPr>
          <w:rFonts w:ascii="Times New Roman" w:hAnsi="Times New Roman" w:cs="Times New Roman"/>
          <w:sz w:val="24"/>
          <w:szCs w:val="24"/>
        </w:rPr>
      </w:pPr>
      <w:r w:rsidRPr="007F5AAB">
        <w:rPr>
          <w:rFonts w:ascii="Times New Roman" w:hAnsi="Times New Roman" w:cs="Times New Roman"/>
          <w:sz w:val="24"/>
          <w:szCs w:val="24"/>
        </w:rPr>
        <w:t xml:space="preserve">   -  надання міжбюджетних трансфертів на основі принципу </w:t>
      </w:r>
      <w:proofErr w:type="spellStart"/>
      <w:r w:rsidRPr="007F5AAB">
        <w:rPr>
          <w:rFonts w:ascii="Times New Roman" w:hAnsi="Times New Roman" w:cs="Times New Roman"/>
          <w:sz w:val="24"/>
          <w:szCs w:val="24"/>
        </w:rPr>
        <w:t>субсидіарності</w:t>
      </w:r>
      <w:proofErr w:type="spellEnd"/>
      <w:r w:rsidRPr="007F5AAB">
        <w:rPr>
          <w:rFonts w:ascii="Times New Roman" w:hAnsi="Times New Roman" w:cs="Times New Roman"/>
          <w:sz w:val="24"/>
          <w:szCs w:val="24"/>
        </w:rPr>
        <w:t xml:space="preserve"> з урахуванням критеріїв повноти надання гарантованих послуг та наближення їх до безпосереднього споживача;</w:t>
      </w:r>
    </w:p>
    <w:p w:rsidR="007F5AAB" w:rsidRPr="007F5AAB" w:rsidRDefault="007F5AAB" w:rsidP="007F5AAB">
      <w:pPr>
        <w:spacing w:after="0" w:line="240" w:lineRule="auto"/>
        <w:jc w:val="both"/>
        <w:rPr>
          <w:rFonts w:ascii="Times New Roman" w:hAnsi="Times New Roman" w:cs="Times New Roman"/>
          <w:sz w:val="24"/>
          <w:szCs w:val="24"/>
        </w:rPr>
      </w:pPr>
      <w:r w:rsidRPr="007F5AAB">
        <w:rPr>
          <w:rFonts w:ascii="Times New Roman" w:hAnsi="Times New Roman" w:cs="Times New Roman"/>
          <w:sz w:val="24"/>
          <w:szCs w:val="24"/>
        </w:rPr>
        <w:t xml:space="preserve">            -   забезпечення виконання загальнодержавних  та міських програм у середньостроковій перспективі.</w:t>
      </w: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jc w:val="both"/>
        <w:rPr>
          <w:rFonts w:ascii="Times New Roman" w:hAnsi="Times New Roman" w:cs="Times New Roman"/>
          <w:sz w:val="24"/>
          <w:szCs w:val="24"/>
        </w:rPr>
      </w:pPr>
    </w:p>
    <w:p w:rsidR="007F5AAB" w:rsidRPr="007F5AAB" w:rsidRDefault="007F5AAB" w:rsidP="007F5AAB">
      <w:pPr>
        <w:spacing w:after="0" w:line="240" w:lineRule="auto"/>
        <w:rPr>
          <w:rFonts w:ascii="Times New Roman" w:hAnsi="Times New Roman" w:cs="Times New Roman"/>
          <w:sz w:val="24"/>
          <w:szCs w:val="24"/>
        </w:rPr>
      </w:pPr>
      <w:r w:rsidRPr="007F5AAB">
        <w:rPr>
          <w:rFonts w:ascii="Times New Roman" w:hAnsi="Times New Roman" w:cs="Times New Roman"/>
          <w:sz w:val="24"/>
          <w:szCs w:val="24"/>
        </w:rPr>
        <w:t>Міський голова                                                                       Сергій НАДАЛ</w:t>
      </w:r>
    </w:p>
    <w:p w:rsidR="00000000" w:rsidRPr="007F5AAB" w:rsidRDefault="007F5AAB" w:rsidP="007F5AAB">
      <w:pPr>
        <w:spacing w:after="0" w:line="240" w:lineRule="auto"/>
        <w:rPr>
          <w:rFonts w:ascii="Times New Roman" w:hAnsi="Times New Roman" w:cs="Times New Roman"/>
          <w:sz w:val="24"/>
          <w:szCs w:val="24"/>
        </w:rPr>
      </w:pPr>
    </w:p>
    <w:sectPr w:rsidR="00000000" w:rsidRPr="007F5AAB" w:rsidSect="00EE7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2C4"/>
    <w:multiLevelType w:val="hybridMultilevel"/>
    <w:tmpl w:val="13D64BB2"/>
    <w:lvl w:ilvl="0" w:tplc="6DCA7774">
      <w:start w:val="36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DB7809"/>
    <w:multiLevelType w:val="hybridMultilevel"/>
    <w:tmpl w:val="260E47B8"/>
    <w:lvl w:ilvl="0" w:tplc="02AAAF78">
      <w:start w:val="44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E1C94"/>
    <w:multiLevelType w:val="hybridMultilevel"/>
    <w:tmpl w:val="59D47FFA"/>
    <w:lvl w:ilvl="0" w:tplc="48962FAC">
      <w:start w:val="1"/>
      <w:numFmt w:val="decimal"/>
      <w:lvlText w:val="%1."/>
      <w:lvlJc w:val="left"/>
      <w:pPr>
        <w:ind w:left="3768" w:hanging="360"/>
      </w:pPr>
      <w:rPr>
        <w:rFonts w:hint="default"/>
      </w:rPr>
    </w:lvl>
    <w:lvl w:ilvl="1" w:tplc="04190019" w:tentative="1">
      <w:start w:val="1"/>
      <w:numFmt w:val="lowerLetter"/>
      <w:lvlText w:val="%2."/>
      <w:lvlJc w:val="left"/>
      <w:pPr>
        <w:ind w:left="4488" w:hanging="360"/>
      </w:pPr>
    </w:lvl>
    <w:lvl w:ilvl="2" w:tplc="0419001B" w:tentative="1">
      <w:start w:val="1"/>
      <w:numFmt w:val="lowerRoman"/>
      <w:lvlText w:val="%3."/>
      <w:lvlJc w:val="right"/>
      <w:pPr>
        <w:ind w:left="5208" w:hanging="180"/>
      </w:pPr>
    </w:lvl>
    <w:lvl w:ilvl="3" w:tplc="0419000F" w:tentative="1">
      <w:start w:val="1"/>
      <w:numFmt w:val="decimal"/>
      <w:lvlText w:val="%4."/>
      <w:lvlJc w:val="left"/>
      <w:pPr>
        <w:ind w:left="5928" w:hanging="360"/>
      </w:pPr>
    </w:lvl>
    <w:lvl w:ilvl="4" w:tplc="04190019" w:tentative="1">
      <w:start w:val="1"/>
      <w:numFmt w:val="lowerLetter"/>
      <w:lvlText w:val="%5."/>
      <w:lvlJc w:val="left"/>
      <w:pPr>
        <w:ind w:left="6648" w:hanging="360"/>
      </w:pPr>
    </w:lvl>
    <w:lvl w:ilvl="5" w:tplc="0419001B" w:tentative="1">
      <w:start w:val="1"/>
      <w:numFmt w:val="lowerRoman"/>
      <w:lvlText w:val="%6."/>
      <w:lvlJc w:val="right"/>
      <w:pPr>
        <w:ind w:left="7368" w:hanging="180"/>
      </w:pPr>
    </w:lvl>
    <w:lvl w:ilvl="6" w:tplc="0419000F" w:tentative="1">
      <w:start w:val="1"/>
      <w:numFmt w:val="decimal"/>
      <w:lvlText w:val="%7."/>
      <w:lvlJc w:val="left"/>
      <w:pPr>
        <w:ind w:left="8088" w:hanging="360"/>
      </w:pPr>
    </w:lvl>
    <w:lvl w:ilvl="7" w:tplc="04190019" w:tentative="1">
      <w:start w:val="1"/>
      <w:numFmt w:val="lowerLetter"/>
      <w:lvlText w:val="%8."/>
      <w:lvlJc w:val="left"/>
      <w:pPr>
        <w:ind w:left="8808" w:hanging="360"/>
      </w:pPr>
    </w:lvl>
    <w:lvl w:ilvl="8" w:tplc="0419001B" w:tentative="1">
      <w:start w:val="1"/>
      <w:numFmt w:val="lowerRoman"/>
      <w:lvlText w:val="%9."/>
      <w:lvlJc w:val="right"/>
      <w:pPr>
        <w:ind w:left="9528" w:hanging="180"/>
      </w:pPr>
    </w:lvl>
  </w:abstractNum>
  <w:abstractNum w:abstractNumId="3">
    <w:nsid w:val="141C27A9"/>
    <w:multiLevelType w:val="hybridMultilevel"/>
    <w:tmpl w:val="111E13B0"/>
    <w:lvl w:ilvl="0" w:tplc="F47A965E">
      <w:numFmt w:val="bullet"/>
      <w:lvlText w:val="–"/>
      <w:lvlJc w:val="left"/>
      <w:pPr>
        <w:tabs>
          <w:tab w:val="num" w:pos="927"/>
        </w:tabs>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nsid w:val="14220253"/>
    <w:multiLevelType w:val="hybridMultilevel"/>
    <w:tmpl w:val="B9FC87BE"/>
    <w:lvl w:ilvl="0" w:tplc="876E1B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22081"/>
    <w:multiLevelType w:val="multilevel"/>
    <w:tmpl w:val="BF14D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D06FD4"/>
    <w:multiLevelType w:val="hybridMultilevel"/>
    <w:tmpl w:val="5E58B0F8"/>
    <w:lvl w:ilvl="0" w:tplc="9E48A6FA">
      <w:start w:val="572"/>
      <w:numFmt w:val="bullet"/>
      <w:lvlText w:val="-"/>
      <w:lvlJc w:val="left"/>
      <w:pPr>
        <w:tabs>
          <w:tab w:val="num" w:pos="1440"/>
        </w:tabs>
        <w:ind w:left="144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19336F88"/>
    <w:multiLevelType w:val="hybridMultilevel"/>
    <w:tmpl w:val="45DC6BF6"/>
    <w:lvl w:ilvl="0" w:tplc="68FE4D14">
      <w:start w:val="4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BC183C"/>
    <w:multiLevelType w:val="hybridMultilevel"/>
    <w:tmpl w:val="9192F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E22A0"/>
    <w:multiLevelType w:val="hybridMultilevel"/>
    <w:tmpl w:val="8E0251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B952C9A"/>
    <w:multiLevelType w:val="hybridMultilevel"/>
    <w:tmpl w:val="61E05D0C"/>
    <w:lvl w:ilvl="0" w:tplc="1CD2F7F6">
      <w:start w:val="4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572077"/>
    <w:multiLevelType w:val="hybridMultilevel"/>
    <w:tmpl w:val="C58C059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61A2EBF"/>
    <w:multiLevelType w:val="hybridMultilevel"/>
    <w:tmpl w:val="BCCEC874"/>
    <w:lvl w:ilvl="0" w:tplc="9D46192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3C5018"/>
    <w:multiLevelType w:val="hybridMultilevel"/>
    <w:tmpl w:val="0EB46C8E"/>
    <w:lvl w:ilvl="0" w:tplc="E95608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6423FC8"/>
    <w:multiLevelType w:val="hybridMultilevel"/>
    <w:tmpl w:val="E076A410"/>
    <w:lvl w:ilvl="0" w:tplc="977AA54A">
      <w:start w:val="3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F804FC"/>
    <w:multiLevelType w:val="hybridMultilevel"/>
    <w:tmpl w:val="62FCC23C"/>
    <w:lvl w:ilvl="0" w:tplc="34868024">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420E5605"/>
    <w:multiLevelType w:val="hybridMultilevel"/>
    <w:tmpl w:val="35F2E914"/>
    <w:lvl w:ilvl="0" w:tplc="B2E47300">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7">
    <w:nsid w:val="48F4736A"/>
    <w:multiLevelType w:val="hybridMultilevel"/>
    <w:tmpl w:val="260E47B8"/>
    <w:lvl w:ilvl="0" w:tplc="02AAAF78">
      <w:start w:val="44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C7413"/>
    <w:multiLevelType w:val="multilevel"/>
    <w:tmpl w:val="69E8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31B12"/>
    <w:multiLevelType w:val="hybridMultilevel"/>
    <w:tmpl w:val="9D2C231A"/>
    <w:lvl w:ilvl="0" w:tplc="0430ED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F405EB"/>
    <w:multiLevelType w:val="hybridMultilevel"/>
    <w:tmpl w:val="53A2C480"/>
    <w:lvl w:ilvl="0" w:tplc="935231FE">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5AEF5199"/>
    <w:multiLevelType w:val="hybridMultilevel"/>
    <w:tmpl w:val="C5B8D1E0"/>
    <w:lvl w:ilvl="0" w:tplc="373A1BF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2">
    <w:nsid w:val="71092F65"/>
    <w:multiLevelType w:val="hybridMultilevel"/>
    <w:tmpl w:val="F0A0AD86"/>
    <w:lvl w:ilvl="0" w:tplc="F328D46C">
      <w:start w:val="1"/>
      <w:numFmt w:val="bullet"/>
      <w:lvlText w:val=""/>
      <w:lvlJc w:val="left"/>
      <w:pPr>
        <w:ind w:left="1200" w:hanging="360"/>
      </w:pPr>
      <w:rPr>
        <w:rFonts w:ascii="Symbol" w:eastAsia="Calibri" w:hAnsi="Symbol" w:cs="Times New Roman" w:hint="default"/>
        <w:sz w:val="24"/>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nsid w:val="71B5091A"/>
    <w:multiLevelType w:val="hybridMultilevel"/>
    <w:tmpl w:val="69F8C9E0"/>
    <w:lvl w:ilvl="0" w:tplc="27E62EB6">
      <w:start w:val="36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C133995"/>
    <w:multiLevelType w:val="hybridMultilevel"/>
    <w:tmpl w:val="516289D0"/>
    <w:lvl w:ilvl="0" w:tplc="04190001">
      <w:start w:val="11"/>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C5D3EFF"/>
    <w:multiLevelType w:val="hybridMultilevel"/>
    <w:tmpl w:val="B6D21B24"/>
    <w:lvl w:ilvl="0" w:tplc="6FEAF2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3E15C1"/>
    <w:multiLevelType w:val="hybridMultilevel"/>
    <w:tmpl w:val="423C686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6"/>
  </w:num>
  <w:num w:numId="4">
    <w:abstractNumId w:val="26"/>
  </w:num>
  <w:num w:numId="5">
    <w:abstractNumId w:val="3"/>
  </w:num>
  <w:num w:numId="6">
    <w:abstractNumId w:val="20"/>
  </w:num>
  <w:num w:numId="7">
    <w:abstractNumId w:val="8"/>
  </w:num>
  <w:num w:numId="8">
    <w:abstractNumId w:val="9"/>
  </w:num>
  <w:num w:numId="9">
    <w:abstractNumId w:val="16"/>
  </w:num>
  <w:num w:numId="10">
    <w:abstractNumId w:val="13"/>
  </w:num>
  <w:num w:numId="11">
    <w:abstractNumId w:val="11"/>
  </w:num>
  <w:num w:numId="12">
    <w:abstractNumId w:val="18"/>
  </w:num>
  <w:num w:numId="13">
    <w:abstractNumId w:val="24"/>
  </w:num>
  <w:num w:numId="14">
    <w:abstractNumId w:val="4"/>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num>
  <w:num w:numId="19">
    <w:abstractNumId w:val="1"/>
  </w:num>
  <w:num w:numId="20">
    <w:abstractNumId w:val="23"/>
  </w:num>
  <w:num w:numId="21">
    <w:abstractNumId w:val="0"/>
  </w:num>
  <w:num w:numId="22">
    <w:abstractNumId w:val="19"/>
  </w:num>
  <w:num w:numId="23">
    <w:abstractNumId w:val="17"/>
  </w:num>
  <w:num w:numId="24">
    <w:abstractNumId w:val="7"/>
  </w:num>
  <w:num w:numId="25">
    <w:abstractNumId w:val="21"/>
  </w:num>
  <w:num w:numId="26">
    <w:abstractNumId w:val="2"/>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5AAB"/>
    <w:rsid w:val="007F5A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AAB"/>
    <w:pPr>
      <w:spacing w:after="0" w:line="240" w:lineRule="auto"/>
      <w:ind w:left="720"/>
      <w:contextualSpacing/>
    </w:pPr>
    <w:rPr>
      <w:rFonts w:ascii="Times New Roman" w:eastAsia="Calibri" w:hAnsi="Times New Roman" w:cs="Times New Roman"/>
      <w:sz w:val="24"/>
      <w:lang w:val="ru-RU" w:eastAsia="en-US"/>
    </w:rPr>
  </w:style>
  <w:style w:type="paragraph" w:customStyle="1" w:styleId="1">
    <w:name w:val="Основной текст с отступом1"/>
    <w:basedOn w:val="a"/>
    <w:link w:val="a4"/>
    <w:rsid w:val="007F5AAB"/>
    <w:pPr>
      <w:spacing w:after="0" w:line="240" w:lineRule="auto"/>
      <w:ind w:left="567"/>
    </w:pPr>
    <w:rPr>
      <w:rFonts w:ascii="Arial" w:eastAsia="Times New Roman" w:hAnsi="Arial" w:cs="Times New Roman"/>
      <w:sz w:val="24"/>
      <w:szCs w:val="24"/>
      <w:lang w:val="ru-RU" w:eastAsia="en-US"/>
    </w:rPr>
  </w:style>
  <w:style w:type="character" w:customStyle="1" w:styleId="a4">
    <w:name w:val="Основной текст с отступом Знак"/>
    <w:link w:val="1"/>
    <w:rsid w:val="007F5AAB"/>
    <w:rPr>
      <w:rFonts w:ascii="Arial" w:eastAsia="Times New Roman" w:hAnsi="Arial" w:cs="Times New Roman"/>
      <w:sz w:val="24"/>
      <w:szCs w:val="24"/>
      <w:lang w:val="ru-RU" w:eastAsia="en-US"/>
    </w:rPr>
  </w:style>
  <w:style w:type="paragraph" w:customStyle="1" w:styleId="a5">
    <w:name w:val="Нормальний текст"/>
    <w:basedOn w:val="a"/>
    <w:rsid w:val="007F5AAB"/>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20">
    <w:name w:val="a2"/>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30">
    <w:name w:val="a3"/>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0">
    <w:name w:val="a4"/>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0">
    <w:name w:val="a5"/>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bmf">
    <w:name w:val="tj bmf"/>
    <w:basedOn w:val="a"/>
    <w:rsid w:val="007F5AA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Normal (Web)"/>
    <w:basedOn w:val="a"/>
    <w:uiPriority w:val="99"/>
    <w:unhideWhenUsed/>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uiPriority w:val="22"/>
    <w:qFormat/>
    <w:rsid w:val="007F5AAB"/>
    <w:rPr>
      <w:b/>
      <w:bCs/>
    </w:rPr>
  </w:style>
  <w:style w:type="paragraph" w:customStyle="1" w:styleId="rvps7">
    <w:name w:val="rvps7"/>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7F5AAB"/>
  </w:style>
  <w:style w:type="paragraph" w:customStyle="1" w:styleId="rvps6">
    <w:name w:val="rvps6"/>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7F5AAB"/>
  </w:style>
  <w:style w:type="character" w:customStyle="1" w:styleId="5">
    <w:name w:val="Основной текст (5)_"/>
    <w:link w:val="50"/>
    <w:rsid w:val="007F5AAB"/>
    <w:rPr>
      <w:sz w:val="26"/>
      <w:szCs w:val="26"/>
      <w:shd w:val="clear" w:color="auto" w:fill="FFFFFF"/>
    </w:rPr>
  </w:style>
  <w:style w:type="paragraph" w:customStyle="1" w:styleId="50">
    <w:name w:val="Основной текст (5)"/>
    <w:basedOn w:val="a"/>
    <w:link w:val="5"/>
    <w:rsid w:val="007F5AAB"/>
    <w:pPr>
      <w:widowControl w:val="0"/>
      <w:shd w:val="clear" w:color="auto" w:fill="FFFFFF"/>
      <w:spacing w:after="0" w:line="320" w:lineRule="exact"/>
      <w:ind w:firstLine="540"/>
      <w:jc w:val="both"/>
    </w:pPr>
    <w:rPr>
      <w:sz w:val="26"/>
      <w:szCs w:val="26"/>
    </w:rPr>
  </w:style>
  <w:style w:type="paragraph" w:styleId="a8">
    <w:name w:val="Title"/>
    <w:basedOn w:val="a"/>
    <w:next w:val="a"/>
    <w:link w:val="a9"/>
    <w:uiPriority w:val="10"/>
    <w:qFormat/>
    <w:rsid w:val="007F5AAB"/>
    <w:pPr>
      <w:spacing w:before="240" w:after="60" w:line="240" w:lineRule="auto"/>
      <w:jc w:val="center"/>
      <w:outlineLvl w:val="0"/>
    </w:pPr>
    <w:rPr>
      <w:rFonts w:ascii="Cambria" w:eastAsia="Times New Roman" w:hAnsi="Cambria" w:cs="Times New Roman"/>
      <w:b/>
      <w:bCs/>
      <w:kern w:val="28"/>
      <w:sz w:val="32"/>
      <w:szCs w:val="32"/>
      <w:lang w:val="ru-RU" w:eastAsia="en-US"/>
    </w:rPr>
  </w:style>
  <w:style w:type="character" w:customStyle="1" w:styleId="a9">
    <w:name w:val="Название Знак"/>
    <w:basedOn w:val="a0"/>
    <w:link w:val="a8"/>
    <w:uiPriority w:val="10"/>
    <w:rsid w:val="007F5AAB"/>
    <w:rPr>
      <w:rFonts w:ascii="Cambria" w:eastAsia="Times New Roman" w:hAnsi="Cambria" w:cs="Times New Roman"/>
      <w:b/>
      <w:bCs/>
      <w:kern w:val="28"/>
      <w:sz w:val="32"/>
      <w:szCs w:val="32"/>
      <w:lang w:val="ru-RU" w:eastAsia="en-US"/>
    </w:rPr>
  </w:style>
  <w:style w:type="paragraph" w:customStyle="1" w:styleId="rvps2">
    <w:name w:val="rvps2"/>
    <w:basedOn w:val="a"/>
    <w:rsid w:val="007F5A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7F5AAB"/>
  </w:style>
  <w:style w:type="character" w:customStyle="1" w:styleId="rvts46">
    <w:name w:val="rvts46"/>
    <w:basedOn w:val="a0"/>
    <w:rsid w:val="007F5AAB"/>
  </w:style>
  <w:style w:type="character" w:styleId="aa">
    <w:name w:val="Hyperlink"/>
    <w:uiPriority w:val="99"/>
    <w:semiHidden/>
    <w:unhideWhenUsed/>
    <w:rsid w:val="007F5AAB"/>
    <w:rPr>
      <w:color w:val="0000FF"/>
      <w:u w:val="single"/>
    </w:rPr>
  </w:style>
  <w:style w:type="character" w:customStyle="1" w:styleId="rvts0">
    <w:name w:val="rvts0"/>
    <w:basedOn w:val="a0"/>
    <w:rsid w:val="007F5A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22217</Words>
  <Characters>12664</Characters>
  <Application>Microsoft Office Word</Application>
  <DocSecurity>0</DocSecurity>
  <Lines>105</Lines>
  <Paragraphs>69</Paragraphs>
  <ScaleCrop>false</ScaleCrop>
  <Company>Reanimator Extreme Edition</Company>
  <LinksUpToDate>false</LinksUpToDate>
  <CharactersWithSpaces>34812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2020-12-09T14:23:00Z</dcterms:created>
  <dcterms:modified xsi:type="dcterms:W3CDTF">2020-12-09T14:23:00Z</dcterms:modified>
</cp:coreProperties>
</file>