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Default Extension="jpeg" ContentType="image/jpeg"/>
  <Override PartName="/word/theme/themeOverride11.xml" ContentType="application/vnd.openxmlformats-officedocument.themeOverride+xml"/>
  <Override PartName="/word/theme/themeOverride1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F3" w:rsidRPr="000C07D3" w:rsidRDefault="00D25DF3" w:rsidP="00D25DF3">
      <w:pPr>
        <w:ind w:left="12758"/>
        <w:contextualSpacing/>
        <w:rPr>
          <w:b/>
          <w:sz w:val="28"/>
          <w:szCs w:val="28"/>
        </w:rPr>
      </w:pPr>
    </w:p>
    <w:p w:rsidR="00D25DF3" w:rsidRPr="000C07D3" w:rsidRDefault="00D25DF3" w:rsidP="00D25DF3">
      <w:pPr>
        <w:contextualSpacing/>
        <w:jc w:val="center"/>
        <w:rPr>
          <w:rFonts w:ascii="Times New Roman" w:hAnsi="Times New Roman"/>
          <w:b/>
          <w:sz w:val="24"/>
          <w:szCs w:val="24"/>
        </w:rPr>
      </w:pPr>
      <w:r w:rsidRPr="000C07D3">
        <w:rPr>
          <w:rFonts w:ascii="Times New Roman" w:hAnsi="Times New Roman"/>
          <w:b/>
          <w:sz w:val="24"/>
          <w:szCs w:val="24"/>
        </w:rPr>
        <w:t>ЗВІТ</w:t>
      </w:r>
    </w:p>
    <w:p w:rsidR="00D25DF3" w:rsidRPr="000C07D3" w:rsidRDefault="00D25DF3" w:rsidP="00D25DF3">
      <w:pPr>
        <w:contextualSpacing/>
        <w:jc w:val="center"/>
        <w:rPr>
          <w:rFonts w:ascii="Times New Roman" w:hAnsi="Times New Roman"/>
          <w:b/>
          <w:sz w:val="24"/>
          <w:szCs w:val="24"/>
        </w:rPr>
      </w:pPr>
      <w:r w:rsidRPr="000C07D3">
        <w:rPr>
          <w:rFonts w:ascii="Times New Roman" w:hAnsi="Times New Roman"/>
          <w:b/>
          <w:sz w:val="24"/>
          <w:szCs w:val="24"/>
        </w:rPr>
        <w:t xml:space="preserve">про виконання </w:t>
      </w:r>
    </w:p>
    <w:p w:rsidR="00D25DF3" w:rsidRPr="000C07D3" w:rsidRDefault="00D25DF3" w:rsidP="00D25DF3">
      <w:pPr>
        <w:contextualSpacing/>
        <w:jc w:val="center"/>
        <w:rPr>
          <w:rFonts w:ascii="Times New Roman" w:hAnsi="Times New Roman"/>
          <w:b/>
          <w:sz w:val="24"/>
          <w:szCs w:val="24"/>
        </w:rPr>
      </w:pPr>
      <w:r w:rsidRPr="000C07D3">
        <w:rPr>
          <w:rFonts w:ascii="Times New Roman" w:hAnsi="Times New Roman"/>
          <w:b/>
          <w:sz w:val="24"/>
          <w:szCs w:val="24"/>
        </w:rPr>
        <w:t>Стратегічного плану розвитку Тернопільської міської територіальної громади до 2029 року за 2020 рік</w:t>
      </w:r>
    </w:p>
    <w:p w:rsidR="00D25DF3" w:rsidRPr="000C07D3" w:rsidRDefault="00D25DF3" w:rsidP="00D25DF3">
      <w:pPr>
        <w:contextualSpacing/>
        <w:jc w:val="center"/>
        <w:rPr>
          <w:rFonts w:ascii="Times New Roman" w:hAnsi="Times New Roman"/>
          <w:b/>
          <w:sz w:val="24"/>
          <w:szCs w:val="24"/>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2"/>
        <w:gridCol w:w="3968"/>
        <w:gridCol w:w="8644"/>
        <w:gridCol w:w="2976"/>
      </w:tblGrid>
      <w:tr w:rsidR="00D25DF3" w:rsidRPr="000C07D3" w:rsidTr="00CC6239">
        <w:trPr>
          <w:jc w:val="center"/>
        </w:trPr>
        <w:tc>
          <w:tcPr>
            <w:tcW w:w="572" w:type="dxa"/>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 п/п</w:t>
            </w:r>
          </w:p>
        </w:tc>
        <w:tc>
          <w:tcPr>
            <w:tcW w:w="3968"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Основні заходи</w:t>
            </w:r>
          </w:p>
        </w:tc>
        <w:tc>
          <w:tcPr>
            <w:tcW w:w="8644" w:type="dxa"/>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Стан виконання на 31.12.2020 року</w:t>
            </w:r>
          </w:p>
        </w:tc>
        <w:tc>
          <w:tcPr>
            <w:tcW w:w="2976"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Відповідальний виконавець</w:t>
            </w:r>
          </w:p>
        </w:tc>
      </w:tr>
      <w:tr w:rsidR="00D25DF3" w:rsidRPr="000C07D3" w:rsidTr="00CC6239">
        <w:trPr>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СТРАТЕГІЧНИЙ ПРІОРИТЕТ А. ПІДВИЩЕННЯ ЯКОСТІ ЖИТТЯ МЕШКАНЦІВ ГРОМАДИ</w:t>
            </w:r>
          </w:p>
        </w:tc>
      </w:tr>
      <w:tr w:rsidR="00D25DF3" w:rsidRPr="000C07D3" w:rsidTr="00CC6239">
        <w:trPr>
          <w:jc w:val="center"/>
        </w:trPr>
        <w:tc>
          <w:tcPr>
            <w:tcW w:w="16160" w:type="dxa"/>
            <w:gridSpan w:val="4"/>
            <w:tcBorders>
              <w:bottom w:val="single" w:sz="4" w:space="0" w:color="auto"/>
            </w:tcBorders>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Стратегічна ціль А.1. Модернізація житлово-комунальної інфраструктури</w:t>
            </w:r>
          </w:p>
        </w:tc>
      </w:tr>
      <w:tr w:rsidR="00D25DF3" w:rsidRPr="000C07D3" w:rsidTr="00CC6239">
        <w:trPr>
          <w:trHeight w:val="39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А.1.1. Модернізація об’єктів вулично-дорожньої мережі, житлового фонду, прибудинкових територій, благоустрою</w:t>
            </w:r>
          </w:p>
        </w:tc>
      </w:tr>
      <w:tr w:rsidR="00D25DF3" w:rsidRPr="000C07D3" w:rsidTr="00CC6239">
        <w:trPr>
          <w:trHeight w:val="797"/>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Будівництво, ремонт та утримання дорожньої мережі та пішохідних зон</w:t>
            </w:r>
          </w:p>
        </w:tc>
        <w:tc>
          <w:tcPr>
            <w:tcW w:w="8644" w:type="dxa"/>
            <w:tcBorders>
              <w:top w:val="single" w:sz="4" w:space="0" w:color="auto"/>
            </w:tcBorders>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Виконано роботи: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Капітальний ремонт вул. Достоєвського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Капітальний </w:t>
            </w:r>
            <w:proofErr w:type="spellStart"/>
            <w:r w:rsidRPr="000C07D3">
              <w:rPr>
                <w:rFonts w:ascii="Times New Roman" w:hAnsi="Times New Roman"/>
                <w:sz w:val="24"/>
                <w:szCs w:val="24"/>
              </w:rPr>
              <w:t>ремонт-</w:t>
            </w:r>
            <w:proofErr w:type="spellEnd"/>
            <w:r w:rsidRPr="000C07D3">
              <w:rPr>
                <w:rFonts w:ascii="Times New Roman" w:hAnsi="Times New Roman"/>
                <w:sz w:val="24"/>
                <w:szCs w:val="24"/>
              </w:rPr>
              <w:t xml:space="preserve"> влаштування транспортної розв’язки вул. 15 Квітня - вул. </w:t>
            </w:r>
            <w:proofErr w:type="spellStart"/>
            <w:r w:rsidRPr="000C07D3">
              <w:rPr>
                <w:rFonts w:ascii="Times New Roman" w:hAnsi="Times New Roman"/>
                <w:sz w:val="24"/>
                <w:szCs w:val="24"/>
              </w:rPr>
              <w:t>Купчинського</w:t>
            </w:r>
            <w:proofErr w:type="spellEnd"/>
            <w:r w:rsidRPr="000C07D3">
              <w:rPr>
                <w:rFonts w:ascii="Times New Roman" w:hAnsi="Times New Roman"/>
                <w:sz w:val="24"/>
                <w:szCs w:val="24"/>
              </w:rPr>
              <w:t xml:space="preserve"> - проспект Злуки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Капітальний ремонт перехрестя вулиць Новий Світ та Наливайка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Капітальний ремонт привокзального майдану залізничного вокзалу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Капітальний ремонт вул. Стецька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Капітальний ремонт-тимчасова схема організації дорожнього руху влаштування транспортної розв’язки в одному рівні кільцевого типу на вул. Митрополита Шептицького - вул. </w:t>
            </w:r>
            <w:proofErr w:type="spellStart"/>
            <w:r w:rsidRPr="000C07D3">
              <w:rPr>
                <w:rFonts w:ascii="Times New Roman" w:hAnsi="Times New Roman"/>
                <w:sz w:val="24"/>
                <w:szCs w:val="24"/>
              </w:rPr>
              <w:t>Оболоня</w:t>
            </w:r>
            <w:proofErr w:type="spellEnd"/>
            <w:r w:rsidRPr="000C07D3">
              <w:rPr>
                <w:rFonts w:ascii="Times New Roman" w:hAnsi="Times New Roman"/>
                <w:sz w:val="24"/>
                <w:szCs w:val="24"/>
              </w:rPr>
              <w:t xml:space="preserve"> - вул. Білогірська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Капітальний ремонт - тимчасова (експериментальна) організація дорожнього руху на вул. </w:t>
            </w:r>
            <w:proofErr w:type="spellStart"/>
            <w:r w:rsidRPr="000C07D3">
              <w:rPr>
                <w:rFonts w:ascii="Times New Roman" w:hAnsi="Times New Roman"/>
                <w:sz w:val="24"/>
                <w:szCs w:val="24"/>
              </w:rPr>
              <w:t>Оболоня</w:t>
            </w:r>
            <w:proofErr w:type="spellEnd"/>
            <w:r w:rsidRPr="000C07D3">
              <w:rPr>
                <w:rFonts w:ascii="Times New Roman" w:hAnsi="Times New Roman"/>
                <w:sz w:val="24"/>
                <w:szCs w:val="24"/>
              </w:rPr>
              <w:t xml:space="preserve"> та вул. Митрополита Шептицького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Капітальний ремонт проїзної частини дороги на вул. І. </w:t>
            </w:r>
            <w:proofErr w:type="spellStart"/>
            <w:r w:rsidRPr="000C07D3">
              <w:rPr>
                <w:rFonts w:ascii="Times New Roman" w:hAnsi="Times New Roman"/>
                <w:sz w:val="24"/>
                <w:szCs w:val="24"/>
              </w:rPr>
              <w:t>Репина</w:t>
            </w:r>
            <w:proofErr w:type="spellEnd"/>
            <w:r w:rsidRPr="000C07D3">
              <w:rPr>
                <w:rFonts w:ascii="Times New Roman" w:hAnsi="Times New Roman"/>
                <w:sz w:val="24"/>
                <w:szCs w:val="24"/>
              </w:rPr>
              <w:t xml:space="preserve"> (ділянка дороги </w:t>
            </w:r>
            <w:r w:rsidRPr="000C07D3">
              <w:rPr>
                <w:rFonts w:ascii="Times New Roman" w:hAnsi="Times New Roman"/>
                <w:sz w:val="24"/>
                <w:szCs w:val="24"/>
              </w:rPr>
              <w:lastRenderedPageBreak/>
              <w:t xml:space="preserve">від обласного центру екстреної медичної допомоги та медицини катастроф (вул. І. </w:t>
            </w:r>
            <w:proofErr w:type="spellStart"/>
            <w:r w:rsidRPr="000C07D3">
              <w:rPr>
                <w:rFonts w:ascii="Times New Roman" w:hAnsi="Times New Roman"/>
                <w:sz w:val="24"/>
                <w:szCs w:val="24"/>
              </w:rPr>
              <w:t>Репина</w:t>
            </w:r>
            <w:proofErr w:type="spellEnd"/>
            <w:r w:rsidRPr="000C07D3">
              <w:rPr>
                <w:rFonts w:ascii="Times New Roman" w:hAnsi="Times New Roman"/>
                <w:sz w:val="24"/>
                <w:szCs w:val="24"/>
              </w:rPr>
              <w:t>,11) до житлового будинку за адресою вул. Вербицького,22).</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Капітальний ремонт вул. Загребельної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Реконструкція шляхопроводу через залізничну колію на вул. Об’їзна в районі вул. Гайової в м. Тернополі. В 2020 році для </w:t>
            </w:r>
            <w:proofErr w:type="spellStart"/>
            <w:r w:rsidRPr="000C07D3">
              <w:rPr>
                <w:rFonts w:ascii="Times New Roman" w:hAnsi="Times New Roman"/>
                <w:sz w:val="24"/>
                <w:szCs w:val="24"/>
              </w:rPr>
              <w:t>співфінансування</w:t>
            </w:r>
            <w:proofErr w:type="spellEnd"/>
            <w:r w:rsidRPr="000C07D3">
              <w:rPr>
                <w:rFonts w:ascii="Times New Roman" w:hAnsi="Times New Roman"/>
                <w:sz w:val="24"/>
                <w:szCs w:val="24"/>
              </w:rPr>
              <w:t xml:space="preserve"> робіт по даному об'єкті виділено кошти з державного бюджету в сумі 190,0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Виконано поточний ремонт на 148 вулицях міста, оплачено 46,97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Виконано капітальний ремонт тротуарів на 13 об'єктах, оплачено з місцевого бюджету 11,5 млн. грн. Також виконано роботи на 4 об'єктах без залучення бюджетних коштів за рахунок коштів підприємств.</w:t>
            </w:r>
          </w:p>
        </w:tc>
        <w:tc>
          <w:tcPr>
            <w:tcW w:w="2976" w:type="dxa"/>
            <w:vMerge w:val="restart"/>
            <w:tcBorders>
              <w:top w:val="single" w:sz="4" w:space="0" w:color="auto"/>
            </w:tcBorders>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Ремонт житлового фонду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Проведено капітальний ремонт житлового фонду (73,8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покрівель у 35 житлових будинках (6,1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w:t>
            </w:r>
            <w:proofErr w:type="spellStart"/>
            <w:r w:rsidRPr="000C07D3">
              <w:rPr>
                <w:rFonts w:ascii="Times New Roman" w:hAnsi="Times New Roman"/>
                <w:sz w:val="24"/>
                <w:szCs w:val="24"/>
              </w:rPr>
              <w:t>внутрішньобудинкових</w:t>
            </w:r>
            <w:proofErr w:type="spellEnd"/>
            <w:r w:rsidRPr="000C07D3">
              <w:rPr>
                <w:rFonts w:ascii="Times New Roman" w:hAnsi="Times New Roman"/>
                <w:sz w:val="24"/>
                <w:szCs w:val="24"/>
              </w:rPr>
              <w:t xml:space="preserve"> інженерних мереж на 45 об’єктах (3,7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w:t>
            </w:r>
            <w:proofErr w:type="spellStart"/>
            <w:r w:rsidRPr="000C07D3">
              <w:rPr>
                <w:rFonts w:ascii="Times New Roman" w:hAnsi="Times New Roman"/>
                <w:sz w:val="24"/>
                <w:szCs w:val="24"/>
              </w:rPr>
              <w:t>міжпанельних</w:t>
            </w:r>
            <w:proofErr w:type="spellEnd"/>
            <w:r w:rsidRPr="000C07D3">
              <w:rPr>
                <w:rFonts w:ascii="Times New Roman" w:hAnsi="Times New Roman"/>
                <w:sz w:val="24"/>
                <w:szCs w:val="24"/>
              </w:rPr>
              <w:t xml:space="preserve"> швів на 12-ти об’єктах (0,7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- 59 дитячих майданчиків (3,3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- 5 універсальних спортивних майданчиків (3,6 млн. грн.);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- 16 ліфтів (2,1 млн. грн.) та експертне обстеження 105 ліфтів (0,5 млн.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Облаштування прибудинкових територій</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43 прибудинкових територій завершено. Розпочато роботи на 5 об’єктах  (64 млн.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Ремонт та облаштування об’єктів благоустрою</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Збудовано бювет на бульварі Д. Галицького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Виконано роботи з поточного ремонту лавок з виготовленням та монтажем нових, відремонтовано сходи  біля будинків 6-8 по вул. </w:t>
            </w:r>
            <w:proofErr w:type="spellStart"/>
            <w:r w:rsidRPr="000C07D3">
              <w:rPr>
                <w:rFonts w:ascii="Times New Roman" w:hAnsi="Times New Roman"/>
                <w:sz w:val="24"/>
                <w:szCs w:val="24"/>
              </w:rPr>
              <w:t>Коновальця</w:t>
            </w:r>
            <w:proofErr w:type="spellEnd"/>
            <w:r w:rsidRPr="000C07D3">
              <w:rPr>
                <w:rFonts w:ascii="Times New Roman" w:hAnsi="Times New Roman"/>
                <w:sz w:val="24"/>
                <w:szCs w:val="24"/>
              </w:rPr>
              <w:t xml:space="preserve">, за адресою вул. Доли, між школою-ліцеєм №21 та ДНЗ №28 зі сторони вул. Лепкого, 2 А,   біля будинку по вул. </w:t>
            </w:r>
            <w:proofErr w:type="spellStart"/>
            <w:r w:rsidRPr="000C07D3">
              <w:rPr>
                <w:rFonts w:ascii="Times New Roman" w:hAnsi="Times New Roman"/>
                <w:sz w:val="24"/>
                <w:szCs w:val="24"/>
              </w:rPr>
              <w:t>Танцорова</w:t>
            </w:r>
            <w:proofErr w:type="spellEnd"/>
            <w:r w:rsidRPr="000C07D3">
              <w:rPr>
                <w:rFonts w:ascii="Times New Roman" w:hAnsi="Times New Roman"/>
                <w:sz w:val="24"/>
                <w:szCs w:val="24"/>
              </w:rPr>
              <w:t xml:space="preserve">,16, між школою – ліцеєм №21 та ДНЗ №28 зі </w:t>
            </w:r>
            <w:r w:rsidRPr="000C07D3">
              <w:rPr>
                <w:rFonts w:ascii="Times New Roman" w:hAnsi="Times New Roman"/>
                <w:sz w:val="24"/>
                <w:szCs w:val="24"/>
              </w:rPr>
              <w:lastRenderedPageBreak/>
              <w:t>сторони вул. Лепкого,2А в м., освоєно коштів на суму 868,37 тис.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5</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Сприяння створенню та розвитку ОСББ</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Створено 579 ОСББ.</w:t>
            </w:r>
          </w:p>
        </w:tc>
        <w:tc>
          <w:tcPr>
            <w:tcW w:w="2976" w:type="dxa"/>
            <w:vMerge/>
            <w:tcBorders>
              <w:bottom w:val="single" w:sz="4" w:space="0" w:color="auto"/>
            </w:tcBorders>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A.1.2. Реконструкція та модернізація системи водопостачання, каналізаційно-водопровідної мережі</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Будівництво та реконструкція мереж водопостачання і спеціальних об’єктів</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Виконано реконструкцію водопровідних мереж діаметром 400 мм по вул. 15 Квітня - Морозенка, Симоненка - Морозенка, Морозенка - Курбаса загальною довжиною 424 м та вартістю 1 271 тис. грн.</w:t>
            </w:r>
          </w:p>
        </w:tc>
        <w:tc>
          <w:tcPr>
            <w:tcW w:w="2976" w:type="dxa"/>
            <w:vMerge w:val="restart"/>
            <w:tcBorders>
              <w:top w:val="single" w:sz="4" w:space="0" w:color="auto"/>
            </w:tcBorders>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Розширення та реконструкція очисних споруд, очищення стічних вод</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В рамках реалізації проекту розвитку міської інфраструктури-2 у 2020 році завершено виготовлення проектно-кошторисної документації та проведено її експертизу, триває поставка обладнання.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 xml:space="preserve">Встановлення </w:t>
            </w:r>
            <w:proofErr w:type="spellStart"/>
            <w:r w:rsidRPr="000C07D3">
              <w:rPr>
                <w:rFonts w:ascii="Times New Roman" w:hAnsi="Times New Roman"/>
                <w:sz w:val="24"/>
                <w:szCs w:val="24"/>
              </w:rPr>
              <w:t>внутрішньобудинкових</w:t>
            </w:r>
            <w:proofErr w:type="spellEnd"/>
            <w:r w:rsidRPr="000C07D3">
              <w:rPr>
                <w:rFonts w:ascii="Times New Roman" w:hAnsi="Times New Roman"/>
                <w:sz w:val="24"/>
                <w:szCs w:val="24"/>
              </w:rPr>
              <w:t xml:space="preserve"> лічильників холодної та гарячої води</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Встановлено </w:t>
            </w:r>
            <w:proofErr w:type="spellStart"/>
            <w:r w:rsidRPr="000C07D3">
              <w:rPr>
                <w:rFonts w:ascii="Times New Roman" w:hAnsi="Times New Roman"/>
                <w:bCs/>
                <w:sz w:val="24"/>
                <w:szCs w:val="24"/>
              </w:rPr>
              <w:t>внутрішньобудинкові</w:t>
            </w:r>
            <w:proofErr w:type="spellEnd"/>
            <w:r w:rsidRPr="000C07D3">
              <w:rPr>
                <w:rFonts w:ascii="Times New Roman" w:hAnsi="Times New Roman"/>
                <w:bCs/>
                <w:sz w:val="24"/>
                <w:szCs w:val="24"/>
              </w:rPr>
              <w:t xml:space="preserve"> лічильники гарячої води в кількості 14 шт.</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Реконструкція старих та будівництво нових каналізаційних колекторів та мереж</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Виконувались роботи на вул. Садова, вул. Загребельна, вул. Стецька, вул. І. </w:t>
            </w:r>
            <w:proofErr w:type="spellStart"/>
            <w:r w:rsidRPr="000C07D3">
              <w:rPr>
                <w:rFonts w:ascii="Times New Roman" w:hAnsi="Times New Roman"/>
                <w:bCs/>
                <w:sz w:val="24"/>
                <w:szCs w:val="24"/>
              </w:rPr>
              <w:t>Репина</w:t>
            </w:r>
            <w:proofErr w:type="spellEnd"/>
            <w:r w:rsidRPr="000C07D3">
              <w:rPr>
                <w:rFonts w:ascii="Times New Roman" w:hAnsi="Times New Roman"/>
                <w:bCs/>
                <w:sz w:val="24"/>
                <w:szCs w:val="24"/>
              </w:rPr>
              <w:t>, Привокзальний майдан.</w:t>
            </w:r>
          </w:p>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За рахунок коштів підприємства, в рамках реалізації Інвестиційної програми </w:t>
            </w:r>
            <w:proofErr w:type="spellStart"/>
            <w:r w:rsidRPr="000C07D3">
              <w:rPr>
                <w:rFonts w:ascii="Times New Roman" w:hAnsi="Times New Roman"/>
                <w:bCs/>
                <w:sz w:val="24"/>
                <w:szCs w:val="24"/>
              </w:rPr>
              <w:t>КП</w:t>
            </w:r>
            <w:proofErr w:type="spellEnd"/>
            <w:r w:rsidRPr="000C07D3">
              <w:rPr>
                <w:rFonts w:ascii="Times New Roman" w:hAnsi="Times New Roman"/>
                <w:bCs/>
                <w:sz w:val="24"/>
                <w:szCs w:val="24"/>
              </w:rPr>
              <w:t xml:space="preserve"> «Тернопільводоканал» на 2020 рік виконано реконструкцію ділянки каналізації по вул. Карпенка,14 діаметром 250 мм довжиною 96 м вартістю 92 тис. грн. та </w:t>
            </w:r>
            <w:proofErr w:type="spellStart"/>
            <w:r w:rsidRPr="000C07D3">
              <w:rPr>
                <w:rFonts w:ascii="Times New Roman" w:hAnsi="Times New Roman"/>
                <w:bCs/>
                <w:sz w:val="24"/>
                <w:szCs w:val="24"/>
              </w:rPr>
              <w:t>Коновальця</w:t>
            </w:r>
            <w:proofErr w:type="spellEnd"/>
            <w:r w:rsidRPr="000C07D3">
              <w:rPr>
                <w:rFonts w:ascii="Times New Roman" w:hAnsi="Times New Roman"/>
                <w:bCs/>
                <w:sz w:val="24"/>
                <w:szCs w:val="24"/>
              </w:rPr>
              <w:t>,4-8 діаметром 200 мм довжиною 126 м вартістю 89 тис. грн.</w:t>
            </w:r>
          </w:p>
        </w:tc>
        <w:tc>
          <w:tcPr>
            <w:tcW w:w="2976" w:type="dxa"/>
            <w:vMerge/>
            <w:tcBorders>
              <w:bottom w:val="single" w:sz="4" w:space="0" w:color="auto"/>
            </w:tcBorders>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A.1.3. Ефективне поводження з твердими побутовими відходами (ТПВ)</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Організація розподільного збору ТПВ</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На території Тернопільської міської територіальної громади запроваджено роздільне сортування побутових відходів, пластик та розміщено орієнтовно 1000 сіток. На території </w:t>
            </w:r>
            <w:proofErr w:type="spellStart"/>
            <w:r w:rsidRPr="000C07D3">
              <w:rPr>
                <w:rFonts w:ascii="Times New Roman" w:hAnsi="Times New Roman"/>
                <w:bCs/>
                <w:sz w:val="24"/>
                <w:szCs w:val="24"/>
              </w:rPr>
              <w:t>сміттєзвалища</w:t>
            </w:r>
            <w:proofErr w:type="spellEnd"/>
            <w:r w:rsidRPr="000C07D3">
              <w:rPr>
                <w:rFonts w:ascii="Times New Roman" w:hAnsi="Times New Roman"/>
                <w:bCs/>
                <w:sz w:val="24"/>
                <w:szCs w:val="24"/>
              </w:rPr>
              <w:t xml:space="preserve"> біля с. </w:t>
            </w:r>
            <w:proofErr w:type="spellStart"/>
            <w:r w:rsidRPr="000C07D3">
              <w:rPr>
                <w:rFonts w:ascii="Times New Roman" w:hAnsi="Times New Roman"/>
                <w:bCs/>
                <w:sz w:val="24"/>
                <w:szCs w:val="24"/>
              </w:rPr>
              <w:t>Малашівці</w:t>
            </w:r>
            <w:proofErr w:type="spellEnd"/>
            <w:r w:rsidRPr="000C07D3">
              <w:rPr>
                <w:rFonts w:ascii="Times New Roman" w:hAnsi="Times New Roman"/>
                <w:bCs/>
                <w:sz w:val="24"/>
                <w:szCs w:val="24"/>
              </w:rPr>
              <w:t xml:space="preserve"> встановлено  </w:t>
            </w:r>
            <w:proofErr w:type="spellStart"/>
            <w:r w:rsidRPr="000C07D3">
              <w:rPr>
                <w:rFonts w:ascii="Times New Roman" w:hAnsi="Times New Roman"/>
                <w:bCs/>
                <w:sz w:val="24"/>
                <w:szCs w:val="24"/>
              </w:rPr>
              <w:t>сміттєсортувальну</w:t>
            </w:r>
            <w:proofErr w:type="spellEnd"/>
            <w:r w:rsidRPr="000C07D3">
              <w:rPr>
                <w:rFonts w:ascii="Times New Roman" w:hAnsi="Times New Roman"/>
                <w:bCs/>
                <w:sz w:val="24"/>
                <w:szCs w:val="24"/>
              </w:rPr>
              <w:t xml:space="preserve"> лінію.</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Облаштування під’їзних шляхів до контейнерних майданчиків</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При потребі виконуються роботи з поточного ремонту </w:t>
            </w:r>
            <w:proofErr w:type="spellStart"/>
            <w:r w:rsidRPr="000C07D3">
              <w:rPr>
                <w:rFonts w:ascii="Times New Roman" w:hAnsi="Times New Roman"/>
                <w:bCs/>
                <w:sz w:val="24"/>
                <w:szCs w:val="24"/>
              </w:rPr>
              <w:t>міжквартальних</w:t>
            </w:r>
            <w:proofErr w:type="spellEnd"/>
            <w:r w:rsidRPr="000C07D3">
              <w:rPr>
                <w:rFonts w:ascii="Times New Roman" w:hAnsi="Times New Roman"/>
                <w:bCs/>
                <w:sz w:val="24"/>
                <w:szCs w:val="24"/>
              </w:rPr>
              <w:t xml:space="preserve"> та прибудинкових територій.</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 xml:space="preserve">Будівництво </w:t>
            </w:r>
            <w:proofErr w:type="spellStart"/>
            <w:r w:rsidRPr="000C07D3">
              <w:rPr>
                <w:rFonts w:ascii="Times New Roman" w:hAnsi="Times New Roman"/>
                <w:sz w:val="24"/>
                <w:szCs w:val="24"/>
              </w:rPr>
              <w:t>сміттєпереробного</w:t>
            </w:r>
            <w:proofErr w:type="spellEnd"/>
            <w:r w:rsidRPr="000C07D3">
              <w:rPr>
                <w:rFonts w:ascii="Times New Roman" w:hAnsi="Times New Roman"/>
                <w:sz w:val="24"/>
                <w:szCs w:val="24"/>
              </w:rPr>
              <w:t xml:space="preserve"> комплексу з технологією сортування відповідних відходів та утилізацією шкідливих газів</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Реалізацію проекту </w:t>
            </w:r>
            <w:proofErr w:type="spellStart"/>
            <w:r w:rsidRPr="000C07D3">
              <w:rPr>
                <w:rFonts w:ascii="Times New Roman" w:hAnsi="Times New Roman"/>
                <w:bCs/>
                <w:sz w:val="24"/>
                <w:szCs w:val="24"/>
              </w:rPr>
              <w:t>електрогенераторної</w:t>
            </w:r>
            <w:proofErr w:type="spellEnd"/>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когенераційної</w:t>
            </w:r>
            <w:proofErr w:type="spellEnd"/>
            <w:r w:rsidRPr="000C07D3">
              <w:rPr>
                <w:rFonts w:ascii="Times New Roman" w:hAnsi="Times New Roman"/>
                <w:bCs/>
                <w:sz w:val="24"/>
                <w:szCs w:val="24"/>
              </w:rPr>
              <w:t xml:space="preserve">) установки для виробництва електричної енергії з використанням альтернативних джерел енергії здійснює ТОВ «ЕКО – ЛІДЕР Т». На даний час змонтовано </w:t>
            </w:r>
            <w:proofErr w:type="spellStart"/>
            <w:r w:rsidRPr="000C07D3">
              <w:rPr>
                <w:rFonts w:ascii="Times New Roman" w:hAnsi="Times New Roman"/>
                <w:bCs/>
                <w:sz w:val="24"/>
                <w:szCs w:val="24"/>
              </w:rPr>
              <w:t>електрогенераторну</w:t>
            </w:r>
            <w:proofErr w:type="spellEnd"/>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когенераційну</w:t>
            </w:r>
            <w:proofErr w:type="spellEnd"/>
            <w:r w:rsidRPr="000C07D3">
              <w:rPr>
                <w:rFonts w:ascii="Times New Roman" w:hAnsi="Times New Roman"/>
                <w:bCs/>
                <w:sz w:val="24"/>
                <w:szCs w:val="24"/>
              </w:rPr>
              <w:t xml:space="preserve">) установку </w:t>
            </w:r>
            <w:proofErr w:type="spellStart"/>
            <w:r w:rsidRPr="000C07D3">
              <w:rPr>
                <w:rFonts w:ascii="Times New Roman" w:hAnsi="Times New Roman"/>
                <w:bCs/>
                <w:sz w:val="24"/>
                <w:szCs w:val="24"/>
              </w:rPr>
              <w:t>Jenbacher</w:t>
            </w:r>
            <w:proofErr w:type="spellEnd"/>
            <w:r w:rsidRPr="000C07D3">
              <w:rPr>
                <w:rFonts w:ascii="Times New Roman" w:hAnsi="Times New Roman"/>
                <w:bCs/>
                <w:sz w:val="24"/>
                <w:szCs w:val="24"/>
              </w:rPr>
              <w:t xml:space="preserve"> JW 316 GS № 328 у т.ч. генератор HC 634/K2, що працює на біогазі.</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Належне утримання та рекультивація полігону ТПВ</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Роботи з утримання та рекультивації </w:t>
            </w:r>
            <w:proofErr w:type="spellStart"/>
            <w:r w:rsidRPr="000C07D3">
              <w:rPr>
                <w:rFonts w:ascii="Times New Roman" w:hAnsi="Times New Roman"/>
                <w:bCs/>
                <w:sz w:val="24"/>
                <w:szCs w:val="24"/>
              </w:rPr>
              <w:t>сміттєзвалища</w:t>
            </w:r>
            <w:proofErr w:type="spellEnd"/>
            <w:r w:rsidRPr="000C07D3">
              <w:rPr>
                <w:rFonts w:ascii="Times New Roman" w:hAnsi="Times New Roman"/>
                <w:bCs/>
                <w:sz w:val="24"/>
                <w:szCs w:val="24"/>
              </w:rPr>
              <w:t xml:space="preserve"> біля с. </w:t>
            </w:r>
            <w:proofErr w:type="spellStart"/>
            <w:r w:rsidRPr="000C07D3">
              <w:rPr>
                <w:rFonts w:ascii="Times New Roman" w:hAnsi="Times New Roman"/>
                <w:bCs/>
                <w:sz w:val="24"/>
                <w:szCs w:val="24"/>
              </w:rPr>
              <w:t>Малашівці</w:t>
            </w:r>
            <w:proofErr w:type="spellEnd"/>
            <w:r w:rsidRPr="000C07D3">
              <w:rPr>
                <w:rFonts w:ascii="Times New Roman" w:hAnsi="Times New Roman"/>
                <w:bCs/>
                <w:sz w:val="24"/>
                <w:szCs w:val="24"/>
              </w:rPr>
              <w:t xml:space="preserve"> здійснює інвестор - ТОВ «ЕКО – ЛІДЕР Т».</w:t>
            </w:r>
          </w:p>
        </w:tc>
        <w:tc>
          <w:tcPr>
            <w:tcW w:w="2976" w:type="dxa"/>
            <w:vMerge/>
            <w:tcBorders>
              <w:bottom w:val="single" w:sz="4" w:space="0" w:color="auto"/>
            </w:tcBorders>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bCs/>
                <w:sz w:val="24"/>
                <w:szCs w:val="24"/>
              </w:rPr>
              <w:t xml:space="preserve">A.1.4. Зростання рівня комфорту пересування для </w:t>
            </w:r>
            <w:proofErr w:type="spellStart"/>
            <w:r w:rsidRPr="000C07D3">
              <w:rPr>
                <w:rFonts w:ascii="Times New Roman" w:hAnsi="Times New Roman"/>
                <w:b/>
                <w:bCs/>
                <w:sz w:val="24"/>
                <w:szCs w:val="24"/>
              </w:rPr>
              <w:t>маломобільних</w:t>
            </w:r>
            <w:proofErr w:type="spellEnd"/>
            <w:r w:rsidRPr="000C07D3">
              <w:rPr>
                <w:rFonts w:ascii="Times New Roman" w:hAnsi="Times New Roman"/>
                <w:b/>
                <w:bCs/>
                <w:sz w:val="24"/>
                <w:szCs w:val="24"/>
              </w:rPr>
              <w:t xml:space="preserve"> груп населення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1</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Облаштування пандусів-з’їздів на пішохідних переходах, комунальних закладах та житлових будинках</w:t>
            </w:r>
          </w:p>
        </w:tc>
        <w:tc>
          <w:tcPr>
            <w:tcW w:w="8644" w:type="dxa"/>
            <w:vAlign w:val="center"/>
          </w:tcPr>
          <w:p w:rsidR="00D25DF3" w:rsidRPr="000C07D3" w:rsidRDefault="00D25DF3" w:rsidP="00CC6239">
            <w:pPr>
              <w:pStyle w:val="1"/>
              <w:ind w:right="-30"/>
              <w:rPr>
                <w:rFonts w:ascii="Times New Roman" w:hAnsi="Times New Roman"/>
                <w:bCs/>
                <w:sz w:val="24"/>
                <w:szCs w:val="24"/>
              </w:rPr>
            </w:pPr>
            <w:r w:rsidRPr="000C07D3">
              <w:rPr>
                <w:rFonts w:ascii="Times New Roman" w:hAnsi="Times New Roman"/>
                <w:bCs/>
                <w:sz w:val="24"/>
                <w:szCs w:val="24"/>
              </w:rPr>
              <w:t xml:space="preserve">Виконано роботи з пониження бордюрів з влаштуванням тактильної плитки на пішохідних переходах вул. Руська, вул. Гоголя, вул. Хмельницького, вул. Старий Ринок, вул. Паращука, </w:t>
            </w:r>
            <w:proofErr w:type="spellStart"/>
            <w:r w:rsidRPr="000C07D3">
              <w:rPr>
                <w:rFonts w:ascii="Times New Roman" w:hAnsi="Times New Roman"/>
                <w:bCs/>
                <w:sz w:val="24"/>
                <w:szCs w:val="24"/>
              </w:rPr>
              <w:t>п-т</w:t>
            </w:r>
            <w:proofErr w:type="spellEnd"/>
            <w:r w:rsidRPr="000C07D3">
              <w:rPr>
                <w:rFonts w:ascii="Times New Roman" w:hAnsi="Times New Roman"/>
                <w:bCs/>
                <w:sz w:val="24"/>
                <w:szCs w:val="24"/>
              </w:rPr>
              <w:t xml:space="preserve"> С. Бандери, вул. </w:t>
            </w:r>
            <w:proofErr w:type="spellStart"/>
            <w:r w:rsidRPr="000C07D3">
              <w:rPr>
                <w:rFonts w:ascii="Times New Roman" w:hAnsi="Times New Roman"/>
                <w:bCs/>
                <w:sz w:val="24"/>
                <w:szCs w:val="24"/>
              </w:rPr>
              <w:t>Коновальця</w:t>
            </w:r>
            <w:proofErr w:type="spellEnd"/>
            <w:r w:rsidRPr="000C07D3">
              <w:rPr>
                <w:rFonts w:ascii="Times New Roman" w:hAnsi="Times New Roman"/>
                <w:bCs/>
                <w:sz w:val="24"/>
                <w:szCs w:val="24"/>
              </w:rPr>
              <w:t xml:space="preserve">, вул. </w:t>
            </w:r>
            <w:proofErr w:type="spellStart"/>
            <w:r w:rsidRPr="000C07D3">
              <w:rPr>
                <w:rFonts w:ascii="Times New Roman" w:hAnsi="Times New Roman"/>
                <w:bCs/>
                <w:sz w:val="24"/>
                <w:szCs w:val="24"/>
              </w:rPr>
              <w:t>Слівенська</w:t>
            </w:r>
            <w:proofErr w:type="spellEnd"/>
            <w:r w:rsidRPr="000C07D3">
              <w:rPr>
                <w:rFonts w:ascii="Times New Roman" w:hAnsi="Times New Roman"/>
                <w:bCs/>
                <w:sz w:val="24"/>
                <w:szCs w:val="24"/>
              </w:rPr>
              <w:t xml:space="preserve">, вул. Ю. </w:t>
            </w:r>
            <w:proofErr w:type="spellStart"/>
            <w:r w:rsidRPr="000C07D3">
              <w:rPr>
                <w:rFonts w:ascii="Times New Roman" w:hAnsi="Times New Roman"/>
                <w:bCs/>
                <w:sz w:val="24"/>
                <w:szCs w:val="24"/>
              </w:rPr>
              <w:t>Опільського</w:t>
            </w:r>
            <w:proofErr w:type="spellEnd"/>
            <w:r w:rsidRPr="000C07D3">
              <w:rPr>
                <w:rFonts w:ascii="Times New Roman" w:hAnsi="Times New Roman"/>
                <w:bCs/>
                <w:sz w:val="24"/>
                <w:szCs w:val="24"/>
              </w:rPr>
              <w:t>, вул. В. Винниченка, вул. С. Крушельницької, вул. Митрополита Шептицького. Оплачено 911,4 тис. грн.</w:t>
            </w:r>
          </w:p>
        </w:tc>
        <w:tc>
          <w:tcPr>
            <w:tcW w:w="2976" w:type="dxa"/>
            <w:vMerge w:val="restart"/>
            <w:tcBorders>
              <w:top w:val="single" w:sz="4" w:space="0" w:color="auto"/>
            </w:tcBorders>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pStyle w:val="1"/>
              <w:ind w:left="-52" w:right="-30"/>
              <w:rPr>
                <w:rFonts w:ascii="Times New Roman" w:hAnsi="Times New Roman"/>
                <w:sz w:val="24"/>
                <w:szCs w:val="24"/>
              </w:rPr>
            </w:pPr>
            <w:r w:rsidRPr="000C07D3">
              <w:rPr>
                <w:rFonts w:ascii="Times New Roman" w:hAnsi="Times New Roman"/>
                <w:sz w:val="24"/>
                <w:szCs w:val="24"/>
              </w:rPr>
              <w:t xml:space="preserve">Облаштування відповідних елементів благоустрою з урахуванням потреб </w:t>
            </w:r>
            <w:proofErr w:type="spellStart"/>
            <w:r w:rsidRPr="000C07D3">
              <w:rPr>
                <w:rFonts w:ascii="Times New Roman" w:hAnsi="Times New Roman"/>
                <w:sz w:val="24"/>
                <w:szCs w:val="24"/>
              </w:rPr>
              <w:t>маломобільних</w:t>
            </w:r>
            <w:proofErr w:type="spellEnd"/>
            <w:r w:rsidRPr="000C07D3">
              <w:rPr>
                <w:rFonts w:ascii="Times New Roman" w:hAnsi="Times New Roman"/>
                <w:sz w:val="24"/>
                <w:szCs w:val="24"/>
              </w:rPr>
              <w:t xml:space="preserve"> груп населення</w:t>
            </w:r>
          </w:p>
        </w:tc>
        <w:tc>
          <w:tcPr>
            <w:tcW w:w="8644" w:type="dxa"/>
            <w:vAlign w:val="center"/>
          </w:tcPr>
          <w:p w:rsidR="00D25DF3" w:rsidRPr="000C07D3" w:rsidRDefault="00D25DF3" w:rsidP="00CC6239">
            <w:pPr>
              <w:pStyle w:val="1"/>
              <w:ind w:right="-30"/>
              <w:rPr>
                <w:rFonts w:ascii="Times New Roman" w:hAnsi="Times New Roman"/>
                <w:bCs/>
                <w:sz w:val="24"/>
                <w:szCs w:val="24"/>
              </w:rPr>
            </w:pPr>
            <w:proofErr w:type="spellStart"/>
            <w:r w:rsidRPr="000C07D3">
              <w:rPr>
                <w:rFonts w:ascii="Times New Roman" w:hAnsi="Times New Roman"/>
                <w:bCs/>
                <w:sz w:val="24"/>
                <w:szCs w:val="24"/>
              </w:rPr>
              <w:t>Облаштовано</w:t>
            </w:r>
            <w:proofErr w:type="spellEnd"/>
            <w:r w:rsidRPr="000C07D3">
              <w:rPr>
                <w:rFonts w:ascii="Times New Roman" w:hAnsi="Times New Roman"/>
                <w:bCs/>
                <w:sz w:val="24"/>
                <w:szCs w:val="24"/>
              </w:rPr>
              <w:t xml:space="preserve"> надземний пішохідний перехід двома ліфтовими спорудами на вул. 15 Квітня в районі транспортної розв'язки вул. </w:t>
            </w:r>
            <w:proofErr w:type="spellStart"/>
            <w:r w:rsidRPr="000C07D3">
              <w:rPr>
                <w:rFonts w:ascii="Times New Roman" w:hAnsi="Times New Roman"/>
                <w:bCs/>
                <w:sz w:val="24"/>
                <w:szCs w:val="24"/>
              </w:rPr>
              <w:t>Протасевича</w:t>
            </w:r>
            <w:proofErr w:type="spellEnd"/>
            <w:r w:rsidRPr="000C07D3">
              <w:rPr>
                <w:rFonts w:ascii="Times New Roman" w:hAnsi="Times New Roman"/>
                <w:bCs/>
                <w:sz w:val="24"/>
                <w:szCs w:val="24"/>
              </w:rPr>
              <w:t xml:space="preserve"> - проспект Ст. Бандери - вул. 15 Квітня - </w:t>
            </w:r>
            <w:proofErr w:type="spellStart"/>
            <w:r w:rsidRPr="000C07D3">
              <w:rPr>
                <w:rFonts w:ascii="Times New Roman" w:hAnsi="Times New Roman"/>
                <w:bCs/>
                <w:sz w:val="24"/>
                <w:szCs w:val="24"/>
              </w:rPr>
              <w:t>Підволочиське</w:t>
            </w:r>
            <w:proofErr w:type="spellEnd"/>
            <w:r w:rsidRPr="000C07D3">
              <w:rPr>
                <w:rFonts w:ascii="Times New Roman" w:hAnsi="Times New Roman"/>
                <w:bCs/>
                <w:sz w:val="24"/>
                <w:szCs w:val="24"/>
              </w:rPr>
              <w:t xml:space="preserve"> шосе.</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tcBorders>
              <w:bottom w:val="single" w:sz="4" w:space="0" w:color="auto"/>
            </w:tcBorders>
            <w:vAlign w:val="center"/>
          </w:tcPr>
          <w:p w:rsidR="00D25DF3" w:rsidRPr="000C07D3" w:rsidRDefault="00D25DF3" w:rsidP="00CC6239">
            <w:pPr>
              <w:jc w:val="center"/>
              <w:rPr>
                <w:rFonts w:ascii="Times New Roman" w:hAnsi="Times New Roman"/>
                <w:b/>
                <w:sz w:val="24"/>
                <w:szCs w:val="24"/>
                <w:highlight w:val="yellow"/>
              </w:rPr>
            </w:pPr>
            <w:r w:rsidRPr="000C07D3">
              <w:rPr>
                <w:rFonts w:ascii="Times New Roman" w:hAnsi="Times New Roman"/>
                <w:b/>
                <w:sz w:val="24"/>
                <w:szCs w:val="24"/>
              </w:rPr>
              <w:t xml:space="preserve">Стратегічна ціль А.2. </w:t>
            </w:r>
            <w:proofErr w:type="spellStart"/>
            <w:r w:rsidRPr="000C07D3">
              <w:rPr>
                <w:rFonts w:ascii="Times New Roman" w:hAnsi="Times New Roman"/>
                <w:b/>
                <w:sz w:val="24"/>
                <w:szCs w:val="24"/>
              </w:rPr>
              <w:t>Енергоефективність</w:t>
            </w:r>
            <w:proofErr w:type="spellEnd"/>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 xml:space="preserve">A.2.1. Ефективне функціонування системи </w:t>
            </w:r>
            <w:proofErr w:type="spellStart"/>
            <w:r w:rsidRPr="000C07D3">
              <w:rPr>
                <w:rFonts w:ascii="Times New Roman" w:hAnsi="Times New Roman"/>
                <w:b/>
                <w:sz w:val="24"/>
                <w:szCs w:val="24"/>
              </w:rPr>
              <w:t>енергоаудиту</w:t>
            </w:r>
            <w:proofErr w:type="spellEnd"/>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iCs/>
                <w:sz w:val="24"/>
                <w:szCs w:val="24"/>
                <w:highlight w:val="yellow"/>
              </w:rPr>
            </w:pPr>
            <w:r w:rsidRPr="000C07D3">
              <w:rPr>
                <w:rFonts w:ascii="Times New Roman" w:hAnsi="Times New Roman"/>
                <w:iCs/>
                <w:sz w:val="24"/>
                <w:szCs w:val="24"/>
              </w:rPr>
              <w:t xml:space="preserve">Проведення комплексного </w:t>
            </w:r>
            <w:proofErr w:type="spellStart"/>
            <w:r w:rsidRPr="000C07D3">
              <w:rPr>
                <w:rFonts w:ascii="Times New Roman" w:hAnsi="Times New Roman"/>
                <w:iCs/>
                <w:sz w:val="24"/>
                <w:szCs w:val="24"/>
              </w:rPr>
              <w:t>енергоаудиту</w:t>
            </w:r>
            <w:proofErr w:type="spellEnd"/>
            <w:r w:rsidRPr="000C07D3">
              <w:rPr>
                <w:rFonts w:ascii="Times New Roman" w:hAnsi="Times New Roman"/>
                <w:iCs/>
                <w:sz w:val="24"/>
                <w:szCs w:val="24"/>
              </w:rPr>
              <w:t xml:space="preserve"> закладів бюджетної сфери та житлового фонду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рамках проекту Європейського Інвестиційного Банку «Глибока </w:t>
            </w:r>
            <w:proofErr w:type="spellStart"/>
            <w:r w:rsidRPr="000C07D3">
              <w:rPr>
                <w:rFonts w:ascii="Times New Roman" w:hAnsi="Times New Roman"/>
                <w:sz w:val="24"/>
                <w:szCs w:val="24"/>
              </w:rPr>
              <w:t>термомодернізація</w:t>
            </w:r>
            <w:proofErr w:type="spellEnd"/>
            <w:r w:rsidRPr="000C07D3">
              <w:rPr>
                <w:rFonts w:ascii="Times New Roman" w:hAnsi="Times New Roman"/>
                <w:sz w:val="24"/>
                <w:szCs w:val="24"/>
              </w:rPr>
              <w:t xml:space="preserve"> будівель закладів освіти м. Тернопіль» проведено </w:t>
            </w:r>
            <w:proofErr w:type="spellStart"/>
            <w:r w:rsidRPr="000C07D3">
              <w:rPr>
                <w:rFonts w:ascii="Times New Roman" w:hAnsi="Times New Roman"/>
                <w:sz w:val="24"/>
                <w:szCs w:val="24"/>
              </w:rPr>
              <w:t>енергоаудит</w:t>
            </w:r>
            <w:proofErr w:type="spellEnd"/>
            <w:r w:rsidRPr="000C07D3">
              <w:rPr>
                <w:rFonts w:ascii="Times New Roman" w:hAnsi="Times New Roman"/>
                <w:sz w:val="24"/>
                <w:szCs w:val="24"/>
              </w:rPr>
              <w:t xml:space="preserve"> 93 начальних закладів освітнього, культурного та спортивного призначення.</w:t>
            </w:r>
          </w:p>
        </w:tc>
        <w:tc>
          <w:tcPr>
            <w:tcW w:w="2976" w:type="dxa"/>
            <w:vMerge w:val="restart"/>
            <w:tcBorders>
              <w:top w:val="single" w:sz="4" w:space="0" w:color="auto"/>
            </w:tcBorders>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Встановлення відповідних приладів обліку споживання енергоресурсів в закладах бюджетної сфери та житлового фонду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Встановлено прилади обліку у всіх громадських будівлях комунальної власності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житловому фонді встановлено лічильники тепла у складі 178 індивідуальних теплових пунктів погодного регулювання.</w:t>
            </w:r>
          </w:p>
        </w:tc>
        <w:tc>
          <w:tcPr>
            <w:tcW w:w="2976" w:type="dxa"/>
            <w:vMerge/>
            <w:tcBorders>
              <w:top w:val="single" w:sz="4" w:space="0" w:color="auto"/>
            </w:tcBorders>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Оцінка потенціалу громади щодо можливості облаштування споруд та засобів отримання альтернативних видів енергії</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 підтримки проекту USAID затверджено «План дій зі сталого енергетичного розвитку м. Тернополя до 2020 року».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 підтримки Світового Банку підготовлено «Програму енергетичної трансформації Тернополя».</w:t>
            </w:r>
          </w:p>
        </w:tc>
        <w:tc>
          <w:tcPr>
            <w:tcW w:w="2976" w:type="dxa"/>
            <w:vMerge/>
            <w:tcBorders>
              <w:top w:val="single" w:sz="4" w:space="0" w:color="auto"/>
            </w:tcBorders>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A.2.2. Реконструкція котелень</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Перехід на альтернативні джерела теплопостачання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котельнях за адресою вул. Лемківська, вул. Лесі Українки та </w:t>
            </w:r>
            <w:proofErr w:type="spellStart"/>
            <w:r w:rsidRPr="000C07D3">
              <w:rPr>
                <w:rFonts w:ascii="Times New Roman" w:hAnsi="Times New Roman"/>
                <w:sz w:val="24"/>
                <w:szCs w:val="24"/>
              </w:rPr>
              <w:t>бул</w:t>
            </w:r>
            <w:proofErr w:type="spellEnd"/>
            <w:r w:rsidRPr="000C07D3">
              <w:rPr>
                <w:rFonts w:ascii="Times New Roman" w:hAnsi="Times New Roman"/>
                <w:sz w:val="24"/>
                <w:szCs w:val="24"/>
              </w:rPr>
              <w:t>. Просвіти використовуються альтернативні джерела енергії.</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Модернізація обладнання котелень</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Виконано роботи із технічного переоснащення котельні на вул. </w:t>
            </w:r>
            <w:proofErr w:type="spellStart"/>
            <w:r w:rsidRPr="000C07D3">
              <w:rPr>
                <w:rFonts w:ascii="Times New Roman" w:hAnsi="Times New Roman"/>
                <w:sz w:val="24"/>
                <w:szCs w:val="24"/>
              </w:rPr>
              <w:t>Купчинського</w:t>
            </w:r>
            <w:proofErr w:type="spellEnd"/>
            <w:r w:rsidRPr="000C07D3">
              <w:rPr>
                <w:rFonts w:ascii="Times New Roman" w:hAnsi="Times New Roman"/>
                <w:sz w:val="24"/>
                <w:szCs w:val="24"/>
              </w:rPr>
              <w:t>, 14 на суму 133 220, 83 євро в рамках проекту «</w:t>
            </w:r>
            <w:proofErr w:type="spellStart"/>
            <w:r w:rsidRPr="000C07D3">
              <w:rPr>
                <w:rFonts w:ascii="Times New Roman" w:hAnsi="Times New Roman"/>
                <w:sz w:val="24"/>
                <w:szCs w:val="24"/>
              </w:rPr>
              <w:t>DemoUkrainaDH</w:t>
            </w:r>
            <w:proofErr w:type="spellEnd"/>
            <w:r w:rsidRPr="000C07D3">
              <w:rPr>
                <w:rFonts w:ascii="Times New Roman" w:hAnsi="Times New Roman"/>
                <w:sz w:val="24"/>
                <w:szCs w:val="24"/>
              </w:rPr>
              <w:t xml:space="preserve">». В рамках проекту Європейського банку реконструкції та розвитку щодо модернізації системи централізованого теплопостачання також виконано роботи із реконструкції </w:t>
            </w:r>
            <w:r w:rsidRPr="000C07D3">
              <w:rPr>
                <w:rFonts w:ascii="Times New Roman" w:hAnsi="Times New Roman"/>
                <w:sz w:val="24"/>
                <w:szCs w:val="24"/>
              </w:rPr>
              <w:lastRenderedPageBreak/>
              <w:t>котельні на вул. Л. Українки, 3 на суму  475 727, 9 євро.</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3</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Комплексне облаштування індивідуальних теплових пунктів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Встановлено 14 індивідуально-теплових пунктів у багатоповерхових житлових будинках.</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 xml:space="preserve">A.2.3. Забезпечення комплексної </w:t>
            </w:r>
            <w:proofErr w:type="spellStart"/>
            <w:r w:rsidRPr="000C07D3">
              <w:rPr>
                <w:rFonts w:ascii="Times New Roman" w:hAnsi="Times New Roman"/>
                <w:b/>
                <w:sz w:val="24"/>
                <w:szCs w:val="24"/>
              </w:rPr>
              <w:t>термомодернізації</w:t>
            </w:r>
            <w:proofErr w:type="spellEnd"/>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iCs/>
                <w:sz w:val="24"/>
                <w:szCs w:val="24"/>
              </w:rPr>
            </w:pPr>
            <w:proofErr w:type="spellStart"/>
            <w:r w:rsidRPr="000C07D3">
              <w:rPr>
                <w:rFonts w:ascii="Times New Roman" w:hAnsi="Times New Roman"/>
                <w:iCs/>
                <w:sz w:val="24"/>
                <w:szCs w:val="24"/>
              </w:rPr>
              <w:t>Термомодернізація</w:t>
            </w:r>
            <w:proofErr w:type="spellEnd"/>
            <w:r w:rsidRPr="000C07D3">
              <w:rPr>
                <w:rFonts w:ascii="Times New Roman" w:hAnsi="Times New Roman"/>
                <w:iCs/>
                <w:sz w:val="24"/>
                <w:szCs w:val="24"/>
              </w:rPr>
              <w:t xml:space="preserve"> закладів бюджетної сфери та житлового фонду з використанням сучасних технологій </w:t>
            </w:r>
            <w:proofErr w:type="spellStart"/>
            <w:r w:rsidRPr="000C07D3">
              <w:rPr>
                <w:rFonts w:ascii="Times New Roman" w:hAnsi="Times New Roman"/>
                <w:iCs/>
                <w:sz w:val="24"/>
                <w:szCs w:val="24"/>
              </w:rPr>
              <w:t>енергоефективних</w:t>
            </w:r>
            <w:proofErr w:type="spellEnd"/>
            <w:r w:rsidRPr="000C07D3">
              <w:rPr>
                <w:rFonts w:ascii="Times New Roman" w:hAnsi="Times New Roman"/>
                <w:iCs/>
                <w:sz w:val="24"/>
                <w:szCs w:val="24"/>
              </w:rPr>
              <w:t xml:space="preserve"> систем, в тому числі на умовах </w:t>
            </w:r>
            <w:proofErr w:type="spellStart"/>
            <w:r w:rsidRPr="000C07D3">
              <w:rPr>
                <w:rFonts w:ascii="Times New Roman" w:hAnsi="Times New Roman"/>
                <w:iCs/>
                <w:sz w:val="24"/>
                <w:szCs w:val="24"/>
              </w:rPr>
              <w:t>співфінансування</w:t>
            </w:r>
            <w:proofErr w:type="spellEnd"/>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Глибоку </w:t>
            </w:r>
            <w:proofErr w:type="spellStart"/>
            <w:r w:rsidRPr="000C07D3">
              <w:rPr>
                <w:rFonts w:ascii="Times New Roman" w:hAnsi="Times New Roman"/>
                <w:sz w:val="24"/>
                <w:szCs w:val="24"/>
              </w:rPr>
              <w:t>термомодернізацію</w:t>
            </w:r>
            <w:proofErr w:type="spellEnd"/>
            <w:r w:rsidRPr="000C07D3">
              <w:rPr>
                <w:rFonts w:ascii="Times New Roman" w:hAnsi="Times New Roman"/>
                <w:sz w:val="24"/>
                <w:szCs w:val="24"/>
              </w:rPr>
              <w:t xml:space="preserve"> бюджетних установ визначено пріоритетним завданням для Тернопільської міської ради. Продовжується реалізація проекту «Глибока </w:t>
            </w:r>
            <w:proofErr w:type="spellStart"/>
            <w:r w:rsidRPr="000C07D3">
              <w:rPr>
                <w:rFonts w:ascii="Times New Roman" w:hAnsi="Times New Roman"/>
                <w:sz w:val="24"/>
                <w:szCs w:val="24"/>
              </w:rPr>
              <w:t>термомодернізація</w:t>
            </w:r>
            <w:proofErr w:type="spellEnd"/>
            <w:r w:rsidRPr="000C07D3">
              <w:rPr>
                <w:rFonts w:ascii="Times New Roman" w:hAnsi="Times New Roman"/>
                <w:sz w:val="24"/>
                <w:szCs w:val="24"/>
              </w:rPr>
              <w:t xml:space="preserve"> будівель закладів освіти м. Тернополя» в рамках якого заплановано залучити кредитні кошти від Європейського інвестиційного банку у розмірі 25,4 млн. євро.</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Заміна і реконструкція мереж та об’єктів теплопостачання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Виконано заміну ділянки теплової мережі по вул. В. Великого на труби з пінополіуретановою ізоляцією Ф530 мм довжиною 301,7 м у 2-х трубному  вимірі та по вул. Л. Українки на труби Ф426 мм довжиною 56,5 м.</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Проведення широкої просвітницької кампанії щодо зменшення споживання енергоресурсів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Ресурсному центрі підтримки ОСББ з питань чистої енергії проведено ряд навчальних семінарів на теми енергоефективності для представників бюджетних установ та ОСББ міста.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 xml:space="preserve">А 2.4. Забезпечення </w:t>
            </w:r>
            <w:proofErr w:type="spellStart"/>
            <w:r w:rsidRPr="000C07D3">
              <w:rPr>
                <w:rFonts w:ascii="Times New Roman" w:hAnsi="Times New Roman"/>
                <w:b/>
                <w:sz w:val="24"/>
                <w:szCs w:val="24"/>
              </w:rPr>
              <w:t>енергоефективного</w:t>
            </w:r>
            <w:proofErr w:type="spellEnd"/>
            <w:r w:rsidRPr="000C07D3">
              <w:rPr>
                <w:rFonts w:ascii="Times New Roman" w:hAnsi="Times New Roman"/>
                <w:b/>
                <w:sz w:val="24"/>
                <w:szCs w:val="24"/>
              </w:rPr>
              <w:t xml:space="preserve"> вуличного освітлення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 xml:space="preserve">Заміна й встановлення </w:t>
            </w:r>
            <w:proofErr w:type="spellStart"/>
            <w:r w:rsidRPr="000C07D3">
              <w:rPr>
                <w:rFonts w:ascii="Times New Roman" w:hAnsi="Times New Roman"/>
                <w:iCs/>
                <w:sz w:val="24"/>
                <w:szCs w:val="24"/>
              </w:rPr>
              <w:t>енергоефективних</w:t>
            </w:r>
            <w:proofErr w:type="spellEnd"/>
            <w:r w:rsidRPr="000C07D3">
              <w:rPr>
                <w:rFonts w:ascii="Times New Roman" w:hAnsi="Times New Roman"/>
                <w:iCs/>
                <w:sz w:val="24"/>
                <w:szCs w:val="24"/>
              </w:rPr>
              <w:t xml:space="preserve"> елементів вуличного освітлення</w:t>
            </w:r>
          </w:p>
        </w:tc>
        <w:tc>
          <w:tcPr>
            <w:tcW w:w="8644" w:type="dxa"/>
            <w:vAlign w:val="center"/>
          </w:tcPr>
          <w:p w:rsidR="00D25DF3" w:rsidRPr="000C07D3" w:rsidRDefault="00D25DF3" w:rsidP="00CC6239">
            <w:pPr>
              <w:rPr>
                <w:rFonts w:ascii="Times New Roman" w:hAnsi="Times New Roman"/>
                <w:sz w:val="24"/>
                <w:szCs w:val="24"/>
              </w:rPr>
            </w:pP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Тернопільміськсвітло</w:t>
            </w:r>
            <w:proofErr w:type="spellEnd"/>
            <w:r w:rsidRPr="000C07D3">
              <w:rPr>
                <w:rFonts w:ascii="Times New Roman" w:hAnsi="Times New Roman"/>
                <w:sz w:val="24"/>
                <w:szCs w:val="24"/>
              </w:rPr>
              <w:t xml:space="preserve">» проведено заміну та встановлення світильників та </w:t>
            </w:r>
            <w:proofErr w:type="spellStart"/>
            <w:r w:rsidRPr="000C07D3">
              <w:rPr>
                <w:rFonts w:ascii="Times New Roman" w:hAnsi="Times New Roman"/>
                <w:sz w:val="24"/>
                <w:szCs w:val="24"/>
              </w:rPr>
              <w:t>кабеля</w:t>
            </w:r>
            <w:proofErr w:type="spellEnd"/>
            <w:r w:rsidRPr="000C07D3">
              <w:rPr>
                <w:rFonts w:ascii="Times New Roman" w:hAnsi="Times New Roman"/>
                <w:sz w:val="24"/>
                <w:szCs w:val="24"/>
              </w:rPr>
              <w:t xml:space="preserve"> вуличного освітлення: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с. </w:t>
            </w:r>
            <w:proofErr w:type="spellStart"/>
            <w:r w:rsidRPr="000C07D3">
              <w:rPr>
                <w:rFonts w:ascii="Times New Roman" w:hAnsi="Times New Roman"/>
                <w:sz w:val="24"/>
                <w:szCs w:val="24"/>
              </w:rPr>
              <w:t>Чернихів</w:t>
            </w:r>
            <w:proofErr w:type="spellEnd"/>
            <w:r w:rsidRPr="000C07D3">
              <w:rPr>
                <w:rFonts w:ascii="Times New Roman" w:hAnsi="Times New Roman"/>
                <w:sz w:val="24"/>
                <w:szCs w:val="24"/>
              </w:rPr>
              <w:t xml:space="preserve"> – встановлено 13 шт. світильників, 770 м </w:t>
            </w:r>
            <w:proofErr w:type="spellStart"/>
            <w:r w:rsidRPr="000C07D3">
              <w:rPr>
                <w:rFonts w:ascii="Times New Roman" w:hAnsi="Times New Roman"/>
                <w:sz w:val="24"/>
                <w:szCs w:val="24"/>
              </w:rPr>
              <w:t>кабеля</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 с. </w:t>
            </w:r>
            <w:proofErr w:type="spellStart"/>
            <w:r w:rsidRPr="000C07D3">
              <w:rPr>
                <w:rFonts w:ascii="Times New Roman" w:hAnsi="Times New Roman"/>
                <w:sz w:val="24"/>
                <w:szCs w:val="24"/>
              </w:rPr>
              <w:t>Глядки</w:t>
            </w:r>
            <w:proofErr w:type="spellEnd"/>
            <w:r w:rsidRPr="000C07D3">
              <w:rPr>
                <w:rFonts w:ascii="Times New Roman" w:hAnsi="Times New Roman"/>
                <w:sz w:val="24"/>
                <w:szCs w:val="24"/>
              </w:rPr>
              <w:t xml:space="preserve"> – встановлено 2 шт. світильників, 103 м </w:t>
            </w:r>
            <w:proofErr w:type="spellStart"/>
            <w:r w:rsidRPr="000C07D3">
              <w:rPr>
                <w:rFonts w:ascii="Times New Roman" w:hAnsi="Times New Roman"/>
                <w:sz w:val="24"/>
                <w:szCs w:val="24"/>
              </w:rPr>
              <w:t>кабеля</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 с. </w:t>
            </w:r>
            <w:proofErr w:type="spellStart"/>
            <w:r w:rsidRPr="000C07D3">
              <w:rPr>
                <w:rFonts w:ascii="Times New Roman" w:hAnsi="Times New Roman"/>
                <w:sz w:val="24"/>
                <w:szCs w:val="24"/>
              </w:rPr>
              <w:t>Кобзарівка</w:t>
            </w:r>
            <w:proofErr w:type="spellEnd"/>
            <w:r w:rsidRPr="000C07D3">
              <w:rPr>
                <w:rFonts w:ascii="Times New Roman" w:hAnsi="Times New Roman"/>
                <w:sz w:val="24"/>
                <w:szCs w:val="24"/>
              </w:rPr>
              <w:t xml:space="preserve"> – встановлено 30 шт. світильників, 782 м </w:t>
            </w:r>
            <w:proofErr w:type="spellStart"/>
            <w:r w:rsidRPr="000C07D3">
              <w:rPr>
                <w:rFonts w:ascii="Times New Roman" w:hAnsi="Times New Roman"/>
                <w:sz w:val="24"/>
                <w:szCs w:val="24"/>
              </w:rPr>
              <w:t>кабеля</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4. с. </w:t>
            </w:r>
            <w:proofErr w:type="spellStart"/>
            <w:r w:rsidRPr="000C07D3">
              <w:rPr>
                <w:rFonts w:ascii="Times New Roman" w:hAnsi="Times New Roman"/>
                <w:sz w:val="24"/>
                <w:szCs w:val="24"/>
              </w:rPr>
              <w:t>Іванківці</w:t>
            </w:r>
            <w:proofErr w:type="spellEnd"/>
            <w:r w:rsidRPr="000C07D3">
              <w:rPr>
                <w:rFonts w:ascii="Times New Roman" w:hAnsi="Times New Roman"/>
                <w:sz w:val="24"/>
                <w:szCs w:val="24"/>
              </w:rPr>
              <w:t xml:space="preserve"> – встановлено 22 шт. світильників, 100 м </w:t>
            </w:r>
            <w:proofErr w:type="spellStart"/>
            <w:r w:rsidRPr="000C07D3">
              <w:rPr>
                <w:rFonts w:ascii="Times New Roman" w:hAnsi="Times New Roman"/>
                <w:sz w:val="24"/>
                <w:szCs w:val="24"/>
              </w:rPr>
              <w:t>кабеля</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5. м. Тернопіль – встановлено 95 шт. світильників, замінено 203 шт. світильників </w:t>
            </w:r>
            <w:r w:rsidRPr="000C07D3">
              <w:rPr>
                <w:rFonts w:ascii="Times New Roman" w:hAnsi="Times New Roman"/>
                <w:sz w:val="24"/>
                <w:szCs w:val="24"/>
              </w:rPr>
              <w:lastRenderedPageBreak/>
              <w:t xml:space="preserve">та проведено встановлення і заміну 9279 м </w:t>
            </w:r>
            <w:proofErr w:type="spellStart"/>
            <w:r w:rsidRPr="000C07D3">
              <w:rPr>
                <w:rFonts w:ascii="Times New Roman" w:hAnsi="Times New Roman"/>
                <w:sz w:val="24"/>
                <w:szCs w:val="24"/>
              </w:rPr>
              <w:t>кабеля</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Капітальний ремонт – влаштування додаткового освітлення пішохідних переходів мікрорайону «Дружба». Оплачено 678,7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Також розпочато виконання робіт в рамках проекту «Реконструкція системи зовнішнього освітлення м. Тернополя «Світло без ртуті». Метою проекту є зниження обсягів споживання електроенергії за рахунок впровадження сучасних енергозберігаючих технологій. Проект включає заходи щодо заміни ртутних та натрієвих ламп, які належать до небезпечних відходів, на </w:t>
            </w:r>
            <w:proofErr w:type="spellStart"/>
            <w:r w:rsidRPr="000C07D3">
              <w:rPr>
                <w:rFonts w:ascii="Times New Roman" w:hAnsi="Times New Roman"/>
                <w:sz w:val="24"/>
                <w:szCs w:val="24"/>
              </w:rPr>
              <w:t>світлодіодні</w:t>
            </w:r>
            <w:proofErr w:type="spellEnd"/>
            <w:r w:rsidRPr="000C07D3">
              <w:rPr>
                <w:rFonts w:ascii="Times New Roman" w:hAnsi="Times New Roman"/>
                <w:sz w:val="24"/>
                <w:szCs w:val="24"/>
              </w:rPr>
              <w:t xml:space="preserve"> світильники.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Виконано роботи із модернізації освітлення на вулицях: Клима </w:t>
            </w:r>
            <w:proofErr w:type="spellStart"/>
            <w:r w:rsidRPr="000C07D3">
              <w:rPr>
                <w:rFonts w:ascii="Times New Roman" w:hAnsi="Times New Roman"/>
                <w:sz w:val="24"/>
                <w:szCs w:val="24"/>
              </w:rPr>
              <w:t>Савури</w:t>
            </w:r>
            <w:proofErr w:type="spellEnd"/>
            <w:r w:rsidRPr="000C07D3">
              <w:rPr>
                <w:rFonts w:ascii="Times New Roman" w:hAnsi="Times New Roman"/>
                <w:sz w:val="24"/>
                <w:szCs w:val="24"/>
              </w:rPr>
              <w:t xml:space="preserve">, Галицькій, Сірка, </w:t>
            </w:r>
            <w:proofErr w:type="spellStart"/>
            <w:r w:rsidRPr="000C07D3">
              <w:rPr>
                <w:rFonts w:ascii="Times New Roman" w:hAnsi="Times New Roman"/>
                <w:sz w:val="24"/>
                <w:szCs w:val="24"/>
              </w:rPr>
              <w:t>Сімовича</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Чалдаєва</w:t>
            </w:r>
            <w:proofErr w:type="spellEnd"/>
            <w:r w:rsidRPr="000C07D3">
              <w:rPr>
                <w:rFonts w:ascii="Times New Roman" w:hAnsi="Times New Roman"/>
                <w:sz w:val="24"/>
                <w:szCs w:val="24"/>
              </w:rPr>
              <w:t xml:space="preserve">, Гайовій, Гайовій бічній, Дружби, Орлика, Драгоманова, Юності, Макаренка, </w:t>
            </w:r>
            <w:proofErr w:type="spellStart"/>
            <w:r w:rsidRPr="000C07D3">
              <w:rPr>
                <w:rFonts w:ascii="Times New Roman" w:hAnsi="Times New Roman"/>
                <w:sz w:val="24"/>
                <w:szCs w:val="24"/>
              </w:rPr>
              <w:t>Лозовецькій</w:t>
            </w:r>
            <w:proofErr w:type="spellEnd"/>
            <w:r w:rsidRPr="000C07D3">
              <w:rPr>
                <w:rFonts w:ascii="Times New Roman" w:hAnsi="Times New Roman"/>
                <w:sz w:val="24"/>
                <w:szCs w:val="24"/>
              </w:rPr>
              <w:t>, Текстильній. Також роботи виконано у парку Національного відродження.</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iCs/>
                <w:sz w:val="24"/>
                <w:szCs w:val="24"/>
              </w:rPr>
            </w:pPr>
            <w:r w:rsidRPr="000C07D3">
              <w:rPr>
                <w:rFonts w:ascii="Times New Roman" w:hAnsi="Times New Roman"/>
                <w:iCs/>
                <w:sz w:val="24"/>
                <w:szCs w:val="24"/>
              </w:rPr>
              <w:t>Розширення мережі вуличного освітлення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рамках проекту НЕФКО «Реконструкція системи зовнішнього освітлення «Світло без ртуті» розпочато заміну всіх ртутних ламп та частково натрієвих на </w:t>
            </w:r>
            <w:proofErr w:type="spellStart"/>
            <w:r w:rsidRPr="000C07D3">
              <w:rPr>
                <w:rFonts w:ascii="Times New Roman" w:hAnsi="Times New Roman"/>
                <w:sz w:val="24"/>
                <w:szCs w:val="24"/>
              </w:rPr>
              <w:t>світлодіоні</w:t>
            </w:r>
            <w:proofErr w:type="spellEnd"/>
            <w:r w:rsidRPr="000C07D3">
              <w:rPr>
                <w:rFonts w:ascii="Times New Roman" w:hAnsi="Times New Roman"/>
                <w:sz w:val="24"/>
                <w:szCs w:val="24"/>
              </w:rPr>
              <w:t>.</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highlight w:val="yellow"/>
              </w:rPr>
            </w:pPr>
            <w:r w:rsidRPr="000C07D3">
              <w:rPr>
                <w:rFonts w:ascii="Times New Roman" w:hAnsi="Times New Roman"/>
                <w:b/>
                <w:sz w:val="24"/>
                <w:szCs w:val="24"/>
              </w:rPr>
              <w:t>Стратегічна ціль А.3. Забезпечення екологічної та цивільної безпеки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А.3.1. Підтримання в належному екологічному стані навколишнього середовища</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Збереження лідируючих позицій як  найбільш екологічного міста з найчистішим повітрям в Україні</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Проводиться моніторинг забруднення приземного шару атмосферного повітря в районах транспортних розв’язок, освоєно коштів на суму 38,6370 тис. грн.</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 управління культури і мистецтв</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Мінімізація та запобігання викидів шкідливих речовин в атмосферу, у т. ч. вуглекислого газу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Розроблено заходи щодо скорочення енергоспоживання та викидів </w:t>
            </w:r>
            <w:proofErr w:type="spellStart"/>
            <w:r w:rsidRPr="000C07D3">
              <w:rPr>
                <w:rFonts w:ascii="Times New Roman" w:hAnsi="Times New Roman"/>
                <w:sz w:val="24"/>
                <w:szCs w:val="24"/>
              </w:rPr>
              <w:t>СО2</w:t>
            </w:r>
            <w:proofErr w:type="spellEnd"/>
            <w:r w:rsidRPr="000C07D3">
              <w:rPr>
                <w:rFonts w:ascii="Times New Roman" w:hAnsi="Times New Roman"/>
                <w:sz w:val="24"/>
                <w:szCs w:val="24"/>
              </w:rPr>
              <w:t xml:space="preserve"> у сфері: теплопостачання; водопостачання; громадського транспорту; вуличного освітлення; громадських будівель; житлових будівель; поводження з ТПВ.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Затверджено Програму охорони навколишнього природного середовища Тернопільської міської територіальної громади на 2020-2023 рр.</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Утримання в належному стані зелених зон та насаджень, озеленення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Висаджено розсаду квітів на суму 192 800,00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Запобігання забрудненню та очищення водойм громади, зокрема Тернопільського ставу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 «Тернопільський став» в м. Тернополі – 1 101 000,00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Виготовлення проектно-кошторисної документації по об`єкту: 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 «Тернопільський став» в м. Тернополі» – 175 000,00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Розробка матеріалів оцінки впливу на довкілля по об`єкту «Капітальний ремонт, розчистка від наносів та донних відкладів для покращення гідрологічного режиму та санітарного стану окремих прибережних ділянок ложа водосховища «Тернопільський став» в м. Тернополі» – 44 999,00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А.3.2. Забезпечення високого рівня безпеки й правопорядку</w:t>
            </w:r>
          </w:p>
        </w:tc>
      </w:tr>
      <w:tr w:rsidR="00D25DF3" w:rsidRPr="000C07D3" w:rsidTr="00CC6239">
        <w:trPr>
          <w:trHeight w:val="609"/>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Облаштування роботи «Ситуаційного центру» із забезпеченням багатофункціонального моніторингу ситуації у громаді</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базі управління муніципальної інспекції Тернопільської міської ради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«Ситуаційний центр», що займається відстеженням оперативної ситуації у місті в реальному часі для ефективного та швидкого реагування на її зміни у разі необхідності, який обладнаний всіма необхідними засобами для перегляду та обробки відео з камер міського відео нагляду. Розташований центр у новому приміщенні на вул. Є. </w:t>
            </w:r>
            <w:proofErr w:type="spellStart"/>
            <w:r w:rsidRPr="000C07D3">
              <w:rPr>
                <w:rFonts w:ascii="Times New Roman" w:hAnsi="Times New Roman"/>
                <w:sz w:val="24"/>
                <w:szCs w:val="24"/>
              </w:rPr>
              <w:t>Коновальця</w:t>
            </w:r>
            <w:proofErr w:type="spellEnd"/>
            <w:r w:rsidRPr="000C07D3">
              <w:rPr>
                <w:rFonts w:ascii="Times New Roman" w:hAnsi="Times New Roman"/>
                <w:sz w:val="24"/>
                <w:szCs w:val="24"/>
              </w:rPr>
              <w:t>, 8. Презентація «Ситуаційного центру» міста відбулась 05.11.2020 року.</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муніципальної інспекції, управління транспортних мереж та зв’язку</w:t>
            </w:r>
          </w:p>
        </w:tc>
      </w:tr>
      <w:tr w:rsidR="00D25DF3" w:rsidRPr="000C07D3" w:rsidTr="00CC6239">
        <w:trPr>
          <w:trHeight w:val="609"/>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Впровадження єдиної платформи </w:t>
            </w:r>
            <w:proofErr w:type="spellStart"/>
            <w:r w:rsidRPr="000C07D3">
              <w:rPr>
                <w:rFonts w:ascii="Times New Roman" w:hAnsi="Times New Roman"/>
                <w:sz w:val="24"/>
                <w:szCs w:val="24"/>
              </w:rPr>
              <w:t>онлайн-бюро</w:t>
            </w:r>
            <w:proofErr w:type="spellEnd"/>
            <w:r w:rsidRPr="000C07D3">
              <w:rPr>
                <w:rFonts w:ascii="Times New Roman" w:hAnsi="Times New Roman"/>
                <w:sz w:val="24"/>
                <w:szCs w:val="24"/>
              </w:rPr>
              <w:t xml:space="preserve"> знахідок</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Впровадження даної платформи впродовж року не здійснювалось.</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609"/>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Розширення мережі камер </w:t>
            </w:r>
            <w:proofErr w:type="spellStart"/>
            <w:r w:rsidRPr="000C07D3">
              <w:rPr>
                <w:rFonts w:ascii="Times New Roman" w:hAnsi="Times New Roman"/>
                <w:sz w:val="24"/>
                <w:szCs w:val="24"/>
              </w:rPr>
              <w:t>відеонагляду</w:t>
            </w:r>
            <w:proofErr w:type="spellEnd"/>
            <w:r w:rsidRPr="000C07D3">
              <w:rPr>
                <w:rFonts w:ascii="Times New Roman" w:hAnsi="Times New Roman"/>
                <w:sz w:val="24"/>
                <w:szCs w:val="24"/>
              </w:rPr>
              <w:t xml:space="preserve"> та їх функціональності</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м. Тернопіль функціонує близько 735 камер міського відео спостереження.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Протягом року встановлювались камери у дворах міста, у дитячих садочках та школах.</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З березня 2019 року в загальноосвітній школі №24 м. Тернополя, в якій </w:t>
            </w:r>
            <w:r w:rsidRPr="000C07D3">
              <w:rPr>
                <w:rFonts w:ascii="Times New Roman" w:hAnsi="Times New Roman"/>
                <w:sz w:val="24"/>
                <w:szCs w:val="24"/>
              </w:rPr>
              <w:lastRenderedPageBreak/>
              <w:t>навчається найбільша кількість учнів, в тестовому режимі встановлено відеокамеру «</w:t>
            </w:r>
            <w:proofErr w:type="spellStart"/>
            <w:r w:rsidRPr="000C07D3">
              <w:rPr>
                <w:rFonts w:ascii="Times New Roman" w:hAnsi="Times New Roman"/>
                <w:sz w:val="24"/>
                <w:szCs w:val="24"/>
              </w:rPr>
              <w:t>ZetPro</w:t>
            </w:r>
            <w:proofErr w:type="spellEnd"/>
            <w:r w:rsidRPr="000C07D3">
              <w:rPr>
                <w:rFonts w:ascii="Times New Roman" w:hAnsi="Times New Roman"/>
                <w:sz w:val="24"/>
                <w:szCs w:val="24"/>
              </w:rPr>
              <w:t>» з вбудованим модулем (програмним продуктом) «</w:t>
            </w:r>
            <w:proofErr w:type="spellStart"/>
            <w:r w:rsidRPr="000C07D3">
              <w:rPr>
                <w:rFonts w:ascii="Times New Roman" w:hAnsi="Times New Roman"/>
                <w:sz w:val="24"/>
                <w:szCs w:val="24"/>
              </w:rPr>
              <w:t>СаМаР</w:t>
            </w:r>
            <w:proofErr w:type="spellEnd"/>
            <w:r w:rsidRPr="000C07D3">
              <w:rPr>
                <w:rFonts w:ascii="Times New Roman" w:hAnsi="Times New Roman"/>
                <w:sz w:val="24"/>
                <w:szCs w:val="24"/>
              </w:rPr>
              <w:t xml:space="preserve">» для розпізнавання </w:t>
            </w:r>
            <w:proofErr w:type="spellStart"/>
            <w:r w:rsidRPr="000C07D3">
              <w:rPr>
                <w:rFonts w:ascii="Times New Roman" w:hAnsi="Times New Roman"/>
                <w:sz w:val="24"/>
                <w:szCs w:val="24"/>
              </w:rPr>
              <w:t>обличь</w:t>
            </w:r>
            <w:proofErr w:type="spellEnd"/>
            <w:r w:rsidRPr="000C07D3">
              <w:rPr>
                <w:rFonts w:ascii="Times New Roman" w:hAnsi="Times New Roman"/>
                <w:sz w:val="24"/>
                <w:szCs w:val="24"/>
              </w:rPr>
              <w:t xml:space="preserve"> (ідентифікації осіб).</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Впроваджено систему аналітики для розпізнавання автомобільних реєстраційних номерних знаків та обладнано камерами з автоматичним розпізнаванням номерних знаків усі в’їзди та виїзди з міста Тернопіль.</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Для забезпечення громадського порядку, встановлені відеокамери (18 шт.) на масиві Дружба на виконання проекту «Безпечна дружба».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lastRenderedPageBreak/>
              <w:t>Стратегічна ціль А.4. Розвиток транспортної інфраструктури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A.4.1. Ефективне функціонування транспортної моделі та єдиної транспортної компанії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Ефективна організація дорожнього руху відповідно до поточної ситуації в громаді та потреб мешканців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Представництвом німецької компанії «</w:t>
            </w:r>
            <w:proofErr w:type="spellStart"/>
            <w:r w:rsidRPr="000C07D3">
              <w:rPr>
                <w:rFonts w:ascii="Times New Roman" w:hAnsi="Times New Roman"/>
                <w:sz w:val="24"/>
                <w:szCs w:val="24"/>
              </w:rPr>
              <w:t>Дорньєр</w:t>
            </w:r>
            <w:proofErr w:type="spellEnd"/>
            <w:r w:rsidRPr="000C07D3">
              <w:rPr>
                <w:rFonts w:ascii="Times New Roman" w:hAnsi="Times New Roman"/>
                <w:sz w:val="24"/>
                <w:szCs w:val="24"/>
              </w:rPr>
              <w:t xml:space="preserve"> Консалтинг </w:t>
            </w:r>
            <w:proofErr w:type="spellStart"/>
            <w:r w:rsidRPr="000C07D3">
              <w:rPr>
                <w:rFonts w:ascii="Times New Roman" w:hAnsi="Times New Roman"/>
                <w:sz w:val="24"/>
                <w:szCs w:val="24"/>
              </w:rPr>
              <w:t>Інтернешенал</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ГмбХ</w:t>
            </w:r>
            <w:proofErr w:type="spellEnd"/>
            <w:r w:rsidRPr="000C07D3">
              <w:rPr>
                <w:rFonts w:ascii="Times New Roman" w:hAnsi="Times New Roman"/>
                <w:sz w:val="24"/>
                <w:szCs w:val="24"/>
              </w:rPr>
              <w:t>», виконано роботи з проекту «ПРОВЕДЕННЯ ОПИТУВАННЯ ТА ОБСТЕЖЕНЬ, РОЗРОБКИ ТРАНСПОРТНОЇ МОДЕЛІ МІСТА ТЕРНОПІЛЬ І ФОРМУВАННЯ МАРШРУТНОЇ МЕРЕЖІ МІСТА» та надано рекомендації щодо вдосконалення (оновлення) мережі маршрутів міського громадського транспорту. Враховуючи результати проведених досліджень, затверджено мережу громадського транспорту загального користування в м. Тернополі, яка запроваджена з 25.05.2020 року.</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транспортних мереж та зв’язку</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 xml:space="preserve">Розширення парку комунального громадського транспорту, в т.ч. з врахуванням потреб </w:t>
            </w:r>
            <w:proofErr w:type="spellStart"/>
            <w:r w:rsidRPr="000C07D3">
              <w:rPr>
                <w:rFonts w:ascii="Times New Roman" w:hAnsi="Times New Roman"/>
                <w:sz w:val="24"/>
                <w:szCs w:val="24"/>
              </w:rPr>
              <w:t>маломобільних</w:t>
            </w:r>
            <w:proofErr w:type="spellEnd"/>
            <w:r w:rsidRPr="000C07D3">
              <w:rPr>
                <w:rFonts w:ascii="Times New Roman" w:hAnsi="Times New Roman"/>
                <w:sz w:val="24"/>
                <w:szCs w:val="24"/>
              </w:rPr>
              <w:t xml:space="preserve"> груп населення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 рамках створення єдиної комунальної транспортної компанії, яка надаватиме якісні послуги з пасажирських перевезень у Тернополі, </w:t>
            </w: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Тернопільелектротранс</w:t>
            </w:r>
            <w:proofErr w:type="spellEnd"/>
            <w:r w:rsidRPr="000C07D3">
              <w:rPr>
                <w:rFonts w:ascii="Times New Roman" w:hAnsi="Times New Roman"/>
                <w:sz w:val="24"/>
                <w:szCs w:val="24"/>
              </w:rPr>
              <w:t xml:space="preserve">» у 2020 році придбано ще 20 нових автобусів </w:t>
            </w:r>
            <w:proofErr w:type="spellStart"/>
            <w:r w:rsidRPr="000C07D3">
              <w:rPr>
                <w:rFonts w:ascii="Times New Roman" w:hAnsi="Times New Roman"/>
                <w:sz w:val="24"/>
                <w:szCs w:val="24"/>
              </w:rPr>
              <w:t>МАЗ</w:t>
            </w:r>
            <w:proofErr w:type="spellEnd"/>
            <w:r w:rsidRPr="000C07D3">
              <w:rPr>
                <w:rFonts w:ascii="Times New Roman" w:hAnsi="Times New Roman"/>
                <w:sz w:val="24"/>
                <w:szCs w:val="24"/>
              </w:rPr>
              <w:t xml:space="preserve"> до 21 автобуса </w:t>
            </w:r>
            <w:proofErr w:type="spellStart"/>
            <w:r w:rsidRPr="000C07D3">
              <w:rPr>
                <w:rFonts w:ascii="Times New Roman" w:hAnsi="Times New Roman"/>
                <w:sz w:val="24"/>
                <w:szCs w:val="24"/>
              </w:rPr>
              <w:t>МАN</w:t>
            </w:r>
            <w:proofErr w:type="spellEnd"/>
            <w:r w:rsidRPr="000C07D3">
              <w:rPr>
                <w:rFonts w:ascii="Times New Roman" w:hAnsi="Times New Roman"/>
                <w:sz w:val="24"/>
                <w:szCs w:val="24"/>
              </w:rPr>
              <w:t>, які були придбані у 2019 році. На  сьогоднішній день ці автобуси курсують за новою маршрутною мережею громадського транспорту, яка запроваджена з 25.05.2020 року згідно результатів проведеного конкурсу.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Придбані автобуси відповідають стандартам Євро-5  і екологічно безпечні. Автобуси марки «</w:t>
            </w:r>
            <w:proofErr w:type="spellStart"/>
            <w:r w:rsidRPr="000C07D3">
              <w:rPr>
                <w:rFonts w:ascii="Times New Roman" w:hAnsi="Times New Roman"/>
                <w:sz w:val="24"/>
                <w:szCs w:val="24"/>
              </w:rPr>
              <w:t>МАЗ</w:t>
            </w:r>
            <w:proofErr w:type="spellEnd"/>
            <w:r w:rsidRPr="000C07D3">
              <w:rPr>
                <w:rFonts w:ascii="Times New Roman" w:hAnsi="Times New Roman"/>
                <w:sz w:val="24"/>
                <w:szCs w:val="24"/>
              </w:rPr>
              <w:t xml:space="preserve"> 206» і </w:t>
            </w:r>
            <w:proofErr w:type="spellStart"/>
            <w:r w:rsidRPr="000C07D3">
              <w:rPr>
                <w:rFonts w:ascii="Times New Roman" w:hAnsi="Times New Roman"/>
                <w:sz w:val="24"/>
                <w:szCs w:val="24"/>
              </w:rPr>
              <w:t>МАN</w:t>
            </w:r>
            <w:proofErr w:type="spellEnd"/>
            <w:r w:rsidRPr="000C07D3">
              <w:rPr>
                <w:rFonts w:ascii="Times New Roman" w:hAnsi="Times New Roman"/>
                <w:sz w:val="24"/>
                <w:szCs w:val="24"/>
              </w:rPr>
              <w:t xml:space="preserve"> є </w:t>
            </w:r>
            <w:proofErr w:type="spellStart"/>
            <w:r w:rsidRPr="000C07D3">
              <w:rPr>
                <w:rFonts w:ascii="Times New Roman" w:hAnsi="Times New Roman"/>
                <w:sz w:val="24"/>
                <w:szCs w:val="24"/>
              </w:rPr>
              <w:t>низькопідлоговими</w:t>
            </w:r>
            <w:proofErr w:type="spellEnd"/>
            <w:r w:rsidRPr="000C07D3">
              <w:rPr>
                <w:rFonts w:ascii="Times New Roman" w:hAnsi="Times New Roman"/>
                <w:sz w:val="24"/>
                <w:szCs w:val="24"/>
              </w:rPr>
              <w:t xml:space="preserve"> та пристосовані для перевезення осіб з обмеженими можливостями та людей з інвалідністю.</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Впровадження гнучкої системи </w:t>
            </w:r>
            <w:r w:rsidRPr="000C07D3">
              <w:rPr>
                <w:rFonts w:ascii="Times New Roman" w:hAnsi="Times New Roman"/>
                <w:sz w:val="24"/>
                <w:szCs w:val="24"/>
              </w:rPr>
              <w:lastRenderedPageBreak/>
              <w:t>оплати проїзду у громадському транспорті</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Передбачено різні форми безготівкової оплати за проїзд:</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 xml:space="preserve">Для </w:t>
            </w:r>
            <w:proofErr w:type="spellStart"/>
            <w:r w:rsidRPr="000C07D3">
              <w:rPr>
                <w:rFonts w:ascii="Times New Roman" w:hAnsi="Times New Roman"/>
                <w:sz w:val="24"/>
                <w:szCs w:val="24"/>
              </w:rPr>
              <w:t>Тернополян</w:t>
            </w:r>
            <w:proofErr w:type="spellEnd"/>
            <w:r w:rsidRPr="000C07D3">
              <w:rPr>
                <w:rFonts w:ascii="Times New Roman" w:hAnsi="Times New Roman"/>
                <w:sz w:val="24"/>
                <w:szCs w:val="24"/>
              </w:rPr>
              <w:t xml:space="preserve"> – «Соціальна карта Тернополянина».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Для інших пасажирів – електронний проїзний квиток.</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Також в транспорті можна розраховуватись банківською карткою та пристроєм з технологією NFC.</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lastRenderedPageBreak/>
              <w:t>A.4.2. Підвищення рівня безпеки та комфорту на дорогах</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Розширення мережі місць паркування транспортних засобів (в т.ч. багаторівневих </w:t>
            </w:r>
            <w:proofErr w:type="spellStart"/>
            <w:r w:rsidRPr="000C07D3">
              <w:rPr>
                <w:rFonts w:ascii="Times New Roman" w:hAnsi="Times New Roman"/>
                <w:sz w:val="24"/>
                <w:szCs w:val="24"/>
              </w:rPr>
              <w:t>парковок</w:t>
            </w:r>
            <w:proofErr w:type="spellEnd"/>
            <w:r w:rsidRPr="000C07D3">
              <w:rPr>
                <w:rFonts w:ascii="Times New Roman" w:hAnsi="Times New Roman"/>
                <w:sz w:val="24"/>
                <w:szCs w:val="24"/>
              </w:rPr>
              <w:t>) та зарядних станцій для електромобілів, автоматизація оплати за послуги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Влаштовано тимчасову стоянку для легкового транспорту на проспекті Злуки в (навпроти магазину «Білий лебідь»).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місця для паркування транспортних засобів на привокзальному майдані та вул. Замковій.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Додатково до існуючих,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майданчики для платного паркування на вул. Чорновола, вул. Замкова, бульвар Т. Шевченка.</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транспортних мереж та зв’язку, 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Оновлення світлофорних об’єктів, їх озвучення для людей з вадами зору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Виконано роботи  з капітального </w:t>
            </w:r>
            <w:proofErr w:type="spellStart"/>
            <w:r w:rsidRPr="000C07D3">
              <w:rPr>
                <w:rFonts w:ascii="Times New Roman" w:hAnsi="Times New Roman"/>
                <w:sz w:val="24"/>
                <w:szCs w:val="24"/>
              </w:rPr>
              <w:t>ремонту-</w:t>
            </w:r>
            <w:proofErr w:type="spellEnd"/>
            <w:r w:rsidRPr="000C07D3">
              <w:rPr>
                <w:rFonts w:ascii="Times New Roman" w:hAnsi="Times New Roman"/>
                <w:sz w:val="24"/>
                <w:szCs w:val="24"/>
              </w:rPr>
              <w:t xml:space="preserve"> влаштування світлофорного об’єкту: на перехресті вул. </w:t>
            </w:r>
            <w:proofErr w:type="spellStart"/>
            <w:r w:rsidRPr="000C07D3">
              <w:rPr>
                <w:rFonts w:ascii="Times New Roman" w:hAnsi="Times New Roman"/>
                <w:sz w:val="24"/>
                <w:szCs w:val="24"/>
              </w:rPr>
              <w:t>Опільського</w:t>
            </w:r>
            <w:proofErr w:type="spellEnd"/>
            <w:r w:rsidRPr="000C07D3">
              <w:rPr>
                <w:rFonts w:ascii="Times New Roman" w:hAnsi="Times New Roman"/>
                <w:sz w:val="24"/>
                <w:szCs w:val="24"/>
              </w:rPr>
              <w:t xml:space="preserve"> - Крушельницької та на примиканні пр. Степана Бандери - вул. У. Самчука в м. Тернополі.</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Облаштування </w:t>
            </w:r>
            <w:proofErr w:type="spellStart"/>
            <w:r w:rsidRPr="000C07D3">
              <w:rPr>
                <w:rFonts w:ascii="Times New Roman" w:hAnsi="Times New Roman"/>
                <w:sz w:val="24"/>
                <w:szCs w:val="24"/>
              </w:rPr>
              <w:t>безпекових</w:t>
            </w:r>
            <w:proofErr w:type="spellEnd"/>
            <w:r w:rsidRPr="000C07D3">
              <w:rPr>
                <w:rFonts w:ascii="Times New Roman" w:hAnsi="Times New Roman"/>
                <w:sz w:val="24"/>
                <w:szCs w:val="24"/>
              </w:rPr>
              <w:t xml:space="preserve"> елементів на дорогах (острівців безпеки, переходів, кілець, кишень, розумної розмітки, «лежачих поліцейських»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Влаштовано острівець безпеки на пішохідному переході на вул. Руській (в районі ЗОШ 6). Оплачено 47,5 тис.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Розширення мережі зупинок, оснащення їх елементами «розумної зупинки»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Виконано роботи з влаштування навісів зупинок громадського транспорту: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зупинка «вул. Київська (до Центру)» на вул. Київській в м. Тернополі (навіс та влаштовано бруківку);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зупинка «Залізничний вокзал» на вул. Б. Хмельницького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зупинка «6-та школа» на вул. Руській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зупинка «вул. Поліська» на вул. </w:t>
            </w:r>
            <w:proofErr w:type="spellStart"/>
            <w:r w:rsidRPr="000C07D3">
              <w:rPr>
                <w:rFonts w:ascii="Times New Roman" w:hAnsi="Times New Roman"/>
                <w:sz w:val="24"/>
                <w:szCs w:val="24"/>
              </w:rPr>
              <w:t>Бродівській</w:t>
            </w:r>
            <w:proofErr w:type="spellEnd"/>
            <w:r w:rsidRPr="000C07D3">
              <w:rPr>
                <w:rFonts w:ascii="Times New Roman" w:hAnsi="Times New Roman"/>
                <w:sz w:val="24"/>
                <w:szCs w:val="24"/>
              </w:rPr>
              <w:t xml:space="preserve">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 зупинка «Центр» на вул. Руській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зупинка «Технічний університет» на вул. Руській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зупинка на Привокзальному майдані;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зупинка на вул. Бригадна.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lastRenderedPageBreak/>
              <w:t xml:space="preserve">А.4.3. Розвиток </w:t>
            </w:r>
            <w:proofErr w:type="spellStart"/>
            <w:r w:rsidRPr="000C07D3">
              <w:rPr>
                <w:rFonts w:ascii="Times New Roman" w:hAnsi="Times New Roman"/>
                <w:b/>
                <w:sz w:val="24"/>
                <w:szCs w:val="24"/>
              </w:rPr>
              <w:t>велоінфраструктури</w:t>
            </w:r>
            <w:proofErr w:type="spellEnd"/>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Створення широкої </w:t>
            </w:r>
            <w:proofErr w:type="spellStart"/>
            <w:r w:rsidRPr="000C07D3">
              <w:rPr>
                <w:rFonts w:ascii="Times New Roman" w:hAnsi="Times New Roman"/>
                <w:sz w:val="24"/>
                <w:szCs w:val="24"/>
              </w:rPr>
              <w:t>веломережі</w:t>
            </w:r>
            <w:proofErr w:type="spellEnd"/>
            <w:r w:rsidRPr="000C07D3">
              <w:rPr>
                <w:rFonts w:ascii="Times New Roman" w:hAnsi="Times New Roman"/>
                <w:sz w:val="24"/>
                <w:szCs w:val="24"/>
              </w:rPr>
              <w:t xml:space="preserve"> та системи основних </w:t>
            </w:r>
            <w:proofErr w:type="spellStart"/>
            <w:r w:rsidRPr="000C07D3">
              <w:rPr>
                <w:rFonts w:ascii="Times New Roman" w:hAnsi="Times New Roman"/>
                <w:sz w:val="24"/>
                <w:szCs w:val="24"/>
              </w:rPr>
              <w:t>веломаршрутів</w:t>
            </w:r>
            <w:proofErr w:type="spellEnd"/>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Влаштовано </w:t>
            </w:r>
            <w:proofErr w:type="spellStart"/>
            <w:r w:rsidRPr="000C07D3">
              <w:rPr>
                <w:rFonts w:ascii="Times New Roman" w:hAnsi="Times New Roman"/>
                <w:sz w:val="24"/>
                <w:szCs w:val="24"/>
              </w:rPr>
              <w:t>велодоріжки</w:t>
            </w:r>
            <w:proofErr w:type="spellEnd"/>
            <w:r w:rsidRPr="000C07D3">
              <w:rPr>
                <w:rFonts w:ascii="Times New Roman" w:hAnsi="Times New Roman"/>
                <w:sz w:val="24"/>
                <w:szCs w:val="24"/>
              </w:rPr>
              <w:t xml:space="preserve"> на вул. Л. Українки та Привокзальному майдані орієнтовно 600 </w:t>
            </w:r>
            <w:proofErr w:type="spellStart"/>
            <w:r w:rsidRPr="000C07D3">
              <w:rPr>
                <w:rFonts w:ascii="Times New Roman" w:hAnsi="Times New Roman"/>
                <w:sz w:val="24"/>
                <w:szCs w:val="24"/>
              </w:rPr>
              <w:t>м.п</w:t>
            </w:r>
            <w:proofErr w:type="spellEnd"/>
            <w:r w:rsidRPr="000C07D3">
              <w:rPr>
                <w:rFonts w:ascii="Times New Roman" w:hAnsi="Times New Roman"/>
                <w:sz w:val="24"/>
                <w:szCs w:val="24"/>
              </w:rPr>
              <w:t>.</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Облаштуванням об’єктів велосипедної інфраструктури та розширення мережі велосипедних </w:t>
            </w:r>
            <w:proofErr w:type="spellStart"/>
            <w:r w:rsidRPr="000C07D3">
              <w:rPr>
                <w:rFonts w:ascii="Times New Roman" w:hAnsi="Times New Roman"/>
                <w:sz w:val="24"/>
                <w:szCs w:val="24"/>
              </w:rPr>
              <w:t>парковок</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велохабів</w:t>
            </w:r>
            <w:proofErr w:type="spellEnd"/>
            <w:r w:rsidRPr="000C07D3">
              <w:rPr>
                <w:rFonts w:ascii="Times New Roman" w:hAnsi="Times New Roman"/>
                <w:sz w:val="24"/>
                <w:szCs w:val="24"/>
              </w:rPr>
              <w:t xml:space="preserve">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Оновлено велосипедну розмітку на території міста орієнтовно 580 </w:t>
            </w:r>
            <w:proofErr w:type="spellStart"/>
            <w:r w:rsidRPr="000C07D3">
              <w:rPr>
                <w:rFonts w:ascii="Times New Roman" w:hAnsi="Times New Roman"/>
                <w:sz w:val="24"/>
                <w:szCs w:val="24"/>
              </w:rPr>
              <w:t>м.п</w:t>
            </w:r>
            <w:proofErr w:type="spellEnd"/>
            <w:r w:rsidRPr="000C07D3">
              <w:rPr>
                <w:rFonts w:ascii="Times New Roman" w:hAnsi="Times New Roman"/>
                <w:sz w:val="24"/>
                <w:szCs w:val="24"/>
              </w:rPr>
              <w:t>.</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мережі прокатних пунктів велосипедів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Не відбувалося.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t>Стратегічна ціль А.5. Забезпечення ефективної розбудови громади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A.5.1. Прозоре та раціональне коригування містобудівної документації</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Розроблення та затвердження схеми планування території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Містобудівна документація «Схема планування території Тернопільської міської територіальної громади» - розроблена згідно договору з </w:t>
            </w:r>
            <w:proofErr w:type="spellStart"/>
            <w:r w:rsidRPr="000C07D3">
              <w:rPr>
                <w:rFonts w:ascii="Times New Roman" w:hAnsi="Times New Roman"/>
                <w:sz w:val="24"/>
                <w:szCs w:val="24"/>
              </w:rPr>
              <w:t>ДП</w:t>
            </w:r>
            <w:proofErr w:type="spellEnd"/>
            <w:r w:rsidRPr="000C07D3">
              <w:rPr>
                <w:rFonts w:ascii="Times New Roman" w:hAnsi="Times New Roman"/>
                <w:sz w:val="24"/>
                <w:szCs w:val="24"/>
              </w:rPr>
              <w:t xml:space="preserve"> УНДІ </w:t>
            </w:r>
            <w:proofErr w:type="spellStart"/>
            <w:r w:rsidRPr="000C07D3">
              <w:rPr>
                <w:rFonts w:ascii="Times New Roman" w:hAnsi="Times New Roman"/>
                <w:sz w:val="24"/>
                <w:szCs w:val="24"/>
              </w:rPr>
              <w:t>ПМ</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Дніпромісто</w:t>
            </w:r>
            <w:proofErr w:type="spellEnd"/>
            <w:r w:rsidRPr="000C07D3">
              <w:rPr>
                <w:rFonts w:ascii="Times New Roman" w:hAnsi="Times New Roman"/>
                <w:sz w:val="24"/>
                <w:szCs w:val="24"/>
              </w:rPr>
              <w:t>» імені Ю.М. Білоконя (м. Київ) №543-01-2019/169 від 29.05.2019 року та затверджена рішенням міської ради від 13.03.2020 року №7/47/19</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містобудування, архітектури та кадастру</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Розроблення (коригування, оновлення) та затвердження генеральних планів, планів зонування та детальних планів території населених пунктів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Містобудівна документація «Генеральні плани населених пунктів Тернопільської міської територіальної громади (села </w:t>
            </w:r>
            <w:proofErr w:type="spellStart"/>
            <w:r w:rsidRPr="000C07D3">
              <w:rPr>
                <w:rFonts w:ascii="Times New Roman" w:hAnsi="Times New Roman"/>
                <w:sz w:val="24"/>
                <w:szCs w:val="24"/>
              </w:rPr>
              <w:t>Курівці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Чернихів</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Кобзарівка</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Малашівці</w:t>
            </w:r>
            <w:proofErr w:type="spellEnd"/>
            <w:r w:rsidRPr="000C07D3">
              <w:rPr>
                <w:rFonts w:ascii="Times New Roman" w:hAnsi="Times New Roman"/>
                <w:sz w:val="24"/>
                <w:szCs w:val="24"/>
              </w:rPr>
              <w:t xml:space="preserve">)»: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в стадії розробки згідно договору з </w:t>
            </w:r>
            <w:proofErr w:type="spellStart"/>
            <w:r w:rsidRPr="000C07D3">
              <w:rPr>
                <w:rFonts w:ascii="Times New Roman" w:hAnsi="Times New Roman"/>
                <w:sz w:val="24"/>
                <w:szCs w:val="24"/>
              </w:rPr>
              <w:t>ДП</w:t>
            </w:r>
            <w:proofErr w:type="spellEnd"/>
            <w:r w:rsidRPr="000C07D3">
              <w:rPr>
                <w:rFonts w:ascii="Times New Roman" w:hAnsi="Times New Roman"/>
                <w:sz w:val="24"/>
                <w:szCs w:val="24"/>
              </w:rPr>
              <w:t xml:space="preserve"> УНДІ </w:t>
            </w:r>
            <w:proofErr w:type="spellStart"/>
            <w:r w:rsidRPr="000C07D3">
              <w:rPr>
                <w:rFonts w:ascii="Times New Roman" w:hAnsi="Times New Roman"/>
                <w:sz w:val="24"/>
                <w:szCs w:val="24"/>
              </w:rPr>
              <w:t>ПМ</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Дніпромісто</w:t>
            </w:r>
            <w:proofErr w:type="spellEnd"/>
            <w:r w:rsidRPr="000C07D3">
              <w:rPr>
                <w:rFonts w:ascii="Times New Roman" w:hAnsi="Times New Roman"/>
                <w:sz w:val="24"/>
                <w:szCs w:val="24"/>
              </w:rPr>
              <w:t>» імені Ю.М. Білоконя (м. Київ) №152 від 24.04.2020, здійснюється процедура громадського обговорення.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Розроблено та затверджено наступні детальні плани територій: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«Детальний план території, обмеженої вул. Генерала Тарнавського, вул. Київська, вул. М. </w:t>
            </w:r>
            <w:proofErr w:type="spellStart"/>
            <w:r w:rsidRPr="000C07D3">
              <w:rPr>
                <w:rFonts w:ascii="Times New Roman" w:hAnsi="Times New Roman"/>
                <w:sz w:val="24"/>
                <w:szCs w:val="24"/>
              </w:rPr>
              <w:t>Липницького</w:t>
            </w:r>
            <w:proofErr w:type="spellEnd"/>
            <w:r w:rsidRPr="000C07D3">
              <w:rPr>
                <w:rFonts w:ascii="Times New Roman" w:hAnsi="Times New Roman"/>
                <w:sz w:val="24"/>
                <w:szCs w:val="24"/>
              </w:rPr>
              <w:t>, вул. Володимира Великого (мікрорайон №14)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«Детальний план території, обмеженої вул. </w:t>
            </w:r>
            <w:proofErr w:type="spellStart"/>
            <w:r w:rsidRPr="000C07D3">
              <w:rPr>
                <w:rFonts w:ascii="Times New Roman" w:hAnsi="Times New Roman"/>
                <w:sz w:val="24"/>
                <w:szCs w:val="24"/>
              </w:rPr>
              <w:t>Живова</w:t>
            </w:r>
            <w:proofErr w:type="spellEnd"/>
            <w:r w:rsidRPr="000C07D3">
              <w:rPr>
                <w:rFonts w:ascii="Times New Roman" w:hAnsi="Times New Roman"/>
                <w:sz w:val="24"/>
                <w:szCs w:val="24"/>
              </w:rPr>
              <w:t xml:space="preserve">, вул. </w:t>
            </w:r>
            <w:proofErr w:type="spellStart"/>
            <w:r w:rsidRPr="000C07D3">
              <w:rPr>
                <w:rFonts w:ascii="Times New Roman" w:hAnsi="Times New Roman"/>
                <w:sz w:val="24"/>
                <w:szCs w:val="24"/>
              </w:rPr>
              <w:t>Танцорова</w:t>
            </w:r>
            <w:proofErr w:type="spellEnd"/>
            <w:r w:rsidRPr="000C07D3">
              <w:rPr>
                <w:rFonts w:ascii="Times New Roman" w:hAnsi="Times New Roman"/>
                <w:sz w:val="24"/>
                <w:szCs w:val="24"/>
              </w:rPr>
              <w:t xml:space="preserve">, площа Героїв </w:t>
            </w:r>
            <w:proofErr w:type="spellStart"/>
            <w:r w:rsidRPr="000C07D3">
              <w:rPr>
                <w:rFonts w:ascii="Times New Roman" w:hAnsi="Times New Roman"/>
                <w:sz w:val="24"/>
                <w:szCs w:val="24"/>
              </w:rPr>
              <w:t>Євромайдану</w:t>
            </w:r>
            <w:proofErr w:type="spellEnd"/>
            <w:r w:rsidRPr="000C07D3">
              <w:rPr>
                <w:rFonts w:ascii="Times New Roman" w:hAnsi="Times New Roman"/>
                <w:sz w:val="24"/>
                <w:szCs w:val="24"/>
              </w:rPr>
              <w:t>, вул. Доли, вул. Митрополита Шептицького (мікрорайон «</w:t>
            </w:r>
            <w:proofErr w:type="spellStart"/>
            <w:r w:rsidRPr="000C07D3">
              <w:rPr>
                <w:rFonts w:ascii="Times New Roman" w:hAnsi="Times New Roman"/>
                <w:sz w:val="24"/>
                <w:szCs w:val="24"/>
              </w:rPr>
              <w:t>Живова</w:t>
            </w:r>
            <w:proofErr w:type="spellEnd"/>
            <w:r w:rsidRPr="000C07D3">
              <w:rPr>
                <w:rFonts w:ascii="Times New Roman" w:hAnsi="Times New Roman"/>
                <w:sz w:val="24"/>
                <w:szCs w:val="24"/>
              </w:rPr>
              <w:t>» житлового району «Центральний»)».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В стадії затвердження містобудівна документація «Детальний план території, обмеженої вул. Львівська, межа території парку «Загребелля», вул. Бригадна, вул. Глибока Долина, вул. Тернопільська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 підставі прийнятих виконавчим комітетом міської ради рішень в процесі розробки наступні детальні плани територій: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«Внесення змін до детального плану території обмеженої вул. 15 Квітня, вул. </w:t>
            </w:r>
            <w:proofErr w:type="spellStart"/>
            <w:r w:rsidRPr="000C07D3">
              <w:rPr>
                <w:rFonts w:ascii="Times New Roman" w:hAnsi="Times New Roman"/>
                <w:sz w:val="24"/>
                <w:szCs w:val="24"/>
              </w:rPr>
              <w:t>Ак</w:t>
            </w:r>
            <w:proofErr w:type="spellEnd"/>
            <w:r w:rsidRPr="000C07D3">
              <w:rPr>
                <w:rFonts w:ascii="Times New Roman" w:hAnsi="Times New Roman"/>
                <w:sz w:val="24"/>
                <w:szCs w:val="24"/>
              </w:rPr>
              <w:t xml:space="preserve">. Сахарова, вул. Корольова, </w:t>
            </w:r>
            <w:proofErr w:type="spellStart"/>
            <w:r w:rsidRPr="000C07D3">
              <w:rPr>
                <w:rFonts w:ascii="Times New Roman" w:hAnsi="Times New Roman"/>
                <w:sz w:val="24"/>
                <w:szCs w:val="24"/>
              </w:rPr>
              <w:t>Підволочиське</w:t>
            </w:r>
            <w:proofErr w:type="spellEnd"/>
            <w:r w:rsidRPr="000C07D3">
              <w:rPr>
                <w:rFonts w:ascii="Times New Roman" w:hAnsi="Times New Roman"/>
                <w:sz w:val="24"/>
                <w:szCs w:val="24"/>
              </w:rPr>
              <w:t xml:space="preserve"> шосе (мікрорайон №6)»;</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«Детальний план території, обмеженої вул. М. Грушевського, парк ім. Шевченка, вул. </w:t>
            </w:r>
            <w:proofErr w:type="spellStart"/>
            <w:r w:rsidRPr="000C07D3">
              <w:rPr>
                <w:rFonts w:ascii="Times New Roman" w:hAnsi="Times New Roman"/>
                <w:sz w:val="24"/>
                <w:szCs w:val="24"/>
              </w:rPr>
              <w:t>Білецька</w:t>
            </w:r>
            <w:proofErr w:type="spellEnd"/>
            <w:r w:rsidRPr="000C07D3">
              <w:rPr>
                <w:rFonts w:ascii="Times New Roman" w:hAnsi="Times New Roman"/>
                <w:sz w:val="24"/>
                <w:szCs w:val="24"/>
              </w:rPr>
              <w:t>, вул. С. Наливайка, вул. А. Чехова, вул. С. Крушельницької, вул. Б. Хмельницького, віл. Руська, вул. Кардинала Сліпого, вул. Листопадова (мікрорайони «Історичний центр», Новий Світ» житлового району «Центральний»)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«Внесення змін до детального плану території житлового району «Південний»;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«Детальний план території, обмеженої вул. Руська, вул. Кардинала Сліпого, вул. Листопадова, вул. М. Грушевського, межі парку ім. Т. Шевченка та набережної Тернопільського ставу (мікрорайон «Історичний центр» житлового району «Центральний»)»</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Розроблення та затвердження комплексної схеми розташування тимчасових споруд</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Розроблено Схему та Порядок розміщення тимчасових споруд для провадження підприємницької діяльності на території м. Тернополя, сучасні архітектурні типи тимчасових споруд для провадження підприємницької діяльності та зупинок громадського транспорту для розміщення на території Тернопільської міської </w:t>
            </w:r>
            <w:r w:rsidRPr="000C07D3">
              <w:rPr>
                <w:rFonts w:ascii="Times New Roman" w:hAnsi="Times New Roman"/>
                <w:sz w:val="24"/>
                <w:szCs w:val="24"/>
              </w:rPr>
              <w:lastRenderedPageBreak/>
              <w:t>територіальної громади, які затверджені рішеннями виконавчого комітету міської ради відповідно від 17.04.2019 року №392, від 16.05.2019 року №479 та від 31.07.2019 року №733</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Впровадження </w:t>
            </w:r>
            <w:proofErr w:type="spellStart"/>
            <w:r w:rsidRPr="000C07D3">
              <w:rPr>
                <w:rFonts w:ascii="Times New Roman" w:hAnsi="Times New Roman"/>
                <w:sz w:val="24"/>
                <w:szCs w:val="24"/>
              </w:rPr>
              <w:t>геоінформаційної</w:t>
            </w:r>
            <w:proofErr w:type="spellEnd"/>
            <w:r w:rsidRPr="000C07D3">
              <w:rPr>
                <w:rFonts w:ascii="Times New Roman" w:hAnsi="Times New Roman"/>
                <w:sz w:val="24"/>
                <w:szCs w:val="24"/>
              </w:rPr>
              <w:t xml:space="preserve"> системи ведення містобудівного кадастру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 результатами проведеного тендеру та відповідно до укладеного з Тернопільською міською радою договору з ТОВ «МАГНЕТІКВАН МУНІЦИПАЛЬНІ ТЕХНОЛОГІЇ», вказаним товариством виконано послуги, пов’язані з придбанням та встановленням спеціалізованого картографічного програмного (</w:t>
            </w:r>
            <w:proofErr w:type="spellStart"/>
            <w:r w:rsidRPr="000C07D3">
              <w:rPr>
                <w:rFonts w:ascii="Times New Roman" w:hAnsi="Times New Roman"/>
                <w:sz w:val="24"/>
                <w:szCs w:val="24"/>
              </w:rPr>
              <w:t>ArcGIS</w:t>
            </w:r>
            <w:proofErr w:type="spellEnd"/>
            <w:r w:rsidRPr="000C07D3">
              <w:rPr>
                <w:rFonts w:ascii="Times New Roman" w:hAnsi="Times New Roman"/>
                <w:sz w:val="24"/>
                <w:szCs w:val="24"/>
              </w:rPr>
              <w:t xml:space="preserve">) і апаратного забезпечення, електронною обробкою матеріалів для формування ресурсів містобудівного кадастру та впроваджено </w:t>
            </w:r>
            <w:proofErr w:type="spellStart"/>
            <w:r w:rsidRPr="000C07D3">
              <w:rPr>
                <w:rFonts w:ascii="Times New Roman" w:hAnsi="Times New Roman"/>
                <w:sz w:val="24"/>
                <w:szCs w:val="24"/>
              </w:rPr>
              <w:t>геоінформаційну</w:t>
            </w:r>
            <w:proofErr w:type="spellEnd"/>
            <w:r w:rsidRPr="000C07D3">
              <w:rPr>
                <w:rFonts w:ascii="Times New Roman" w:hAnsi="Times New Roman"/>
                <w:sz w:val="24"/>
                <w:szCs w:val="24"/>
              </w:rPr>
              <w:t xml:space="preserve"> систему і </w:t>
            </w:r>
            <w:proofErr w:type="spellStart"/>
            <w:r w:rsidRPr="000C07D3">
              <w:rPr>
                <w:rFonts w:ascii="Times New Roman" w:hAnsi="Times New Roman"/>
                <w:sz w:val="24"/>
                <w:szCs w:val="24"/>
              </w:rPr>
              <w:t>Геопортал</w:t>
            </w:r>
            <w:proofErr w:type="spellEnd"/>
            <w:r w:rsidRPr="000C07D3">
              <w:rPr>
                <w:rFonts w:ascii="Times New Roman" w:hAnsi="Times New Roman"/>
                <w:sz w:val="24"/>
                <w:szCs w:val="24"/>
              </w:rPr>
              <w:t xml:space="preserve"> містобудівного кадастру. </w:t>
            </w:r>
            <w:proofErr w:type="spellStart"/>
            <w:r w:rsidRPr="000C07D3">
              <w:rPr>
                <w:rFonts w:ascii="Times New Roman" w:hAnsi="Times New Roman"/>
                <w:sz w:val="24"/>
                <w:szCs w:val="24"/>
              </w:rPr>
              <w:t>Геопортал</w:t>
            </w:r>
            <w:proofErr w:type="spellEnd"/>
            <w:r w:rsidRPr="000C07D3">
              <w:rPr>
                <w:rFonts w:ascii="Times New Roman" w:hAnsi="Times New Roman"/>
                <w:sz w:val="24"/>
                <w:szCs w:val="24"/>
              </w:rPr>
              <w:t xml:space="preserve"> містобудівного кадастру Тернопільської міської територіальної громади знаходиться у публічному доступі за посиланням https://gis.tmrada.gov.ua/</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Створення </w:t>
            </w:r>
            <w:proofErr w:type="spellStart"/>
            <w:r w:rsidRPr="000C07D3">
              <w:rPr>
                <w:rFonts w:ascii="Times New Roman" w:hAnsi="Times New Roman"/>
                <w:sz w:val="24"/>
                <w:szCs w:val="24"/>
              </w:rPr>
              <w:t>картографо-геодезичної</w:t>
            </w:r>
            <w:proofErr w:type="spellEnd"/>
            <w:r w:rsidRPr="000C07D3">
              <w:rPr>
                <w:rFonts w:ascii="Times New Roman" w:hAnsi="Times New Roman"/>
                <w:sz w:val="24"/>
                <w:szCs w:val="24"/>
              </w:rPr>
              <w:t xml:space="preserve"> основи території громади у графічних та цифрових форматах</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Відповідно до укладеного міською радою договору з Державним науково-виробничим підприємством «Геосистема» створено оновлену та актуалізовану цифрову топографо-геодезичну основу території Тернопільської міської територіальної громади для використання її суб’єктами містобудівної діяльності, виконавчими органами міської ради, зацікавленими підприємствами, установами, організаціями і громадянами. Передбачено до кінця поточного року створення топографічних планів в цифрових форматах масштабу 1:500 з накладеною векторною інформацією інженерно-топографічних планів в межах міста, згідно укладеного договору з ТОВ «Аналітика» від 27.03.2020 року №129.</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A.5.2. Створення та належне утримання рекреаційних зон, громадських просторів та архітектурних пам’яток</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Реконструкція та облаштування парків, скверів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Розроблено та затверджено Схему озеленення міста Тернополя.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Встановлено дитячий </w:t>
            </w:r>
            <w:proofErr w:type="spellStart"/>
            <w:r w:rsidRPr="000C07D3">
              <w:rPr>
                <w:rFonts w:ascii="Times New Roman" w:hAnsi="Times New Roman"/>
                <w:sz w:val="24"/>
                <w:szCs w:val="24"/>
              </w:rPr>
              <w:t>майданчик-лазанку</w:t>
            </w:r>
            <w:proofErr w:type="spellEnd"/>
            <w:r w:rsidRPr="000C07D3">
              <w:rPr>
                <w:rFonts w:ascii="Times New Roman" w:hAnsi="Times New Roman"/>
                <w:sz w:val="24"/>
                <w:szCs w:val="24"/>
              </w:rPr>
              <w:t xml:space="preserve"> на трав’яному пляжі в парку ім. Т. Шевченка в м. Тернополі (громадський бюджет) – 242 645,71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Встановлено вуличні тренажери,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«Доріжку здоров`я» в парку «</w:t>
            </w:r>
            <w:proofErr w:type="spellStart"/>
            <w:r w:rsidRPr="000C07D3">
              <w:rPr>
                <w:rFonts w:ascii="Times New Roman" w:hAnsi="Times New Roman"/>
                <w:sz w:val="24"/>
                <w:szCs w:val="24"/>
              </w:rPr>
              <w:t>Топільче</w:t>
            </w:r>
            <w:proofErr w:type="spellEnd"/>
            <w:r w:rsidRPr="000C07D3">
              <w:rPr>
                <w:rFonts w:ascii="Times New Roman" w:hAnsi="Times New Roman"/>
                <w:sz w:val="24"/>
                <w:szCs w:val="24"/>
              </w:rPr>
              <w:t>» в  м. Тернополі  (громадський бюджет) – 265 601,71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Капітальний ремонт сходів зі сторони вул. Дружба парку «</w:t>
            </w:r>
            <w:proofErr w:type="spellStart"/>
            <w:r w:rsidRPr="000C07D3">
              <w:rPr>
                <w:rFonts w:ascii="Times New Roman" w:hAnsi="Times New Roman"/>
                <w:sz w:val="24"/>
                <w:szCs w:val="24"/>
              </w:rPr>
              <w:t>Топільче</w:t>
            </w:r>
            <w:proofErr w:type="spellEnd"/>
            <w:r w:rsidRPr="000C07D3">
              <w:rPr>
                <w:rFonts w:ascii="Times New Roman" w:hAnsi="Times New Roman"/>
                <w:sz w:val="24"/>
                <w:szCs w:val="24"/>
              </w:rPr>
              <w:t xml:space="preserve">» в м. </w:t>
            </w:r>
            <w:r w:rsidRPr="000C07D3">
              <w:rPr>
                <w:rFonts w:ascii="Times New Roman" w:hAnsi="Times New Roman"/>
                <w:sz w:val="24"/>
                <w:szCs w:val="24"/>
              </w:rPr>
              <w:lastRenderedPageBreak/>
              <w:t>Тернополі» – 432 224,14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Капітальний ремонт освітлення пішохідних зон у парку «Національного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відродження» (Алея Здоров`я) в м. Тернополі – 1 262 346,55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Капітальний ремонт пішохідної доріжки від фонтану до атракціонної зони в парку «Національного відродження» в м. Тернополі – 1 437 728,06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Капітальний ремонт-влаштування пандусу в районі сходів зі сторони проспекту  С. Бандери в парку «Національного відродження» в м. Тернополі – 1 447 200,98 грн.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Капітальний ремонт пішохідної доріжки від атракціонної зони до проспекту Злуки в парку «Національного відродження» в м. Тернополі – 1 427 754,84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Відбувається проведення </w:t>
            </w:r>
            <w:proofErr w:type="spellStart"/>
            <w:r w:rsidRPr="000C07D3">
              <w:rPr>
                <w:rFonts w:ascii="Times New Roman" w:hAnsi="Times New Roman"/>
                <w:sz w:val="24"/>
                <w:szCs w:val="24"/>
              </w:rPr>
              <w:t>акарицидних</w:t>
            </w:r>
            <w:proofErr w:type="spellEnd"/>
            <w:r w:rsidRPr="000C07D3">
              <w:rPr>
                <w:rFonts w:ascii="Times New Roman" w:hAnsi="Times New Roman"/>
                <w:sz w:val="24"/>
                <w:szCs w:val="24"/>
              </w:rPr>
              <w:t xml:space="preserve"> заходів зі знищення популяції </w:t>
            </w:r>
            <w:proofErr w:type="spellStart"/>
            <w:r w:rsidRPr="000C07D3">
              <w:rPr>
                <w:rFonts w:ascii="Times New Roman" w:hAnsi="Times New Roman"/>
                <w:sz w:val="24"/>
                <w:szCs w:val="24"/>
              </w:rPr>
              <w:t>іксодових</w:t>
            </w:r>
            <w:proofErr w:type="spellEnd"/>
            <w:r w:rsidRPr="000C07D3">
              <w:rPr>
                <w:rFonts w:ascii="Times New Roman" w:hAnsi="Times New Roman"/>
                <w:sz w:val="24"/>
                <w:szCs w:val="24"/>
              </w:rPr>
              <w:t xml:space="preserve"> кліщів (сквер ім. Т. Шевченка, сквер на вул. В. Чорновола, сквер Кобзаря) та із озеленення з врахуванням функціонального напрямку та благоустрою на вул. Руській, М. Паращука, М. Шашкевича, Кардинала Сліпого, Старий Ринок, М. Грушевського, бульвар Т. Шевченка, освоєно коштів на суму 371,393 тис. грн.</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 xml:space="preserve">Управління містобудування, архітектури та кадастру, управління житлово-комунального господарства, благоустрою та екології, </w:t>
            </w:r>
            <w:r w:rsidRPr="000C07D3">
              <w:rPr>
                <w:rFonts w:ascii="Times New Roman" w:hAnsi="Times New Roman"/>
                <w:sz w:val="24"/>
                <w:szCs w:val="24"/>
              </w:rPr>
              <w:lastRenderedPageBreak/>
              <w:t>управління культури і мистецтв</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Впорядкування міських пляжів та облаштування відпочинкової зони на території «Дальнього пляжу»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Не відбувалося.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Облаштування багатофункціональних відпочинкових зон та громадських просторів з різноманітними елементами благоустрою та дозвілля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Облаштування комплексного Трансфер містечка на вул. Качали, 1, вартість – 1391,550 тис.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Реконструкція та реставрація історичних об’єктів, будівель та пам’яток архітектури, їх </w:t>
            </w:r>
            <w:r w:rsidRPr="000C07D3">
              <w:rPr>
                <w:rFonts w:ascii="Times New Roman" w:hAnsi="Times New Roman"/>
                <w:sz w:val="24"/>
                <w:szCs w:val="24"/>
              </w:rPr>
              <w:lastRenderedPageBreak/>
              <w:t>благоустрій та освітлення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 xml:space="preserve">Релігійною організацією «Парафія Храму Різдва Христового м. Тернопіль Тернопільської Єпархії Української Автокефальної Православної Церкви» на ліквідацію </w:t>
            </w:r>
            <w:proofErr w:type="spellStart"/>
            <w:r w:rsidRPr="000C07D3">
              <w:rPr>
                <w:rFonts w:ascii="Times New Roman" w:hAnsi="Times New Roman"/>
                <w:sz w:val="24"/>
                <w:szCs w:val="24"/>
              </w:rPr>
              <w:t>передаварійного</w:t>
            </w:r>
            <w:proofErr w:type="spellEnd"/>
            <w:r w:rsidRPr="000C07D3">
              <w:rPr>
                <w:rFonts w:ascii="Times New Roman" w:hAnsi="Times New Roman"/>
                <w:sz w:val="24"/>
                <w:szCs w:val="24"/>
              </w:rPr>
              <w:t xml:space="preserve"> стану та реставрацію фасадів і даху пам’ятки архітектури 17 ст. Церкви Різдва Христового (</w:t>
            </w:r>
            <w:proofErr w:type="spellStart"/>
            <w:r w:rsidRPr="000C07D3">
              <w:rPr>
                <w:rFonts w:ascii="Times New Roman" w:hAnsi="Times New Roman"/>
                <w:sz w:val="24"/>
                <w:szCs w:val="24"/>
              </w:rPr>
              <w:t>охор</w:t>
            </w:r>
            <w:proofErr w:type="spellEnd"/>
            <w:r w:rsidRPr="000C07D3">
              <w:rPr>
                <w:rFonts w:ascii="Times New Roman" w:hAnsi="Times New Roman"/>
                <w:sz w:val="24"/>
                <w:szCs w:val="24"/>
              </w:rPr>
              <w:t xml:space="preserve">. №636) по вул. Руській, 22 в </w:t>
            </w:r>
            <w:r w:rsidRPr="000C07D3">
              <w:rPr>
                <w:rFonts w:ascii="Times New Roman" w:hAnsi="Times New Roman"/>
                <w:sz w:val="24"/>
                <w:szCs w:val="24"/>
              </w:rPr>
              <w:lastRenderedPageBreak/>
              <w:t>м. Тернополі виділено – 500,0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Проведено роботи з поточного ремонту пам’ятників Т. Шевченку та І. Франку в м. Тернополі. Підвищення естетичного виду об’єктів монументального мистецтва, освоєно коштів на суму 41,613 тис.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lastRenderedPageBreak/>
              <w:t>A.5.3. Забезпечення раціонального та принадливого розміщення зовнішньої реклами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Актуалізація та інформатизація інтерактивної карти місць розташування рекламних засобів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Систематично доповнюється та актуалізується.</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стратегічного розвитку міста</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Моніторинг належної кількості місць розташування рекламних засобів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Прийнято рішення виконавчого комітету «Про демонтаж рекламних засобів» від 08.07.2020 №476 (59 шт.) та від 06.02.2020 №92 (17 шт.).</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Забезпечення належного вигляду рекламних конструкцій та елементів і благоустрою місць розташування рекламних засобів</w:t>
            </w:r>
          </w:p>
        </w:tc>
        <w:tc>
          <w:tcPr>
            <w:tcW w:w="8644" w:type="dxa"/>
            <w:vAlign w:val="center"/>
          </w:tcPr>
          <w:p w:rsidR="00D25DF3" w:rsidRPr="000C07D3" w:rsidRDefault="00D25DF3" w:rsidP="00CC6239">
            <w:pPr>
              <w:rPr>
                <w:rFonts w:ascii="Times New Roman" w:hAnsi="Times New Roman"/>
                <w:sz w:val="24"/>
                <w:szCs w:val="24"/>
              </w:rPr>
            </w:pP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освітлення рекламних засобів типу «</w:t>
            </w:r>
            <w:proofErr w:type="spellStart"/>
            <w:r w:rsidRPr="000C07D3">
              <w:rPr>
                <w:rFonts w:ascii="Times New Roman" w:hAnsi="Times New Roman"/>
                <w:sz w:val="24"/>
                <w:szCs w:val="24"/>
              </w:rPr>
              <w:t>білборд</w:t>
            </w:r>
            <w:proofErr w:type="spellEnd"/>
            <w:r w:rsidRPr="000C07D3">
              <w:rPr>
                <w:rFonts w:ascii="Times New Roman" w:hAnsi="Times New Roman"/>
                <w:sz w:val="24"/>
                <w:szCs w:val="24"/>
              </w:rPr>
              <w:t>» у I зоні (історичний Центр), виконано оновлення рекламних засобів – 15 шт.</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t>Стратегічна ціль А.6. Запровадження сучасної системи управління громадою на основі концепції «</w:t>
            </w:r>
            <w:proofErr w:type="spellStart"/>
            <w:r w:rsidRPr="000C07D3">
              <w:rPr>
                <w:rFonts w:ascii="Times New Roman" w:hAnsi="Times New Roman"/>
                <w:b/>
                <w:sz w:val="24"/>
                <w:szCs w:val="24"/>
              </w:rPr>
              <w:t>Smart</w:t>
            </w:r>
            <w:proofErr w:type="spellEnd"/>
            <w:r w:rsidRPr="000C07D3">
              <w:rPr>
                <w:rFonts w:ascii="Times New Roman" w:hAnsi="Times New Roman"/>
                <w:b/>
                <w:sz w:val="24"/>
                <w:szCs w:val="24"/>
              </w:rPr>
              <w:t xml:space="preserve"> </w:t>
            </w:r>
            <w:proofErr w:type="spellStart"/>
            <w:r w:rsidRPr="000C07D3">
              <w:rPr>
                <w:rFonts w:ascii="Times New Roman" w:hAnsi="Times New Roman"/>
                <w:b/>
                <w:sz w:val="24"/>
                <w:szCs w:val="24"/>
              </w:rPr>
              <w:t>City</w:t>
            </w:r>
            <w:proofErr w:type="spellEnd"/>
            <w:r w:rsidRPr="000C07D3">
              <w:rPr>
                <w:rFonts w:ascii="Times New Roman" w:hAnsi="Times New Roman"/>
                <w:b/>
                <w:sz w:val="24"/>
                <w:szCs w:val="24"/>
              </w:rPr>
              <w:t>»</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 xml:space="preserve">А.6.1. Реалізація концепції розвитку е-урядування та впровадження </w:t>
            </w:r>
            <w:proofErr w:type="spellStart"/>
            <w:r w:rsidRPr="000C07D3">
              <w:rPr>
                <w:rFonts w:ascii="Times New Roman" w:hAnsi="Times New Roman"/>
                <w:b/>
                <w:sz w:val="24"/>
                <w:szCs w:val="24"/>
              </w:rPr>
              <w:t>смарт-технологій</w:t>
            </w:r>
            <w:proofErr w:type="spellEnd"/>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Оновлення системи електронного документообігу у виконавчих органах ради та установах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Оновлено систему у Центрі надання адміністративних послуг, триває оновлення у виконавчих органах міської ради та комунальних підприємствах, установах та організаціях.</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Відділ зв’язків з громадськістю та засобами масової інформації, відділ діджиталізації та програмування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Вдосконалення діючих та розроблення й забезпечення функціональності нових баз, реєстрів, порталів даних та послуг (відкриті дані, бюджет громади, </w:t>
            </w:r>
            <w:proofErr w:type="spellStart"/>
            <w:r w:rsidRPr="000C07D3">
              <w:rPr>
                <w:rFonts w:ascii="Times New Roman" w:hAnsi="Times New Roman"/>
                <w:sz w:val="24"/>
                <w:szCs w:val="24"/>
              </w:rPr>
              <w:t>геоінформаційна</w:t>
            </w:r>
            <w:proofErr w:type="spellEnd"/>
            <w:r w:rsidRPr="000C07D3">
              <w:rPr>
                <w:rFonts w:ascii="Times New Roman" w:hAnsi="Times New Roman"/>
                <w:sz w:val="24"/>
                <w:szCs w:val="24"/>
              </w:rPr>
              <w:t xml:space="preserve"> система, е-петиції, е-обговорення, е-консультації, е-</w:t>
            </w:r>
            <w:r w:rsidRPr="000C07D3">
              <w:rPr>
                <w:rFonts w:ascii="Times New Roman" w:hAnsi="Times New Roman"/>
                <w:sz w:val="24"/>
                <w:szCs w:val="24"/>
              </w:rPr>
              <w:lastRenderedPageBreak/>
              <w:t xml:space="preserve">архів, е-освіта, е-медицина, е-безпека, е-робота, </w:t>
            </w:r>
            <w:proofErr w:type="spellStart"/>
            <w:r w:rsidRPr="000C07D3">
              <w:rPr>
                <w:rFonts w:ascii="Times New Roman" w:hAnsi="Times New Roman"/>
                <w:sz w:val="24"/>
                <w:szCs w:val="24"/>
              </w:rPr>
              <w:t>е-ЖКГ</w:t>
            </w:r>
            <w:proofErr w:type="spellEnd"/>
            <w:r w:rsidRPr="000C07D3">
              <w:rPr>
                <w:rFonts w:ascii="Times New Roman" w:hAnsi="Times New Roman"/>
                <w:sz w:val="24"/>
                <w:szCs w:val="24"/>
              </w:rPr>
              <w:t xml:space="preserve">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 xml:space="preserve">Розгорнуто місцевий портал відкритих даних. </w:t>
            </w:r>
            <w:proofErr w:type="spellStart"/>
            <w:r w:rsidRPr="000C07D3">
              <w:rPr>
                <w:rFonts w:ascii="Times New Roman" w:hAnsi="Times New Roman"/>
                <w:sz w:val="24"/>
                <w:szCs w:val="24"/>
              </w:rPr>
              <w:t>Оприлюднено</w:t>
            </w:r>
            <w:proofErr w:type="spellEnd"/>
            <w:r w:rsidRPr="000C07D3">
              <w:rPr>
                <w:rFonts w:ascii="Times New Roman" w:hAnsi="Times New Roman"/>
                <w:sz w:val="24"/>
                <w:szCs w:val="24"/>
              </w:rPr>
              <w:t xml:space="preserve"> 135 нових наборів.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платформі </w:t>
            </w:r>
            <w:proofErr w:type="spellStart"/>
            <w:r w:rsidRPr="000C07D3">
              <w:rPr>
                <w:rFonts w:ascii="Times New Roman" w:hAnsi="Times New Roman"/>
                <w:sz w:val="24"/>
                <w:szCs w:val="24"/>
              </w:rPr>
              <w:t>ГІС</w:t>
            </w:r>
            <w:proofErr w:type="spellEnd"/>
            <w:r w:rsidRPr="000C07D3">
              <w:rPr>
                <w:rFonts w:ascii="Times New Roman" w:hAnsi="Times New Roman"/>
                <w:sz w:val="24"/>
                <w:szCs w:val="24"/>
              </w:rPr>
              <w:t xml:space="preserve"> додали нові </w:t>
            </w:r>
            <w:proofErr w:type="spellStart"/>
            <w:r w:rsidRPr="000C07D3">
              <w:rPr>
                <w:rFonts w:ascii="Times New Roman" w:hAnsi="Times New Roman"/>
                <w:sz w:val="24"/>
                <w:szCs w:val="24"/>
              </w:rPr>
              <w:t>дашборди</w:t>
            </w:r>
            <w:proofErr w:type="spellEnd"/>
            <w:r w:rsidRPr="000C07D3">
              <w:rPr>
                <w:rFonts w:ascii="Times New Roman" w:hAnsi="Times New Roman"/>
                <w:sz w:val="24"/>
                <w:szCs w:val="24"/>
              </w:rPr>
              <w:t>, зокрема про демографію, стан заборгованості за комунальні послуги, пожеж, про вивіз сміття і т.д.</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Портали е-петиції, е-обговорення та Громадський бюджет – підтримуються та активно використовуються.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Е-архів – придбано програмне забезпечення, у 2021 році триватиме </w:t>
            </w:r>
            <w:r w:rsidRPr="000C07D3">
              <w:rPr>
                <w:rFonts w:ascii="Times New Roman" w:hAnsi="Times New Roman"/>
                <w:sz w:val="24"/>
                <w:szCs w:val="24"/>
              </w:rPr>
              <w:lastRenderedPageBreak/>
              <w:t>налаштування та наповнення.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Е-освіта – заклади освіти підключені до єдиної інформаційної системи «Єдина школа».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Е-безпека – презентовано роботу Ситуаційного центру.</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Переведення послуг в онлайн формат</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Роботи тривають. До кінця року в </w:t>
            </w:r>
            <w:proofErr w:type="spellStart"/>
            <w:r w:rsidRPr="000C07D3">
              <w:rPr>
                <w:rFonts w:ascii="Times New Roman" w:hAnsi="Times New Roman"/>
                <w:sz w:val="24"/>
                <w:szCs w:val="24"/>
              </w:rPr>
              <w:t>онлайн-режимі</w:t>
            </w:r>
            <w:proofErr w:type="spellEnd"/>
            <w:r w:rsidRPr="000C07D3">
              <w:rPr>
                <w:rFonts w:ascii="Times New Roman" w:hAnsi="Times New Roman"/>
                <w:sz w:val="24"/>
                <w:szCs w:val="24"/>
              </w:rPr>
              <w:t xml:space="preserve"> будуть доступні 10 послуг. Основна кількість послуг заплановано перевести онлайн у І кварталі 2021 року.</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«Персонального кабінету жителя», «Контакт-центру Тернопільської міської ради» та мобільного додатку для сповіщення жителів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«Електронний кабінет </w:t>
            </w:r>
            <w:proofErr w:type="spellStart"/>
            <w:r w:rsidRPr="000C07D3">
              <w:rPr>
                <w:rFonts w:ascii="Times New Roman" w:hAnsi="Times New Roman"/>
                <w:sz w:val="24"/>
                <w:szCs w:val="24"/>
              </w:rPr>
              <w:t>тернополянина</w:t>
            </w:r>
            <w:proofErr w:type="spellEnd"/>
            <w:r w:rsidRPr="000C07D3">
              <w:rPr>
                <w:rFonts w:ascii="Times New Roman" w:hAnsi="Times New Roman"/>
                <w:sz w:val="24"/>
                <w:szCs w:val="24"/>
              </w:rPr>
              <w:t>» розроблено та буде презентуватися у грудні.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Для контакт-центру придбане додаткове обладнання для роботи.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Мобільний додаток сіті-бот «Назар» працює, на нього підписалися понад 8000 осіб.</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A.6.2. Розширення та вдосконалення сервісів й послуг ЦНАП</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Оновлення програмного забезпечення та сайту ЦНАП</w:t>
            </w:r>
          </w:p>
        </w:tc>
        <w:tc>
          <w:tcPr>
            <w:tcW w:w="8644" w:type="dxa"/>
            <w:vAlign w:val="center"/>
          </w:tcPr>
          <w:p w:rsidR="00D25DF3" w:rsidRPr="000C07D3" w:rsidRDefault="00D25DF3" w:rsidP="00CC6239">
            <w:pPr>
              <w:tabs>
                <w:tab w:val="left" w:pos="4461"/>
              </w:tabs>
              <w:rPr>
                <w:rFonts w:ascii="Times New Roman" w:hAnsi="Times New Roman"/>
                <w:sz w:val="24"/>
                <w:szCs w:val="24"/>
              </w:rPr>
            </w:pPr>
            <w:r w:rsidRPr="000C07D3">
              <w:rPr>
                <w:rFonts w:ascii="Times New Roman" w:hAnsi="Times New Roman"/>
                <w:sz w:val="24"/>
                <w:szCs w:val="24"/>
              </w:rPr>
              <w:t>З листопада 2020 року ЦНАП надає послуги через програмне забезпечення «АСКОД».</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Відділ «Центр надання адміністративних послуг»</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мобільного інформування про надані послуги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Програмне забезпечення «АСКОД» передбачає мобільне інформування про надані послуги.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Забезпечення </w:t>
            </w:r>
            <w:proofErr w:type="spellStart"/>
            <w:r w:rsidRPr="000C07D3">
              <w:rPr>
                <w:rFonts w:ascii="Times New Roman" w:hAnsi="Times New Roman"/>
                <w:sz w:val="24"/>
                <w:szCs w:val="24"/>
              </w:rPr>
              <w:t>онлайн-консультацій</w:t>
            </w:r>
            <w:proofErr w:type="spellEnd"/>
            <w:r w:rsidRPr="000C07D3">
              <w:rPr>
                <w:rFonts w:ascii="Times New Roman" w:hAnsi="Times New Roman"/>
                <w:sz w:val="24"/>
                <w:szCs w:val="24"/>
              </w:rPr>
              <w:t xml:space="preserve"> щодо надання послуг</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Адміністратори ЦНАП здійснюються </w:t>
            </w:r>
            <w:proofErr w:type="spellStart"/>
            <w:r w:rsidRPr="000C07D3">
              <w:rPr>
                <w:rFonts w:ascii="Times New Roman" w:hAnsi="Times New Roman"/>
                <w:sz w:val="24"/>
                <w:szCs w:val="24"/>
              </w:rPr>
              <w:t>онлайн-консультації</w:t>
            </w:r>
            <w:proofErr w:type="spellEnd"/>
            <w:r w:rsidRPr="000C07D3">
              <w:rPr>
                <w:rFonts w:ascii="Times New Roman" w:hAnsi="Times New Roman"/>
                <w:sz w:val="24"/>
                <w:szCs w:val="24"/>
              </w:rPr>
              <w:t xml:space="preserve"> щодо надання послуг.</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мобільного офісу ЦНАП для надання виїзних адміністративних послуг</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Проведено закупівлю 50% техніки для мобільного офісу ЦНАП.</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А.6.3. Забезпечення належного рівня кваліфікації та надання послуг працівниками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Проведення навчань та підвищення кваліфікації посадових осіб </w:t>
            </w:r>
            <w:r w:rsidRPr="000C07D3">
              <w:rPr>
                <w:rFonts w:ascii="Times New Roman" w:hAnsi="Times New Roman"/>
                <w:sz w:val="24"/>
                <w:szCs w:val="24"/>
              </w:rPr>
              <w:lastRenderedPageBreak/>
              <w:t>виконавчих органів ради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Проводяться консультації в онлайн та телефонному режимі.</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Головний спеціаліст з </w:t>
            </w:r>
            <w:r w:rsidRPr="000C07D3">
              <w:rPr>
                <w:rFonts w:ascii="Times New Roman" w:hAnsi="Times New Roman"/>
                <w:sz w:val="24"/>
                <w:szCs w:val="24"/>
              </w:rPr>
              <w:lastRenderedPageBreak/>
              <w:t>питань управління якістю</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внутрішніх аудитів у виконавчих органах ради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Затверджено «Програму проведення внутрішніх аудитів на 2020» рік.</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Список працівників, які виконували функції внутрішніх аудиторів у 2020 році затверджено розпорядженням міського голови від 04.03.2020 року №67.</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Подано звіт міському голові про проведення внутрішніх аудитів у 2020 році від 15.09.2020 р. №23/1.8.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Сформовано 33 «План-звіти про проведення внутрішніх аудитів».</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Оптимізація та актуалізація документації системи управління якістю виконавчих органів ради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Прийнято рішення виконавчого комітету від 12.06.2019 року № 567 « Про затвердження реєстрів» (у 2020 році 14 разів вносились зміни).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Цілі у сфері якості виконавчих органів Тернопільської міської ради на 2020 рік затверджені рішенням виконавчого комітету від 13.02.2020 р. №116.</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Станом на 01.09.2020 року внесено зміни до 235 інформаційних карток та до 111 технологічних карток. Актуальні версії інформаційних та технологічних карток щодо надання адміністративних та неадміністративних послуг розміщені на сайті міської ради.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 xml:space="preserve">А.6.4. Розширення функціональності «Соціальної картки </w:t>
            </w:r>
            <w:proofErr w:type="spellStart"/>
            <w:r w:rsidRPr="000C07D3">
              <w:rPr>
                <w:rFonts w:ascii="Times New Roman" w:hAnsi="Times New Roman"/>
                <w:b/>
                <w:sz w:val="24"/>
                <w:szCs w:val="24"/>
              </w:rPr>
              <w:t>тернополянина</w:t>
            </w:r>
            <w:proofErr w:type="spellEnd"/>
            <w:r w:rsidRPr="000C07D3">
              <w:rPr>
                <w:rFonts w:ascii="Times New Roman" w:hAnsi="Times New Roman"/>
                <w:b/>
                <w:sz w:val="24"/>
                <w:szCs w:val="24"/>
              </w:rPr>
              <w:t>» («Файної картки»)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Інтеграція «Соціальної картки </w:t>
            </w:r>
            <w:proofErr w:type="spellStart"/>
            <w:r w:rsidRPr="000C07D3">
              <w:rPr>
                <w:rFonts w:ascii="Times New Roman" w:hAnsi="Times New Roman"/>
                <w:sz w:val="24"/>
                <w:szCs w:val="24"/>
              </w:rPr>
              <w:t>тернополянина</w:t>
            </w:r>
            <w:proofErr w:type="spellEnd"/>
            <w:r w:rsidRPr="000C07D3">
              <w:rPr>
                <w:rFonts w:ascii="Times New Roman" w:hAnsi="Times New Roman"/>
                <w:sz w:val="24"/>
                <w:szCs w:val="24"/>
              </w:rPr>
              <w:t>» («Файної картки») у систему надання е-послуг</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 процесі організації.</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транспортних мереж та зв’язку</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Розширення сфер застосування «Соціальної картки </w:t>
            </w:r>
            <w:proofErr w:type="spellStart"/>
            <w:r w:rsidRPr="000C07D3">
              <w:rPr>
                <w:rFonts w:ascii="Times New Roman" w:hAnsi="Times New Roman"/>
                <w:sz w:val="24"/>
                <w:szCs w:val="24"/>
              </w:rPr>
              <w:t>тернополянина</w:t>
            </w:r>
            <w:proofErr w:type="spellEnd"/>
            <w:r w:rsidRPr="000C07D3">
              <w:rPr>
                <w:rFonts w:ascii="Times New Roman" w:hAnsi="Times New Roman"/>
                <w:sz w:val="24"/>
                <w:szCs w:val="24"/>
              </w:rPr>
              <w:t>» («Файної картки»)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Для власників «Соціальної карти Тернополянина»  надається дисконт в закладах торгівлі/надання послуг: ательє з ремонту та </w:t>
            </w:r>
            <w:proofErr w:type="spellStart"/>
            <w:r w:rsidRPr="000C07D3">
              <w:rPr>
                <w:rFonts w:ascii="Times New Roman" w:hAnsi="Times New Roman"/>
                <w:sz w:val="24"/>
                <w:szCs w:val="24"/>
              </w:rPr>
              <w:t>пошиву</w:t>
            </w:r>
            <w:proofErr w:type="spellEnd"/>
            <w:r w:rsidRPr="000C07D3">
              <w:rPr>
                <w:rFonts w:ascii="Times New Roman" w:hAnsi="Times New Roman"/>
                <w:sz w:val="24"/>
                <w:szCs w:val="24"/>
              </w:rPr>
              <w:t xml:space="preserve"> взуття «Територія взуття», ремонт телерадіоапаратури, лікувально-діагностичний центр «</w:t>
            </w:r>
            <w:proofErr w:type="spellStart"/>
            <w:r w:rsidRPr="000C07D3">
              <w:rPr>
                <w:rFonts w:ascii="Times New Roman" w:hAnsi="Times New Roman"/>
                <w:sz w:val="24"/>
                <w:szCs w:val="24"/>
              </w:rPr>
              <w:t>Румед-Т</w:t>
            </w:r>
            <w:proofErr w:type="spellEnd"/>
            <w:r w:rsidRPr="000C07D3">
              <w:rPr>
                <w:rFonts w:ascii="Times New Roman" w:hAnsi="Times New Roman"/>
                <w:sz w:val="24"/>
                <w:szCs w:val="24"/>
              </w:rPr>
              <w:t>», ресторан-музей «Галицький замок», мережа аптек «Ромашка», «Борис». В процесі інтеграції: фітнес клуб «Арена», магазин «Галерея вишиванок», стоматологія «</w:t>
            </w:r>
            <w:proofErr w:type="spellStart"/>
            <w:r w:rsidRPr="000C07D3">
              <w:rPr>
                <w:rFonts w:ascii="Times New Roman" w:hAnsi="Times New Roman"/>
                <w:sz w:val="24"/>
                <w:szCs w:val="24"/>
              </w:rPr>
              <w:t>Dental</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art</w:t>
            </w:r>
            <w:proofErr w:type="spellEnd"/>
            <w:r w:rsidRPr="000C07D3">
              <w:rPr>
                <w:rFonts w:ascii="Times New Roman" w:hAnsi="Times New Roman"/>
                <w:sz w:val="24"/>
                <w:szCs w:val="24"/>
              </w:rPr>
              <w:t>», спортивний клуб «</w:t>
            </w:r>
            <w:proofErr w:type="spellStart"/>
            <w:r w:rsidRPr="000C07D3">
              <w:rPr>
                <w:rFonts w:ascii="Times New Roman" w:hAnsi="Times New Roman"/>
                <w:sz w:val="24"/>
                <w:szCs w:val="24"/>
              </w:rPr>
              <w:t>Power</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Gym</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Учні тернопільських шкіл та закладів професійно-технічної освіти, які належать </w:t>
            </w:r>
            <w:r w:rsidRPr="000C07D3">
              <w:rPr>
                <w:rFonts w:ascii="Times New Roman" w:hAnsi="Times New Roman"/>
                <w:sz w:val="24"/>
                <w:szCs w:val="24"/>
              </w:rPr>
              <w:lastRenderedPageBreak/>
              <w:t>до соціально незахищених категорій, сплачують за обіди «Соціальною карткою Тернополянина».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lastRenderedPageBreak/>
              <w:t>А.6.5. Підвищення ролі громадськості та активної молоді у житті громади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Проходження практики й стажування студентів </w:t>
            </w:r>
            <w:proofErr w:type="spellStart"/>
            <w:r w:rsidRPr="000C07D3">
              <w:rPr>
                <w:rFonts w:ascii="Times New Roman" w:hAnsi="Times New Roman"/>
                <w:sz w:val="24"/>
                <w:szCs w:val="24"/>
              </w:rPr>
              <w:t>ВУЗів</w:t>
            </w:r>
            <w:proofErr w:type="spellEnd"/>
            <w:r w:rsidRPr="000C07D3">
              <w:rPr>
                <w:rFonts w:ascii="Times New Roman" w:hAnsi="Times New Roman"/>
                <w:sz w:val="24"/>
                <w:szCs w:val="24"/>
              </w:rPr>
              <w:t xml:space="preserve"> м. Тернополя у виконавчих органах ради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Проводиться на регулярній основі.</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сім’ї, молодіжної політики та захисту дітей</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Активна діяльність Молодіжної міської ради та співпраця з молоддю і громадськими організаціями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Проведено «Кубок </w:t>
            </w:r>
            <w:proofErr w:type="spellStart"/>
            <w:r w:rsidRPr="000C07D3">
              <w:rPr>
                <w:rFonts w:ascii="Times New Roman" w:hAnsi="Times New Roman"/>
                <w:sz w:val="24"/>
                <w:szCs w:val="24"/>
              </w:rPr>
              <w:t>Шухевича</w:t>
            </w:r>
            <w:proofErr w:type="spellEnd"/>
            <w:r w:rsidRPr="000C07D3">
              <w:rPr>
                <w:rFonts w:ascii="Times New Roman" w:hAnsi="Times New Roman"/>
                <w:sz w:val="24"/>
                <w:szCs w:val="24"/>
              </w:rPr>
              <w:t xml:space="preserve">»,  «Свято весни», </w:t>
            </w:r>
            <w:proofErr w:type="spellStart"/>
            <w:r w:rsidRPr="000C07D3">
              <w:rPr>
                <w:rFonts w:ascii="Times New Roman" w:hAnsi="Times New Roman"/>
                <w:sz w:val="24"/>
                <w:szCs w:val="24"/>
              </w:rPr>
              <w:t>вебінар</w:t>
            </w:r>
            <w:proofErr w:type="spellEnd"/>
            <w:r w:rsidRPr="000C07D3">
              <w:rPr>
                <w:rFonts w:ascii="Times New Roman" w:hAnsi="Times New Roman"/>
                <w:sz w:val="24"/>
                <w:szCs w:val="24"/>
              </w:rPr>
              <w:t xml:space="preserve"> «Молодіжні організації Тернополя», Марафон 1316, Молодіжний </w:t>
            </w:r>
            <w:proofErr w:type="spellStart"/>
            <w:r w:rsidRPr="000C07D3">
              <w:rPr>
                <w:rFonts w:ascii="Times New Roman" w:hAnsi="Times New Roman"/>
                <w:sz w:val="24"/>
                <w:szCs w:val="24"/>
              </w:rPr>
              <w:t>квест</w:t>
            </w:r>
            <w:proofErr w:type="spellEnd"/>
            <w:r w:rsidRPr="000C07D3">
              <w:rPr>
                <w:rFonts w:ascii="Times New Roman" w:hAnsi="Times New Roman"/>
                <w:sz w:val="24"/>
                <w:szCs w:val="24"/>
              </w:rPr>
              <w:t xml:space="preserve"> «480-річчя Тернополя» тощо (загалом залучено 500 осіб).</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конкурсів з визначення програм (проектів, заходів) громадських організацій та активної молоді («Громадський бюджет»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конкурсу з визначення програм (проектів, заходів), розроблених інститутами громадянського суспільства (фінансування отримали 25 проектів від 15 інститутів громадянського суспільства на загальну суму 250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Спільно з Британською Радою та Європейським Союзом, що представлений Європейською Комісією, ГО «Молодіжна платформа» та ГО «Центр Науки Тернополя» в рамках проєкту «Зміцнення </w:t>
            </w:r>
            <w:proofErr w:type="spellStart"/>
            <w:r w:rsidRPr="000C07D3">
              <w:rPr>
                <w:rFonts w:ascii="Times New Roman" w:hAnsi="Times New Roman"/>
                <w:sz w:val="24"/>
                <w:szCs w:val="24"/>
              </w:rPr>
              <w:t>міжсекторальної</w:t>
            </w:r>
            <w:proofErr w:type="spellEnd"/>
            <w:r w:rsidRPr="000C07D3">
              <w:rPr>
                <w:rFonts w:ascii="Times New Roman" w:hAnsi="Times New Roman"/>
                <w:sz w:val="24"/>
                <w:szCs w:val="24"/>
              </w:rPr>
              <w:t xml:space="preserve"> співпраці для соціальної згуртованості» (SC3) провели </w:t>
            </w:r>
            <w:proofErr w:type="spellStart"/>
            <w:r w:rsidRPr="000C07D3">
              <w:rPr>
                <w:rFonts w:ascii="Times New Roman" w:hAnsi="Times New Roman"/>
                <w:sz w:val="24"/>
                <w:szCs w:val="24"/>
              </w:rPr>
              <w:t>пітчинг</w:t>
            </w:r>
            <w:proofErr w:type="spellEnd"/>
            <w:r w:rsidRPr="000C07D3">
              <w:rPr>
                <w:rFonts w:ascii="Times New Roman" w:hAnsi="Times New Roman"/>
                <w:sz w:val="24"/>
                <w:szCs w:val="24"/>
              </w:rPr>
              <w:t xml:space="preserve"> на рівні громади. </w:t>
            </w:r>
            <w:proofErr w:type="spellStart"/>
            <w:r w:rsidRPr="000C07D3">
              <w:rPr>
                <w:rFonts w:ascii="Times New Roman" w:hAnsi="Times New Roman"/>
                <w:sz w:val="24"/>
                <w:szCs w:val="24"/>
              </w:rPr>
              <w:t>Пітчинг</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проєктів</w:t>
            </w:r>
            <w:proofErr w:type="spellEnd"/>
            <w:r w:rsidRPr="000C07D3">
              <w:rPr>
                <w:rFonts w:ascii="Times New Roman" w:hAnsi="Times New Roman"/>
                <w:sz w:val="24"/>
                <w:szCs w:val="24"/>
              </w:rPr>
              <w:t xml:space="preserve"> – конкурс </w:t>
            </w:r>
            <w:proofErr w:type="spellStart"/>
            <w:r w:rsidRPr="000C07D3">
              <w:rPr>
                <w:rFonts w:ascii="Times New Roman" w:hAnsi="Times New Roman"/>
                <w:sz w:val="24"/>
                <w:szCs w:val="24"/>
              </w:rPr>
              <w:t>проєктів</w:t>
            </w:r>
            <w:proofErr w:type="spellEnd"/>
            <w:r w:rsidRPr="000C07D3">
              <w:rPr>
                <w:rFonts w:ascii="Times New Roman" w:hAnsi="Times New Roman"/>
                <w:sz w:val="24"/>
                <w:szCs w:val="24"/>
              </w:rPr>
              <w:t xml:space="preserve"> соціальної дії за фінансової підтримки Європейської Комісії та Британської Ради у </w:t>
            </w:r>
            <w:proofErr w:type="spellStart"/>
            <w:r w:rsidRPr="000C07D3">
              <w:rPr>
                <w:rFonts w:ascii="Times New Roman" w:hAnsi="Times New Roman"/>
                <w:sz w:val="24"/>
                <w:szCs w:val="24"/>
              </w:rPr>
              <w:t>співфінансуванні</w:t>
            </w:r>
            <w:proofErr w:type="spellEnd"/>
            <w:r w:rsidRPr="000C07D3">
              <w:rPr>
                <w:rFonts w:ascii="Times New Roman" w:hAnsi="Times New Roman"/>
                <w:sz w:val="24"/>
                <w:szCs w:val="24"/>
              </w:rPr>
              <w:t xml:space="preserve"> з органами місцевого самоврядування (загалом залучено 38 проектів).</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Відзначення та заохочення громадських організацій та активної молоді.</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Відзначення представників громадських організацій та студентського самоврядування з нагоди Дня молоді (відзначено 42 молодих активістів).</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СТРАТЕГІЧНИЙ ПРІОРИТЕТ В. КОНКУРЕНТОСПРОМОЖНА ЕКОНОМІКА ГРОМАДИ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t>Стратегічна ціль В.1. Розвиток пріоритетних сфер економіки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B.1.1. Модернізація базових і створення нових виробництв та інноваційних видів діяльності</w:t>
            </w:r>
          </w:p>
        </w:tc>
      </w:tr>
      <w:tr w:rsidR="00D25DF3" w:rsidRPr="000C07D3" w:rsidTr="00CC6239">
        <w:trPr>
          <w:trHeight w:val="865"/>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Модернізація та створення нових об’єктів виробничого призначення, впровадження у виробництво нових видів продукції та технологій</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Проект «Розвиток міської інфраструктури-2» по модернізації систем водопостачання та водовідведення реалізовується </w:t>
            </w: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«Тернопільводоканал» за рахунок кредиту від Світового банку та Фонду чистих технологій – у сумі 36,7 </w:t>
            </w:r>
            <w:proofErr w:type="spellStart"/>
            <w:r w:rsidRPr="000C07D3">
              <w:rPr>
                <w:rFonts w:ascii="Times New Roman" w:hAnsi="Times New Roman"/>
                <w:sz w:val="24"/>
                <w:szCs w:val="24"/>
              </w:rPr>
              <w:t>млн</w:t>
            </w:r>
            <w:proofErr w:type="spellEnd"/>
            <w:r w:rsidRPr="000C07D3">
              <w:rPr>
                <w:rFonts w:ascii="Times New Roman" w:hAnsi="Times New Roman"/>
                <w:sz w:val="24"/>
                <w:szCs w:val="24"/>
              </w:rPr>
              <w:t xml:space="preserve"> дол. США з терміном погашення 20 та 18 років відповідно.</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даний час Світовим банком профінансовано 5 265,9 тис. дол. США та Фондом чистих технологій – 1 214,5 тис. дол. США. Залишок суми кредиту становить 30,22 </w:t>
            </w:r>
            <w:proofErr w:type="spellStart"/>
            <w:r w:rsidRPr="000C07D3">
              <w:rPr>
                <w:rFonts w:ascii="Times New Roman" w:hAnsi="Times New Roman"/>
                <w:sz w:val="24"/>
                <w:szCs w:val="24"/>
              </w:rPr>
              <w:t>млн</w:t>
            </w:r>
            <w:proofErr w:type="spellEnd"/>
            <w:r w:rsidRPr="000C07D3">
              <w:rPr>
                <w:rFonts w:ascii="Times New Roman" w:hAnsi="Times New Roman"/>
                <w:sz w:val="24"/>
                <w:szCs w:val="24"/>
              </w:rPr>
              <w:t xml:space="preserve"> дол. Проект «Підвищення енергоефективності в секторі централізованого теплопостачання України» по модернізації систем теплопостачання шляхом придбання ІТП та зменшення викидів </w:t>
            </w:r>
            <w:proofErr w:type="spellStart"/>
            <w:r w:rsidRPr="000C07D3">
              <w:rPr>
                <w:rFonts w:ascii="Times New Roman" w:hAnsi="Times New Roman"/>
                <w:sz w:val="24"/>
                <w:szCs w:val="24"/>
              </w:rPr>
              <w:t>СО2</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Тернопільміськтеплокомуненерго</w:t>
            </w:r>
            <w:proofErr w:type="spellEnd"/>
            <w:r w:rsidRPr="000C07D3">
              <w:rPr>
                <w:rFonts w:ascii="Times New Roman" w:hAnsi="Times New Roman"/>
                <w:sz w:val="24"/>
                <w:szCs w:val="24"/>
              </w:rPr>
              <w:t xml:space="preserve">» отримує кредит від Світового банку у розмірі 16,53 </w:t>
            </w:r>
            <w:proofErr w:type="spellStart"/>
            <w:r w:rsidRPr="000C07D3">
              <w:rPr>
                <w:rFonts w:ascii="Times New Roman" w:hAnsi="Times New Roman"/>
                <w:sz w:val="24"/>
                <w:szCs w:val="24"/>
              </w:rPr>
              <w:t>млн</w:t>
            </w:r>
            <w:proofErr w:type="spellEnd"/>
            <w:r w:rsidRPr="000C07D3">
              <w:rPr>
                <w:rFonts w:ascii="Times New Roman" w:hAnsi="Times New Roman"/>
                <w:sz w:val="24"/>
                <w:szCs w:val="24"/>
              </w:rPr>
              <w:t xml:space="preserve"> дол. США та Фонду чистих технологій – 8,14 </w:t>
            </w:r>
            <w:proofErr w:type="spellStart"/>
            <w:r w:rsidRPr="000C07D3">
              <w:rPr>
                <w:rFonts w:ascii="Times New Roman" w:hAnsi="Times New Roman"/>
                <w:sz w:val="24"/>
                <w:szCs w:val="24"/>
              </w:rPr>
              <w:t>млн</w:t>
            </w:r>
            <w:proofErr w:type="spellEnd"/>
            <w:r w:rsidRPr="000C07D3">
              <w:rPr>
                <w:rFonts w:ascii="Times New Roman" w:hAnsi="Times New Roman"/>
                <w:sz w:val="24"/>
                <w:szCs w:val="24"/>
              </w:rPr>
              <w:t xml:space="preserve"> дол. США з терміном погашення 17 та 19 років відповідно.</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даний час Світовим банком профінансовано 7 893,19 тис. дол. США та Фондом чистих технологій – 2 628,342 тис. дол. США.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базі ДНТП «Промінь»  презентовано   теплові генератори-утилізатори, які служитимуть для підігріву великих приміщень, сушіння зерна тощо.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Їх робота полягає у збереженні екології. Презентований генератор-утилізатор є модернізований, модульного типу і складається з механізмів подачі палива, камери вихрового згорання, теплообмінника, вентиляторів, циклону очистки продуктів згорання та системи управління. Потужність від 25 до 2500 кВт. Вартість  теплової енергії у 5-7 разів дешевша за традиційні джерела (природній газ, дизпаливо, пічне паливо). Термін окупності 1 рік. Використовується </w:t>
            </w:r>
            <w:proofErr w:type="spellStart"/>
            <w:r w:rsidRPr="000C07D3">
              <w:rPr>
                <w:rFonts w:ascii="Times New Roman" w:hAnsi="Times New Roman"/>
                <w:sz w:val="24"/>
                <w:szCs w:val="24"/>
              </w:rPr>
              <w:t>несертифіковане</w:t>
            </w:r>
            <w:proofErr w:type="spellEnd"/>
            <w:r w:rsidRPr="000C07D3">
              <w:rPr>
                <w:rFonts w:ascii="Times New Roman" w:hAnsi="Times New Roman"/>
                <w:sz w:val="24"/>
                <w:szCs w:val="24"/>
              </w:rPr>
              <w:t xml:space="preserve"> паливо місцевого походження (відходи). Розрахунки показують, що у масштабах України при впровадженні розроблених систем можна отримати одночасно соціальний, економічний та екологічний ефект. Враховуючи той факт, що при виготовленні генераторів-утилізаторів використовується вітчизняний метал, електроприводи, вентилятори та інші комплектуючі, це дасть можливість розширити виробництво в суміжних промислових секторах економіки.</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економіки, промисловості та праці, виконавчі органи ради</w:t>
            </w:r>
          </w:p>
        </w:tc>
      </w:tr>
      <w:tr w:rsidR="00D25DF3" w:rsidRPr="000C07D3" w:rsidTr="00CC6239">
        <w:trPr>
          <w:trHeight w:val="738"/>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Налагодження ефективного функціонування індустріального парку «Тернопіль»</w:t>
            </w:r>
          </w:p>
        </w:tc>
        <w:tc>
          <w:tcPr>
            <w:tcW w:w="8644" w:type="dxa"/>
            <w:vAlign w:val="center"/>
          </w:tcPr>
          <w:p w:rsidR="00D25DF3" w:rsidRPr="000C07D3" w:rsidRDefault="00D25DF3" w:rsidP="00CC6239">
            <w:pPr>
              <w:rPr>
                <w:rFonts w:ascii="Times New Roman" w:hAnsi="Times New Roman"/>
                <w:sz w:val="24"/>
                <w:szCs w:val="24"/>
              </w:rPr>
            </w:pPr>
            <w:proofErr w:type="spellStart"/>
            <w:r w:rsidRPr="000C07D3">
              <w:rPr>
                <w:rFonts w:ascii="Times New Roman" w:hAnsi="Times New Roman"/>
                <w:sz w:val="24"/>
                <w:szCs w:val="24"/>
              </w:rPr>
              <w:t>Проєкт</w:t>
            </w:r>
            <w:proofErr w:type="spellEnd"/>
            <w:r w:rsidRPr="000C07D3">
              <w:rPr>
                <w:rFonts w:ascii="Times New Roman" w:hAnsi="Times New Roman"/>
                <w:sz w:val="24"/>
                <w:szCs w:val="24"/>
              </w:rPr>
              <w:t xml:space="preserve"> «Облаштування території індустріального парку за адресою вул. </w:t>
            </w:r>
            <w:proofErr w:type="spellStart"/>
            <w:r w:rsidRPr="000C07D3">
              <w:rPr>
                <w:rFonts w:ascii="Times New Roman" w:hAnsi="Times New Roman"/>
                <w:sz w:val="24"/>
                <w:szCs w:val="24"/>
              </w:rPr>
              <w:t>Микулинецька</w:t>
            </w:r>
            <w:proofErr w:type="spellEnd"/>
            <w:r w:rsidRPr="000C07D3">
              <w:rPr>
                <w:rFonts w:ascii="Times New Roman" w:hAnsi="Times New Roman"/>
                <w:sz w:val="24"/>
                <w:szCs w:val="24"/>
              </w:rPr>
              <w:t xml:space="preserve"> в м. Тернополі» підготовлено та  подано на участь в конкурсі для реалізації за рахунок коштів державного бюджету, отриманих від Європейського Союзу.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З метою популяризації земельної ділянки, призначеної для облаштування індустріального парку «Тернопіль», подано заявку на участь у конкурсі «Золота Ділянка 2020», ініційованого польською Агенція Інвестицій і Торгівлі у рамках проекту Польської Допомоги задля Розвитку «Підвищення конкурентоспроможності українських регіонів та розвиток польсько-українського економічного співробітництва». За результатами конкурсу подана заявка стала переможцем.</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38"/>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Участь у реконструкції та введенні в експлуатацію аеропорту «Тернопіль»</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Не відбувалося.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38"/>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Сприяння розвитку та реалізація спільних проектів з </w:t>
            </w:r>
            <w:proofErr w:type="spellStart"/>
            <w:r w:rsidRPr="000C07D3">
              <w:rPr>
                <w:rFonts w:ascii="Times New Roman" w:hAnsi="Times New Roman"/>
                <w:sz w:val="24"/>
                <w:szCs w:val="24"/>
              </w:rPr>
              <w:t>ІТ-компаніями</w:t>
            </w:r>
            <w:proofErr w:type="spellEnd"/>
            <w:r w:rsidRPr="000C07D3">
              <w:rPr>
                <w:rFonts w:ascii="Times New Roman" w:hAnsi="Times New Roman"/>
                <w:sz w:val="24"/>
                <w:szCs w:val="24"/>
              </w:rPr>
              <w:t xml:space="preserve">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Розвиток IT-сфери у місті, шляхи промоції Тернополя як комфортного міста для життя та роботи </w:t>
            </w:r>
            <w:proofErr w:type="spellStart"/>
            <w:r w:rsidRPr="000C07D3">
              <w:rPr>
                <w:rFonts w:ascii="Times New Roman" w:hAnsi="Times New Roman"/>
                <w:sz w:val="24"/>
                <w:szCs w:val="24"/>
              </w:rPr>
              <w:t>ІТ-спеціалістів</w:t>
            </w:r>
            <w:proofErr w:type="spellEnd"/>
            <w:r w:rsidRPr="000C07D3">
              <w:rPr>
                <w:rFonts w:ascii="Times New Roman" w:hAnsi="Times New Roman"/>
                <w:sz w:val="24"/>
                <w:szCs w:val="24"/>
              </w:rPr>
              <w:t xml:space="preserve">, а також впровадження інновацій в освітній сфері та підвищення кваліфікації працівників </w:t>
            </w:r>
            <w:proofErr w:type="spellStart"/>
            <w:r w:rsidRPr="000C07D3">
              <w:rPr>
                <w:rFonts w:ascii="Times New Roman" w:hAnsi="Times New Roman"/>
                <w:sz w:val="24"/>
                <w:szCs w:val="24"/>
              </w:rPr>
              <w:t>ВУЗів</w:t>
            </w:r>
            <w:proofErr w:type="spellEnd"/>
            <w:r w:rsidRPr="000C07D3">
              <w:rPr>
                <w:rFonts w:ascii="Times New Roman" w:hAnsi="Times New Roman"/>
                <w:sz w:val="24"/>
                <w:szCs w:val="24"/>
              </w:rPr>
              <w:t xml:space="preserve"> обговорювали на тристоронній зустрічі представники Асоціації «IT </w:t>
            </w:r>
            <w:proofErr w:type="spellStart"/>
            <w:r w:rsidRPr="000C07D3">
              <w:rPr>
                <w:rFonts w:ascii="Times New Roman" w:hAnsi="Times New Roman"/>
                <w:sz w:val="24"/>
                <w:szCs w:val="24"/>
              </w:rPr>
              <w:t>Ukraine</w:t>
            </w:r>
            <w:proofErr w:type="spellEnd"/>
            <w:r w:rsidRPr="000C07D3">
              <w:rPr>
                <w:rFonts w:ascii="Times New Roman" w:hAnsi="Times New Roman"/>
                <w:sz w:val="24"/>
                <w:szCs w:val="24"/>
              </w:rPr>
              <w:t xml:space="preserve">», Тернопільського  IT Кластеру та міської ради. 4 - 5 лютого у </w:t>
            </w:r>
            <w:proofErr w:type="spellStart"/>
            <w:r w:rsidRPr="000C07D3">
              <w:rPr>
                <w:rFonts w:ascii="Times New Roman" w:hAnsi="Times New Roman"/>
                <w:sz w:val="24"/>
                <w:szCs w:val="24"/>
              </w:rPr>
              <w:t>Жешуві</w:t>
            </w:r>
            <w:proofErr w:type="spellEnd"/>
            <w:r w:rsidRPr="000C07D3">
              <w:rPr>
                <w:rFonts w:ascii="Times New Roman" w:hAnsi="Times New Roman"/>
                <w:sz w:val="24"/>
                <w:szCs w:val="24"/>
              </w:rPr>
              <w:t xml:space="preserve"> (Польща) відбувся черговий XIII Форум «Європа-Україна 2020». </w:t>
            </w:r>
            <w:proofErr w:type="spellStart"/>
            <w:r w:rsidRPr="000C07D3">
              <w:rPr>
                <w:rFonts w:ascii="Times New Roman" w:hAnsi="Times New Roman"/>
                <w:sz w:val="24"/>
                <w:szCs w:val="24"/>
              </w:rPr>
              <w:t>Цьогоріч</w:t>
            </w:r>
            <w:proofErr w:type="spellEnd"/>
            <w:r w:rsidRPr="000C07D3">
              <w:rPr>
                <w:rFonts w:ascii="Times New Roman" w:hAnsi="Times New Roman"/>
                <w:sz w:val="24"/>
                <w:szCs w:val="24"/>
              </w:rPr>
              <w:t xml:space="preserve"> на заході виступили представники компанії «</w:t>
            </w:r>
            <w:proofErr w:type="spellStart"/>
            <w:r w:rsidRPr="000C07D3">
              <w:rPr>
                <w:rFonts w:ascii="Times New Roman" w:hAnsi="Times New Roman"/>
                <w:sz w:val="24"/>
                <w:szCs w:val="24"/>
              </w:rPr>
              <w:t>Future</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Processing</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Ukraine</w:t>
            </w:r>
            <w:proofErr w:type="spellEnd"/>
            <w:r w:rsidRPr="000C07D3">
              <w:rPr>
                <w:rFonts w:ascii="Times New Roman" w:hAnsi="Times New Roman"/>
                <w:sz w:val="24"/>
                <w:szCs w:val="24"/>
              </w:rPr>
              <w:t>», представництво якої розташоване у Тернополі.</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38"/>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Сприяння у визначенні можливостей започаткування несільськогосподарського бізнесу у населених пунктах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Знаходиться у стадії розробки.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351"/>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6</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Підтримка розвитку сільськогосподарської кооперації</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Знаходиться у стадії розробки.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highlight w:val="yellow"/>
              </w:rPr>
            </w:pPr>
            <w:r w:rsidRPr="000C07D3">
              <w:rPr>
                <w:rFonts w:ascii="Times New Roman" w:hAnsi="Times New Roman"/>
                <w:b/>
                <w:sz w:val="24"/>
                <w:szCs w:val="24"/>
              </w:rPr>
              <w:t>B.1.2. Розвиток сфери гостинності та туризму</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Формування іміджу Тернопільської громади, як регіону відкритого та привабливого для туристів</w:t>
            </w:r>
          </w:p>
        </w:tc>
        <w:tc>
          <w:tcPr>
            <w:tcW w:w="8644" w:type="dxa"/>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Розроблено 7 нових екскурсійних маршрутів по місту у вигляді екскурсій (5) та у форматі </w:t>
            </w:r>
            <w:proofErr w:type="spellStart"/>
            <w:r w:rsidRPr="000C07D3">
              <w:rPr>
                <w:rFonts w:ascii="Times New Roman" w:hAnsi="Times New Roman"/>
                <w:sz w:val="24"/>
                <w:szCs w:val="24"/>
              </w:rPr>
              <w:t>квесту</w:t>
            </w:r>
            <w:proofErr w:type="spellEnd"/>
            <w:r w:rsidRPr="000C07D3">
              <w:rPr>
                <w:rFonts w:ascii="Times New Roman" w:hAnsi="Times New Roman"/>
                <w:sz w:val="24"/>
                <w:szCs w:val="24"/>
              </w:rPr>
              <w:t xml:space="preserve"> (2).</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19.08 - проведено безкоштовну тематичну екскурсію «</w:t>
            </w:r>
            <w:proofErr w:type="spellStart"/>
            <w:r w:rsidRPr="000C07D3">
              <w:rPr>
                <w:rFonts w:ascii="Times New Roman" w:hAnsi="Times New Roman"/>
                <w:sz w:val="24"/>
                <w:szCs w:val="24"/>
              </w:rPr>
              <w:t>Тарнопіль</w:t>
            </w:r>
            <w:proofErr w:type="spellEnd"/>
            <w:r w:rsidRPr="000C07D3">
              <w:rPr>
                <w:rFonts w:ascii="Times New Roman" w:hAnsi="Times New Roman"/>
                <w:sz w:val="24"/>
                <w:szCs w:val="24"/>
              </w:rPr>
              <w:t xml:space="preserve"> та  його </w:t>
            </w:r>
            <w:proofErr w:type="spellStart"/>
            <w:r w:rsidRPr="000C07D3">
              <w:rPr>
                <w:rFonts w:ascii="Times New Roman" w:hAnsi="Times New Roman"/>
                <w:sz w:val="24"/>
                <w:szCs w:val="24"/>
              </w:rPr>
              <w:t>тарнопільці</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26.08 - відбулася презентація нових </w:t>
            </w:r>
            <w:proofErr w:type="spellStart"/>
            <w:r w:rsidRPr="000C07D3">
              <w:rPr>
                <w:rFonts w:ascii="Times New Roman" w:hAnsi="Times New Roman"/>
                <w:sz w:val="24"/>
                <w:szCs w:val="24"/>
              </w:rPr>
              <w:t>драйвових</w:t>
            </w:r>
            <w:proofErr w:type="spellEnd"/>
            <w:r w:rsidRPr="000C07D3">
              <w:rPr>
                <w:rFonts w:ascii="Times New Roman" w:hAnsi="Times New Roman"/>
                <w:sz w:val="24"/>
                <w:szCs w:val="24"/>
              </w:rPr>
              <w:t xml:space="preserve"> екскурсій на </w:t>
            </w:r>
            <w:proofErr w:type="spellStart"/>
            <w:r w:rsidRPr="000C07D3">
              <w:rPr>
                <w:rFonts w:ascii="Times New Roman" w:hAnsi="Times New Roman"/>
                <w:sz w:val="24"/>
                <w:szCs w:val="24"/>
              </w:rPr>
              <w:t>електросамокатах</w:t>
            </w:r>
            <w:proofErr w:type="spellEnd"/>
            <w:r w:rsidRPr="000C07D3">
              <w:rPr>
                <w:rFonts w:ascii="Times New Roman" w:hAnsi="Times New Roman"/>
                <w:sz w:val="24"/>
                <w:szCs w:val="24"/>
              </w:rPr>
              <w:t xml:space="preserve"> «Тернопіль та його вода» та «Таємниці старого міста».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28.08 - проведено тематичну вечірню екскурсію «Власники міста»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провели відкриття макету Тернопільської ратуші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31.08 - взято участь у </w:t>
            </w:r>
            <w:proofErr w:type="spellStart"/>
            <w:r w:rsidRPr="000C07D3">
              <w:rPr>
                <w:rFonts w:ascii="Times New Roman" w:hAnsi="Times New Roman"/>
                <w:sz w:val="24"/>
                <w:szCs w:val="24"/>
              </w:rPr>
              <w:t>відеоконкурсі</w:t>
            </w:r>
            <w:proofErr w:type="spellEnd"/>
            <w:r w:rsidRPr="000C07D3">
              <w:rPr>
                <w:rFonts w:ascii="Times New Roman" w:hAnsi="Times New Roman"/>
                <w:sz w:val="24"/>
                <w:szCs w:val="24"/>
              </w:rPr>
              <w:t xml:space="preserve"> «Улюблене місце мого міста» та посіли 3 місце</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26.09 - проведено </w:t>
            </w:r>
            <w:proofErr w:type="spellStart"/>
            <w:r w:rsidRPr="000C07D3">
              <w:rPr>
                <w:rFonts w:ascii="Times New Roman" w:hAnsi="Times New Roman"/>
                <w:sz w:val="24"/>
                <w:szCs w:val="24"/>
              </w:rPr>
              <w:t>giweaway</w:t>
            </w:r>
            <w:proofErr w:type="spellEnd"/>
            <w:r w:rsidRPr="000C07D3">
              <w:rPr>
                <w:rFonts w:ascii="Times New Roman" w:hAnsi="Times New Roman"/>
                <w:sz w:val="24"/>
                <w:szCs w:val="24"/>
              </w:rPr>
              <w:t xml:space="preserve"> на екскурсію </w:t>
            </w:r>
            <w:proofErr w:type="spellStart"/>
            <w:r w:rsidRPr="000C07D3">
              <w:rPr>
                <w:rFonts w:ascii="Times New Roman" w:hAnsi="Times New Roman"/>
                <w:sz w:val="24"/>
                <w:szCs w:val="24"/>
              </w:rPr>
              <w:t>електросамокатами</w:t>
            </w:r>
            <w:proofErr w:type="spellEnd"/>
            <w:r w:rsidRPr="000C07D3">
              <w:rPr>
                <w:rFonts w:ascii="Times New Roman" w:hAnsi="Times New Roman"/>
                <w:sz w:val="24"/>
                <w:szCs w:val="24"/>
              </w:rPr>
              <w:t xml:space="preserve"> «Тернопіль та його вода»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27.09 - проведено безкоштовний </w:t>
            </w:r>
            <w:proofErr w:type="spellStart"/>
            <w:r w:rsidRPr="000C07D3">
              <w:rPr>
                <w:rFonts w:ascii="Times New Roman" w:hAnsi="Times New Roman"/>
                <w:sz w:val="24"/>
                <w:szCs w:val="24"/>
              </w:rPr>
              <w:t>квест</w:t>
            </w:r>
            <w:proofErr w:type="spellEnd"/>
            <w:r w:rsidRPr="000C07D3">
              <w:rPr>
                <w:rFonts w:ascii="Times New Roman" w:hAnsi="Times New Roman"/>
                <w:sz w:val="24"/>
                <w:szCs w:val="24"/>
              </w:rPr>
              <w:t xml:space="preserve"> «Тернопіль у стилі </w:t>
            </w:r>
            <w:proofErr w:type="spellStart"/>
            <w:r w:rsidRPr="000C07D3">
              <w:rPr>
                <w:rFonts w:ascii="Times New Roman" w:hAnsi="Times New Roman"/>
                <w:sz w:val="24"/>
                <w:szCs w:val="24"/>
              </w:rPr>
              <w:t>ретро</w:t>
            </w:r>
            <w:proofErr w:type="spellEnd"/>
            <w:r w:rsidRPr="000C07D3">
              <w:rPr>
                <w:rFonts w:ascii="Times New Roman" w:hAnsi="Times New Roman"/>
                <w:sz w:val="24"/>
                <w:szCs w:val="24"/>
              </w:rPr>
              <w:t xml:space="preserve">» та екскурсію «Велич Тернопільської </w:t>
            </w:r>
            <w:proofErr w:type="spellStart"/>
            <w:r w:rsidRPr="000C07D3">
              <w:rPr>
                <w:rFonts w:ascii="Times New Roman" w:hAnsi="Times New Roman"/>
                <w:sz w:val="24"/>
                <w:szCs w:val="24"/>
              </w:rPr>
              <w:t>катедри</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29.09 - виступ спікерами на академії політичної альтернативи.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жовтні налагоджено співпрацю із Центром науки та підписано меморандум з </w:t>
            </w:r>
            <w:proofErr w:type="spellStart"/>
            <w:r w:rsidRPr="000C07D3">
              <w:rPr>
                <w:rFonts w:ascii="Times New Roman" w:hAnsi="Times New Roman"/>
                <w:sz w:val="24"/>
                <w:szCs w:val="24"/>
              </w:rPr>
              <w:t>Ukrainer</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11.10 - спонсорство масажного турніру «Кубок столиці» (надаємо сертифікати на екскурсії за призові місця).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19.11 - проведено оглядову екскурсію  містом для делегації із Луцька.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25.11 - проведено зустріч для ініціативної групи та Агенції розвитку туризму із Хмельницького та поділилися досвідом розвитку та промоції міста як туристичної складової Тернополя.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Відновлено екскурсії у музей-крипту </w:t>
            </w:r>
            <w:proofErr w:type="spellStart"/>
            <w:r w:rsidRPr="000C07D3">
              <w:rPr>
                <w:rFonts w:ascii="Times New Roman" w:hAnsi="Times New Roman"/>
                <w:sz w:val="24"/>
                <w:szCs w:val="24"/>
              </w:rPr>
              <w:t>Архикатедрального</w:t>
            </w:r>
            <w:proofErr w:type="spellEnd"/>
            <w:r w:rsidRPr="000C07D3">
              <w:rPr>
                <w:rFonts w:ascii="Times New Roman" w:hAnsi="Times New Roman"/>
                <w:sz w:val="24"/>
                <w:szCs w:val="24"/>
              </w:rPr>
              <w:t xml:space="preserve"> собору.</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стратегічного розвитку міста</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Забезпечення ефективної інформаційної підтримки туристичної галузі, у т.ч. широкої інформаційної присутності Тернополя у мережі Інтернет та покращення інформаційного обслуговування мешканців і гостей</w:t>
            </w:r>
          </w:p>
        </w:tc>
        <w:tc>
          <w:tcPr>
            <w:tcW w:w="8644" w:type="dxa"/>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19.08 - інтерв’ю </w:t>
            </w:r>
            <w:proofErr w:type="spellStart"/>
            <w:r w:rsidRPr="000C07D3">
              <w:rPr>
                <w:rFonts w:ascii="Times New Roman" w:hAnsi="Times New Roman"/>
                <w:sz w:val="24"/>
                <w:szCs w:val="24"/>
              </w:rPr>
              <w:t>ТМЦінфо</w:t>
            </w:r>
            <w:proofErr w:type="spellEnd"/>
            <w:r w:rsidRPr="000C07D3">
              <w:rPr>
                <w:rFonts w:ascii="Times New Roman" w:hAnsi="Times New Roman"/>
                <w:sz w:val="24"/>
                <w:szCs w:val="24"/>
              </w:rPr>
              <w:t xml:space="preserve"> та ІНТБ про відновлення екскурсій.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28.08 - прямий ефір телеканалу «1+1 сніданок» з привітанням до Дня міста.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2.09 - інтерв’ю ІНТБ  про додаток </w:t>
            </w:r>
            <w:proofErr w:type="spellStart"/>
            <w:r w:rsidRPr="000C07D3">
              <w:rPr>
                <w:rFonts w:ascii="Times New Roman" w:hAnsi="Times New Roman"/>
                <w:sz w:val="24"/>
                <w:szCs w:val="24"/>
              </w:rPr>
              <w:t>WakQlike</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3.09 - інтерв’ю ІНТБ про участь у конкурсі.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11.09 - інтерв’ю ІНТБ про нові екскурсії на </w:t>
            </w:r>
            <w:proofErr w:type="spellStart"/>
            <w:r w:rsidRPr="000C07D3">
              <w:rPr>
                <w:rFonts w:ascii="Times New Roman" w:hAnsi="Times New Roman"/>
                <w:sz w:val="24"/>
                <w:szCs w:val="24"/>
              </w:rPr>
              <w:t>електросамокатах</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22.09 - прямий ефір з ІНТБ у програмі «Про важливе».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23.09 - інтерв’ю ІНТБ про різновиди </w:t>
            </w:r>
            <w:proofErr w:type="spellStart"/>
            <w:r w:rsidRPr="000C07D3">
              <w:rPr>
                <w:rFonts w:ascii="Times New Roman" w:hAnsi="Times New Roman"/>
                <w:sz w:val="24"/>
                <w:szCs w:val="24"/>
              </w:rPr>
              <w:t>квестів</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25.09 - інтерв’ю телеканалу TV-4 про святкування Дня туризму та з ІНТБ про нагородження працівників у галузі туризму, долучилися до прямого ефіру на Суспільне: Тернопіль та розказали, які заходи відбуватимуться у День туризму.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5.10 - інтерв’ю телеканалу ICTV про екскурсії в </w:t>
            </w:r>
            <w:proofErr w:type="spellStart"/>
            <w:r w:rsidRPr="000C07D3">
              <w:rPr>
                <w:rFonts w:ascii="Times New Roman" w:hAnsi="Times New Roman"/>
                <w:sz w:val="24"/>
                <w:szCs w:val="24"/>
              </w:rPr>
              <w:t>Катедральний</w:t>
            </w:r>
            <w:proofErr w:type="spellEnd"/>
            <w:r w:rsidRPr="000C07D3">
              <w:rPr>
                <w:rFonts w:ascii="Times New Roman" w:hAnsi="Times New Roman"/>
                <w:sz w:val="24"/>
                <w:szCs w:val="24"/>
              </w:rPr>
              <w:t xml:space="preserve"> собор.</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листопаді взято участь у </w:t>
            </w:r>
            <w:proofErr w:type="spellStart"/>
            <w:r w:rsidRPr="000C07D3">
              <w:rPr>
                <w:rFonts w:ascii="Times New Roman" w:hAnsi="Times New Roman"/>
                <w:sz w:val="24"/>
                <w:szCs w:val="24"/>
              </w:rPr>
              <w:t>проєкті</w:t>
            </w:r>
            <w:proofErr w:type="spellEnd"/>
            <w:r w:rsidRPr="000C07D3">
              <w:rPr>
                <w:rFonts w:ascii="Times New Roman" w:hAnsi="Times New Roman"/>
                <w:sz w:val="24"/>
                <w:szCs w:val="24"/>
              </w:rPr>
              <w:t xml:space="preserve"> «Місто за </w:t>
            </w:r>
            <w:proofErr w:type="spellStart"/>
            <w:r w:rsidRPr="000C07D3">
              <w:rPr>
                <w:rFonts w:ascii="Times New Roman" w:hAnsi="Times New Roman"/>
                <w:sz w:val="24"/>
                <w:szCs w:val="24"/>
              </w:rPr>
              <w:t>вікенд</w:t>
            </w:r>
            <w:proofErr w:type="spellEnd"/>
            <w:r w:rsidRPr="000C07D3">
              <w:rPr>
                <w:rFonts w:ascii="Times New Roman" w:hAnsi="Times New Roman"/>
                <w:sz w:val="24"/>
                <w:szCs w:val="24"/>
              </w:rPr>
              <w:t xml:space="preserve">» від туристичного порталу </w:t>
            </w:r>
            <w:proofErr w:type="spellStart"/>
            <w:r w:rsidRPr="000C07D3">
              <w:rPr>
                <w:rFonts w:ascii="Times New Roman" w:hAnsi="Times New Roman"/>
                <w:sz w:val="24"/>
                <w:szCs w:val="24"/>
              </w:rPr>
              <w:t>iGotoWorld</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Також запущено </w:t>
            </w:r>
            <w:proofErr w:type="spellStart"/>
            <w:r w:rsidRPr="000C07D3">
              <w:rPr>
                <w:rFonts w:ascii="Times New Roman" w:hAnsi="Times New Roman"/>
                <w:sz w:val="24"/>
                <w:szCs w:val="24"/>
              </w:rPr>
              <w:t>ютуб-канал</w:t>
            </w:r>
            <w:proofErr w:type="spellEnd"/>
            <w:r w:rsidRPr="000C07D3">
              <w:rPr>
                <w:rFonts w:ascii="Times New Roman" w:hAnsi="Times New Roman"/>
                <w:sz w:val="24"/>
                <w:szCs w:val="24"/>
              </w:rPr>
              <w:t>, де висвітлюємо заходи та події Тернополя.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Розроблення та постійне оновлення туристичного сайту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Добавлено нові розділи на сайті та </w:t>
            </w:r>
            <w:proofErr w:type="spellStart"/>
            <w:r w:rsidRPr="000C07D3">
              <w:rPr>
                <w:rFonts w:ascii="Times New Roman" w:hAnsi="Times New Roman"/>
                <w:sz w:val="24"/>
                <w:szCs w:val="24"/>
              </w:rPr>
              <w:t>оновилено</w:t>
            </w:r>
            <w:proofErr w:type="spellEnd"/>
            <w:r w:rsidRPr="000C07D3">
              <w:rPr>
                <w:rFonts w:ascii="Times New Roman" w:hAnsi="Times New Roman"/>
                <w:sz w:val="24"/>
                <w:szCs w:val="24"/>
              </w:rPr>
              <w:t xml:space="preserve"> інформацію відповідно до подій та заходів у місті.</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Розширення співпраці з спеціалізованими навчальними закладами з метою підготовки висококваліфікованих фахівців у сфері туризму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21.07 - організовано навчально-практичний семінар «Замки Тернопільщини та нове у їх дослідженні» для екскурсоводів та менеджерів з туризму спільно з ТОДА.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18.11- домовленість про співпрацю із ЗУНУ спеціальностями «бізнес комунікації та переклад».</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музею міста Тернополя на базі Тернопільського замку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Знаходиться в стадії організації.</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6</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актуальної та масштабне поширення рекламної та сувенірної туристичної продукції</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серпні створено відеоролик «Улюблене місце мого міста» – пам’ятник «випадкова зустріч» та перекладено на англійську та польську мови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вересні </w:t>
            </w:r>
            <w:proofErr w:type="spellStart"/>
            <w:r w:rsidRPr="000C07D3">
              <w:rPr>
                <w:rFonts w:ascii="Times New Roman" w:hAnsi="Times New Roman"/>
                <w:sz w:val="24"/>
                <w:szCs w:val="24"/>
              </w:rPr>
              <w:t>відзнято</w:t>
            </w:r>
            <w:proofErr w:type="spellEnd"/>
            <w:r w:rsidRPr="000C07D3">
              <w:rPr>
                <w:rFonts w:ascii="Times New Roman" w:hAnsi="Times New Roman"/>
                <w:sz w:val="24"/>
                <w:szCs w:val="24"/>
              </w:rPr>
              <w:t xml:space="preserve"> 2 </w:t>
            </w:r>
            <w:proofErr w:type="spellStart"/>
            <w:r w:rsidRPr="000C07D3">
              <w:rPr>
                <w:rFonts w:ascii="Times New Roman" w:hAnsi="Times New Roman"/>
                <w:sz w:val="24"/>
                <w:szCs w:val="24"/>
              </w:rPr>
              <w:t>проморолики</w:t>
            </w:r>
            <w:proofErr w:type="spellEnd"/>
            <w:r w:rsidRPr="000C07D3">
              <w:rPr>
                <w:rFonts w:ascii="Times New Roman" w:hAnsi="Times New Roman"/>
                <w:sz w:val="24"/>
                <w:szCs w:val="24"/>
              </w:rPr>
              <w:t xml:space="preserve"> «Таємниці старого міста» та «Тернопіль та його вода» – екскурсії на </w:t>
            </w:r>
            <w:proofErr w:type="spellStart"/>
            <w:r w:rsidRPr="000C07D3">
              <w:rPr>
                <w:rFonts w:ascii="Times New Roman" w:hAnsi="Times New Roman"/>
                <w:sz w:val="24"/>
                <w:szCs w:val="24"/>
              </w:rPr>
              <w:t>електросамокатах</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Розроблено та презентовано на Львівському міжнародному форумі індустрії туризму та гостинності </w:t>
            </w:r>
            <w:proofErr w:type="spellStart"/>
            <w:r w:rsidRPr="000C07D3">
              <w:rPr>
                <w:rFonts w:ascii="Times New Roman" w:hAnsi="Times New Roman"/>
                <w:sz w:val="24"/>
                <w:szCs w:val="24"/>
              </w:rPr>
              <w:t>флаєри</w:t>
            </w:r>
            <w:proofErr w:type="spellEnd"/>
            <w:r w:rsidRPr="000C07D3">
              <w:rPr>
                <w:rFonts w:ascii="Times New Roman" w:hAnsi="Times New Roman"/>
                <w:sz w:val="24"/>
                <w:szCs w:val="24"/>
              </w:rPr>
              <w:t xml:space="preserve"> «Тернопіль – новий формат», в яких описано нові екскурсійні маршрути на </w:t>
            </w:r>
            <w:proofErr w:type="spellStart"/>
            <w:r w:rsidRPr="000C07D3">
              <w:rPr>
                <w:rFonts w:ascii="Times New Roman" w:hAnsi="Times New Roman"/>
                <w:sz w:val="24"/>
                <w:szCs w:val="24"/>
              </w:rPr>
              <w:t>електросамокатах</w:t>
            </w:r>
            <w:proofErr w:type="spellEnd"/>
            <w:r w:rsidRPr="000C07D3">
              <w:rPr>
                <w:rFonts w:ascii="Times New Roman" w:hAnsi="Times New Roman"/>
                <w:sz w:val="24"/>
                <w:szCs w:val="24"/>
              </w:rPr>
              <w:t xml:space="preserve">.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жовтні створено </w:t>
            </w:r>
            <w:proofErr w:type="spellStart"/>
            <w:r w:rsidRPr="000C07D3">
              <w:rPr>
                <w:rFonts w:ascii="Times New Roman" w:hAnsi="Times New Roman"/>
                <w:sz w:val="24"/>
                <w:szCs w:val="24"/>
              </w:rPr>
              <w:t>проморолик</w:t>
            </w:r>
            <w:proofErr w:type="spellEnd"/>
            <w:r w:rsidRPr="000C07D3">
              <w:rPr>
                <w:rFonts w:ascii="Times New Roman" w:hAnsi="Times New Roman"/>
                <w:sz w:val="24"/>
                <w:szCs w:val="24"/>
              </w:rPr>
              <w:t xml:space="preserve"> «Завітай у Тернопіль», який перекладений на англійську та польську мови.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7</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Розширення мережі та елементів туристичної інфраструктури громади та відповідного </w:t>
            </w:r>
            <w:proofErr w:type="spellStart"/>
            <w:r w:rsidRPr="000C07D3">
              <w:rPr>
                <w:rFonts w:ascii="Times New Roman" w:hAnsi="Times New Roman"/>
                <w:sz w:val="24"/>
                <w:szCs w:val="24"/>
              </w:rPr>
              <w:t>ознакування</w:t>
            </w:r>
            <w:proofErr w:type="spellEnd"/>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Розроблено нові туристичні маршрути та екскурсії</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8</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та ефективне функціонування туристичного кластеру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Знаходиться в стадії організації.</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9</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Розвиток «зеленого туризму» з використанням потенціалу сільських місцевостей</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Розробляються генеральні плани сіл ТМТГ, після чого будуть визначені точки дислокації організації зеленого туризму.</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10</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Участь та організація національних і міжнародних туристичних форумів, виставок, ярмарок, конференцій, фестивалів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11.07 - представники </w:t>
            </w:r>
            <w:proofErr w:type="spellStart"/>
            <w:r w:rsidRPr="000C07D3">
              <w:rPr>
                <w:rFonts w:ascii="Times New Roman" w:hAnsi="Times New Roman"/>
                <w:sz w:val="24"/>
                <w:szCs w:val="24"/>
              </w:rPr>
              <w:t>ТІЦа</w:t>
            </w:r>
            <w:proofErr w:type="spellEnd"/>
            <w:r w:rsidRPr="000C07D3">
              <w:rPr>
                <w:rFonts w:ascii="Times New Roman" w:hAnsi="Times New Roman"/>
                <w:sz w:val="24"/>
                <w:szCs w:val="24"/>
              </w:rPr>
              <w:t xml:space="preserve"> відвідали презентацію туристичного кластеру </w:t>
            </w:r>
            <w:proofErr w:type="spellStart"/>
            <w:r w:rsidRPr="000C07D3">
              <w:rPr>
                <w:rFonts w:ascii="Times New Roman" w:hAnsi="Times New Roman"/>
                <w:sz w:val="24"/>
                <w:szCs w:val="24"/>
              </w:rPr>
              <w:t>Бучаччини</w:t>
            </w:r>
            <w:proofErr w:type="spellEnd"/>
            <w:r w:rsidRPr="000C07D3">
              <w:rPr>
                <w:rFonts w:ascii="Times New Roman" w:hAnsi="Times New Roman"/>
                <w:sz w:val="24"/>
                <w:szCs w:val="24"/>
              </w:rPr>
              <w:t xml:space="preserve"> у місті </w:t>
            </w:r>
            <w:proofErr w:type="spellStart"/>
            <w:r w:rsidRPr="000C07D3">
              <w:rPr>
                <w:rFonts w:ascii="Times New Roman" w:hAnsi="Times New Roman"/>
                <w:sz w:val="24"/>
                <w:szCs w:val="24"/>
              </w:rPr>
              <w:t>Бучач</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6.08 - менеджер з адміністративної роботи </w:t>
            </w:r>
            <w:proofErr w:type="spellStart"/>
            <w:r w:rsidRPr="000C07D3">
              <w:rPr>
                <w:rFonts w:ascii="Times New Roman" w:hAnsi="Times New Roman"/>
                <w:sz w:val="24"/>
                <w:szCs w:val="24"/>
              </w:rPr>
              <w:t>ТІЦа</w:t>
            </w:r>
            <w:proofErr w:type="spellEnd"/>
            <w:r w:rsidRPr="000C07D3">
              <w:rPr>
                <w:rFonts w:ascii="Times New Roman" w:hAnsi="Times New Roman"/>
                <w:sz w:val="24"/>
                <w:szCs w:val="24"/>
              </w:rPr>
              <w:t xml:space="preserve"> взяв участь в </w:t>
            </w:r>
            <w:proofErr w:type="spellStart"/>
            <w:r w:rsidRPr="000C07D3">
              <w:rPr>
                <w:rFonts w:ascii="Times New Roman" w:hAnsi="Times New Roman"/>
                <w:sz w:val="24"/>
                <w:szCs w:val="24"/>
              </w:rPr>
              <w:t>інфотурі</w:t>
            </w:r>
            <w:proofErr w:type="spellEnd"/>
            <w:r w:rsidRPr="000C07D3">
              <w:rPr>
                <w:rFonts w:ascii="Times New Roman" w:hAnsi="Times New Roman"/>
                <w:sz w:val="24"/>
                <w:szCs w:val="24"/>
              </w:rPr>
              <w:t xml:space="preserve"> для представників туристичної галузі та місцевих ЗМІ, організованому управлінням туризму ТОДА.</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27-30.08 - </w:t>
            </w:r>
            <w:proofErr w:type="spellStart"/>
            <w:r w:rsidRPr="000C07D3">
              <w:rPr>
                <w:rFonts w:ascii="Times New Roman" w:hAnsi="Times New Roman"/>
                <w:sz w:val="24"/>
                <w:szCs w:val="24"/>
              </w:rPr>
              <w:t>ТІЦ</w:t>
            </w:r>
            <w:proofErr w:type="spellEnd"/>
            <w:r w:rsidRPr="000C07D3">
              <w:rPr>
                <w:rFonts w:ascii="Times New Roman" w:hAnsi="Times New Roman"/>
                <w:sz w:val="24"/>
                <w:szCs w:val="24"/>
              </w:rPr>
              <w:t xml:space="preserve"> був співорганізатором фестивалю повітряних куль «Файне небо».</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Також </w:t>
            </w:r>
            <w:proofErr w:type="spellStart"/>
            <w:r w:rsidRPr="000C07D3">
              <w:rPr>
                <w:rFonts w:ascii="Times New Roman" w:hAnsi="Times New Roman"/>
                <w:sz w:val="24"/>
                <w:szCs w:val="24"/>
              </w:rPr>
              <w:t>ТІЦ</w:t>
            </w:r>
            <w:proofErr w:type="spellEnd"/>
            <w:r w:rsidRPr="000C07D3">
              <w:rPr>
                <w:rFonts w:ascii="Times New Roman" w:hAnsi="Times New Roman"/>
                <w:sz w:val="24"/>
                <w:szCs w:val="24"/>
              </w:rPr>
              <w:t xml:space="preserve"> взяв участь у Міжнародній виставці «</w:t>
            </w:r>
            <w:proofErr w:type="spellStart"/>
            <w:r w:rsidRPr="000C07D3">
              <w:rPr>
                <w:rFonts w:ascii="Times New Roman" w:hAnsi="Times New Roman"/>
                <w:sz w:val="24"/>
                <w:szCs w:val="24"/>
              </w:rPr>
              <w:t>ТурЕКСПО</w:t>
            </w:r>
            <w:proofErr w:type="spellEnd"/>
            <w:r w:rsidRPr="000C07D3">
              <w:rPr>
                <w:rFonts w:ascii="Times New Roman" w:hAnsi="Times New Roman"/>
                <w:sz w:val="24"/>
                <w:szCs w:val="24"/>
              </w:rPr>
              <w:t xml:space="preserve">» у м. Львів, яка проходила з 20 по 22 жовтня 2020 року, у Форумі центрів туристичної індустрії у </w:t>
            </w:r>
            <w:r w:rsidRPr="000C07D3">
              <w:rPr>
                <w:rFonts w:ascii="Times New Roman" w:hAnsi="Times New Roman"/>
                <w:sz w:val="24"/>
                <w:szCs w:val="24"/>
              </w:rPr>
              <w:lastRenderedPageBreak/>
              <w:t xml:space="preserve">м. Львові 21 жовтня 2020 року, в онлайн конференціях «Розробка туристичних продуктів </w:t>
            </w:r>
            <w:proofErr w:type="spellStart"/>
            <w:r w:rsidRPr="000C07D3">
              <w:rPr>
                <w:rFonts w:ascii="Times New Roman" w:hAnsi="Times New Roman"/>
                <w:sz w:val="24"/>
                <w:szCs w:val="24"/>
              </w:rPr>
              <w:t>дестинацій</w:t>
            </w:r>
            <w:proofErr w:type="spellEnd"/>
            <w:r w:rsidRPr="000C07D3">
              <w:rPr>
                <w:rFonts w:ascii="Times New Roman" w:hAnsi="Times New Roman"/>
                <w:sz w:val="24"/>
                <w:szCs w:val="24"/>
              </w:rPr>
              <w:t>» 2 та 9 листопада, «Розвиток туризму при міських радах» 12 листопада та «Комерційна діяльність в Центрі Туристичної Інформації» 18 листопада.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11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мобільного туристичного додатку, його регулярне наповнення та розширення функціональності</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22.08 - офіційно запрацював безкоштовний додаток на телефон з </w:t>
            </w:r>
            <w:proofErr w:type="spellStart"/>
            <w:r w:rsidRPr="000C07D3">
              <w:rPr>
                <w:rFonts w:ascii="Times New Roman" w:hAnsi="Times New Roman"/>
                <w:sz w:val="24"/>
                <w:szCs w:val="24"/>
              </w:rPr>
              <w:t>квестами</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WakQlike</w:t>
            </w:r>
            <w:proofErr w:type="spellEnd"/>
            <w:r w:rsidRPr="000C07D3">
              <w:rPr>
                <w:rFonts w:ascii="Times New Roman" w:hAnsi="Times New Roman"/>
                <w:sz w:val="24"/>
                <w:szCs w:val="24"/>
              </w:rPr>
              <w:t xml:space="preserve">.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жовтні подано інформацію про туристичні атракції міста у додаток Local4u.</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листопаді запущено туристичний сайт міста, який має функціонал підтримки на мобільних телефонах.</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t>B.1.3. Розвиток малого та середнього підприємництва</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Залучення суб’єктів підприємницької діяльності до участі в національних та міжнародних ділових зустрічах, переговорах, конференціях, семінарах, форумах ділового партнерства тощо</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Залучено до участі у 22 заходах.</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економіки, промисловості та праці</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 xml:space="preserve">Створення </w:t>
            </w:r>
            <w:proofErr w:type="spellStart"/>
            <w:r w:rsidRPr="000C07D3">
              <w:rPr>
                <w:rFonts w:ascii="Times New Roman" w:hAnsi="Times New Roman"/>
                <w:sz w:val="24"/>
                <w:szCs w:val="24"/>
              </w:rPr>
              <w:t>онлайн-сервісів</w:t>
            </w:r>
            <w:proofErr w:type="spellEnd"/>
            <w:r w:rsidRPr="000C07D3">
              <w:rPr>
                <w:rFonts w:ascii="Times New Roman" w:hAnsi="Times New Roman"/>
                <w:sz w:val="24"/>
                <w:szCs w:val="24"/>
              </w:rPr>
              <w:t xml:space="preserve"> з метою оперативного надання інформаційної, консультаційної та іншої підтримки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Тернопільська міська територіальна громада підключена до Платформи ефективного регулювання (</w:t>
            </w:r>
            <w:proofErr w:type="spellStart"/>
            <w:r w:rsidRPr="000C07D3">
              <w:rPr>
                <w:rFonts w:ascii="Times New Roman" w:hAnsi="Times New Roman"/>
                <w:sz w:val="24"/>
                <w:szCs w:val="24"/>
              </w:rPr>
              <w:t>regulation.gov.ua</w:t>
            </w:r>
            <w:proofErr w:type="spellEnd"/>
            <w:r w:rsidRPr="000C07D3">
              <w:rPr>
                <w:rFonts w:ascii="Times New Roman" w:hAnsi="Times New Roman"/>
                <w:sz w:val="24"/>
                <w:szCs w:val="24"/>
              </w:rPr>
              <w:t xml:space="preserve"> ) і є серед лідерів міст по локалізації бізнес-кейсів (111).</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Диверсифікація дрібнотоварного сільськогосподарського виробництва, зокрема в домогосподарствах сіл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Знаходиться у стадії розробки.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Забезпечення фінансово-кредитної підтримки суб’єктів МСП</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Через відсутність заяв від суб’єктів малого бізнесу відшкодування відсотків за кредитами не проводилось.</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lastRenderedPageBreak/>
              <w:t>Стратегічна ціль B.2. Розвиток інвестиційної та міжнародної діяльності громади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B.2.1. Підвищення інвестиційної привабливості громади</w:t>
            </w:r>
          </w:p>
        </w:tc>
      </w:tr>
      <w:tr w:rsidR="00D25DF3" w:rsidRPr="000C07D3" w:rsidTr="00CC6239">
        <w:trPr>
          <w:trHeight w:val="563"/>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Щорічне оновлення інвестиційного паспорту та рейтингів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Розроблено інвестиційний паспорт Тернопільської міської територіальної громади на 2020 рік.</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Рейтинг інвестиційної привабливості збережено на рівні </w:t>
            </w:r>
            <w:proofErr w:type="spellStart"/>
            <w:r w:rsidRPr="000C07D3">
              <w:rPr>
                <w:rFonts w:ascii="Times New Roman" w:hAnsi="Times New Roman"/>
                <w:sz w:val="24"/>
                <w:szCs w:val="24"/>
              </w:rPr>
              <w:t>invА</w:t>
            </w:r>
            <w:proofErr w:type="spellEnd"/>
            <w:r w:rsidRPr="000C07D3">
              <w:rPr>
                <w:rFonts w:ascii="Times New Roman" w:hAnsi="Times New Roman"/>
                <w:sz w:val="24"/>
                <w:szCs w:val="24"/>
              </w:rPr>
              <w:t xml:space="preserve"> (високий).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Кредитний рейтинг збережено на рівні </w:t>
            </w:r>
            <w:proofErr w:type="spellStart"/>
            <w:r w:rsidRPr="000C07D3">
              <w:rPr>
                <w:rFonts w:ascii="Times New Roman" w:eastAsia="Arial Unicode MS" w:hAnsi="Times New Roman"/>
                <w:kern w:val="1"/>
                <w:sz w:val="24"/>
                <w:szCs w:val="24"/>
                <w:lang w:eastAsia="ar-SA"/>
              </w:rPr>
              <w:t>uaBBB+</w:t>
            </w:r>
            <w:proofErr w:type="spellEnd"/>
            <w:r w:rsidRPr="000C07D3">
              <w:rPr>
                <w:rFonts w:ascii="Times New Roman" w:eastAsia="Arial Unicode MS" w:hAnsi="Times New Roman"/>
                <w:kern w:val="1"/>
                <w:sz w:val="24"/>
                <w:szCs w:val="24"/>
                <w:lang w:eastAsia="ar-SA"/>
              </w:rPr>
              <w:t xml:space="preserve"> (у розвитку).</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економіки, промисловості та праці, управління стратегічного розвитку міста</w:t>
            </w:r>
          </w:p>
        </w:tc>
      </w:tr>
      <w:tr w:rsidR="00D25DF3" w:rsidRPr="000C07D3" w:rsidTr="00CC6239">
        <w:trPr>
          <w:trHeight w:val="241"/>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Пошук та проведення конкурсів з вибору інвестора для реалізації відповідних інвестиційних проектів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Укладено 2 інвестиційні договори: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від 31.01.2020 року №48 щодо модернізації частини центрального стадіону м. Тернополя з облаштуванням приміщень громадського призначення, просп. С. Бандери, 15;</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від 05.10.2020 року №49 щодо облаштування зони рекреаційно-відпочинкового комплексу на набережній Тернопільського ставу після ФСТ «Динамо» в сторону заводу «Опілля» в парку ім. Т. Г. Шевченка.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241"/>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Реалізація спільних проектів та заходів з «Агенцією регіонального розвитку в Тернопільській області» та іншими спеціалізованими профільними установами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За рахунок коштів ДФРР реалізовується 3 </w:t>
            </w:r>
            <w:proofErr w:type="spellStart"/>
            <w:r w:rsidRPr="000C07D3">
              <w:rPr>
                <w:rFonts w:ascii="Times New Roman" w:hAnsi="Times New Roman"/>
                <w:sz w:val="24"/>
                <w:szCs w:val="24"/>
              </w:rPr>
              <w:t>проєкти</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«Реконструкція спортивних майданчиків Тернопільської спеціалізованої школи І-ІІІ ступенів № 7 з поглибленим вивченням іноземних мов ТМР по вул. Юності, 11 в м. Тернополі».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«Реконструкція корпусу майстерні з надбудовою Тернопільського ліцею №21 – спеціалізована мистецька школа імені Ігоря </w:t>
            </w:r>
            <w:proofErr w:type="spellStart"/>
            <w:r w:rsidRPr="000C07D3">
              <w:rPr>
                <w:rFonts w:ascii="Times New Roman" w:hAnsi="Times New Roman"/>
                <w:sz w:val="24"/>
                <w:szCs w:val="24"/>
              </w:rPr>
              <w:t>Герети</w:t>
            </w:r>
            <w:proofErr w:type="spellEnd"/>
            <w:r w:rsidRPr="000C07D3">
              <w:rPr>
                <w:rFonts w:ascii="Times New Roman" w:hAnsi="Times New Roman"/>
                <w:sz w:val="24"/>
                <w:szCs w:val="24"/>
              </w:rPr>
              <w:t xml:space="preserve"> за адресою місто Тернопіль, проспект Злуки, 51».</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241"/>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Презентація потенціалу та можливостей інвестиційного сектору громади на відповідних </w:t>
            </w:r>
            <w:r w:rsidRPr="000C07D3">
              <w:rPr>
                <w:rFonts w:ascii="Times New Roman" w:hAnsi="Times New Roman"/>
                <w:sz w:val="24"/>
                <w:szCs w:val="24"/>
              </w:rPr>
              <w:lastRenderedPageBreak/>
              <w:t>заходах</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 xml:space="preserve">Відбувалося в рамках </w:t>
            </w:r>
            <w:proofErr w:type="spellStart"/>
            <w:r w:rsidRPr="000C07D3">
              <w:rPr>
                <w:rFonts w:ascii="Times New Roman" w:hAnsi="Times New Roman"/>
                <w:sz w:val="24"/>
                <w:szCs w:val="24"/>
              </w:rPr>
              <w:t>онлайн-конференцій</w:t>
            </w:r>
            <w:proofErr w:type="spellEnd"/>
            <w:r w:rsidRPr="000C07D3">
              <w:rPr>
                <w:rFonts w:ascii="Times New Roman" w:hAnsi="Times New Roman"/>
                <w:sz w:val="24"/>
                <w:szCs w:val="24"/>
              </w:rPr>
              <w:t xml:space="preserve"> та </w:t>
            </w:r>
            <w:proofErr w:type="spellStart"/>
            <w:r w:rsidRPr="000C07D3">
              <w:rPr>
                <w:rFonts w:ascii="Times New Roman" w:hAnsi="Times New Roman"/>
                <w:sz w:val="24"/>
                <w:szCs w:val="24"/>
              </w:rPr>
              <w:t>онлайн-зустрічей</w:t>
            </w:r>
            <w:proofErr w:type="spellEnd"/>
            <w:r w:rsidRPr="000C07D3">
              <w:rPr>
                <w:rFonts w:ascii="Times New Roman" w:hAnsi="Times New Roman"/>
                <w:sz w:val="24"/>
                <w:szCs w:val="24"/>
              </w:rPr>
              <w:t>, під час візитів делегацій.</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lastRenderedPageBreak/>
              <w:t>B.2.2. Розвиток міжнародного співробітництва</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Розширення контактів та здійснення співпраці у різних сферах життєдіяльності громади з органами місцевого самоврядування партнерських міст, дипломатичними та консульськими установами іноземних держав в Україні та України в іноземних державах, національними та іноземними установами й організаціями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1. Забезпечено перебування представників міст-побратимів та партнерських міст та іноземних делегацій в міжнародних заходах у Тернопільській МТГ, візити представників міжнародних організацій та ділових кіл, міжнародні зустрічі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13 січня – візит делегації міста </w:t>
            </w:r>
            <w:proofErr w:type="spellStart"/>
            <w:r w:rsidRPr="000C07D3">
              <w:rPr>
                <w:rFonts w:ascii="Times New Roman" w:hAnsi="Times New Roman"/>
                <w:sz w:val="24"/>
                <w:szCs w:val="24"/>
              </w:rPr>
              <w:t>Замосць</w:t>
            </w:r>
            <w:proofErr w:type="spellEnd"/>
            <w:r w:rsidRPr="000C07D3">
              <w:rPr>
                <w:rFonts w:ascii="Times New Roman" w:hAnsi="Times New Roman"/>
                <w:sz w:val="24"/>
                <w:szCs w:val="24"/>
              </w:rPr>
              <w:t xml:space="preserve"> з метою підписання документів заявки на проект в рамках Програми транскордонної співпраці.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 28 січня – візит консультанта Європейського інвестиційного банку в рамках підготовки та реалізації проекту «Глибока </w:t>
            </w:r>
            <w:proofErr w:type="spellStart"/>
            <w:r w:rsidRPr="000C07D3">
              <w:rPr>
                <w:rFonts w:ascii="Times New Roman" w:hAnsi="Times New Roman"/>
                <w:sz w:val="24"/>
                <w:szCs w:val="24"/>
              </w:rPr>
              <w:t>термомодернізація</w:t>
            </w:r>
            <w:proofErr w:type="spellEnd"/>
            <w:r w:rsidRPr="000C07D3">
              <w:rPr>
                <w:rFonts w:ascii="Times New Roman" w:hAnsi="Times New Roman"/>
                <w:sz w:val="24"/>
                <w:szCs w:val="24"/>
              </w:rPr>
              <w:t xml:space="preserve"> будівель закладів освіти міста Тернополя».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 4 лютого – візит представників компанії </w:t>
            </w:r>
            <w:proofErr w:type="spellStart"/>
            <w:r w:rsidRPr="000C07D3">
              <w:rPr>
                <w:rFonts w:ascii="Times New Roman" w:hAnsi="Times New Roman"/>
                <w:sz w:val="24"/>
                <w:szCs w:val="24"/>
              </w:rPr>
              <w:t>Kiekert</w:t>
            </w:r>
            <w:proofErr w:type="spellEnd"/>
            <w:r w:rsidRPr="000C07D3">
              <w:rPr>
                <w:rFonts w:ascii="Times New Roman" w:hAnsi="Times New Roman"/>
                <w:sz w:val="24"/>
                <w:szCs w:val="24"/>
              </w:rPr>
              <w:t xml:space="preserve"> AG, Німеччина з метою вивчення бізнес середовища для проведення інвестування.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4) 6 лютого – делегація представників Асоціації «</w:t>
            </w:r>
            <w:proofErr w:type="spellStart"/>
            <w:r w:rsidRPr="000C07D3">
              <w:rPr>
                <w:rFonts w:ascii="Times New Roman" w:hAnsi="Times New Roman"/>
                <w:sz w:val="24"/>
                <w:szCs w:val="24"/>
              </w:rPr>
              <w:t>Венде</w:t>
            </w:r>
            <w:proofErr w:type="spellEnd"/>
            <w:r w:rsidRPr="000C07D3">
              <w:rPr>
                <w:rFonts w:ascii="Times New Roman" w:hAnsi="Times New Roman"/>
                <w:sz w:val="24"/>
                <w:szCs w:val="24"/>
              </w:rPr>
              <w:t xml:space="preserve"> Україна», яка регулярно надає гуманітарну допомогу закладам міста Тернополя.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5) 21 лютого в Тернопільській міській раді перебувала делегація GRAER UA LLC, Німеччина. Під час зустрічі відбулося обговорення питань залучення іноземних інвестицій в економіку міста. Досягнуто домовленостей про продовження співпраці з метою впровадження передових досягнень програмного забезпечення компанії в Тернополі.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6) 4 серпня – зустріч в міській раді з польською делегацією по проєкту Пілотний конкурс «Золота ділянка 2020» .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7)  29 серпня рамках святкування Дня міста відбулася зустріч в міській раді з делегацією польського міста </w:t>
            </w:r>
            <w:proofErr w:type="spellStart"/>
            <w:r w:rsidRPr="000C07D3">
              <w:rPr>
                <w:rFonts w:ascii="Times New Roman" w:hAnsi="Times New Roman"/>
                <w:sz w:val="24"/>
                <w:szCs w:val="24"/>
              </w:rPr>
              <w:t>Замосць</w:t>
            </w:r>
            <w:proofErr w:type="spellEnd"/>
            <w:r w:rsidRPr="000C07D3">
              <w:rPr>
                <w:rFonts w:ascii="Times New Roman" w:hAnsi="Times New Roman"/>
                <w:sz w:val="24"/>
                <w:szCs w:val="24"/>
              </w:rPr>
              <w:t xml:space="preserve"> та підписано Угоду про співпрацю.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2. Забезпечення участі культурних, спортивних та освітніх колективів, офіційних делегацій міста Тернополя у міжнародних заходах та зустрічах за кордоном:</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20-22 січня – організовано візит міського голови в місто Брюссель (Бельгія), </w:t>
            </w:r>
            <w:r w:rsidRPr="000C07D3">
              <w:rPr>
                <w:rFonts w:ascii="Times New Roman" w:hAnsi="Times New Roman"/>
                <w:sz w:val="24"/>
                <w:szCs w:val="24"/>
              </w:rPr>
              <w:lastRenderedPageBreak/>
              <w:t xml:space="preserve">під час якого відбулася зустріч з депутатами Європарламенту п. Кшиштофом Гетьманом та п. Яном </w:t>
            </w:r>
            <w:proofErr w:type="spellStart"/>
            <w:r w:rsidRPr="000C07D3">
              <w:rPr>
                <w:rFonts w:ascii="Times New Roman" w:hAnsi="Times New Roman"/>
                <w:sz w:val="24"/>
                <w:szCs w:val="24"/>
              </w:rPr>
              <w:t>Олбрихтом</w:t>
            </w:r>
            <w:proofErr w:type="spellEnd"/>
            <w:r w:rsidRPr="000C07D3">
              <w:rPr>
                <w:rFonts w:ascii="Times New Roman" w:hAnsi="Times New Roman"/>
                <w:sz w:val="24"/>
                <w:szCs w:val="24"/>
              </w:rPr>
              <w:t>, де обговорено питання участі міста Тернополя в проектах ЄС.</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 26-31 січня – візит делегації Тернопільської міської ради в місто </w:t>
            </w:r>
            <w:proofErr w:type="spellStart"/>
            <w:r w:rsidRPr="000C07D3">
              <w:rPr>
                <w:rFonts w:ascii="Times New Roman" w:hAnsi="Times New Roman"/>
                <w:sz w:val="24"/>
                <w:szCs w:val="24"/>
              </w:rPr>
              <w:t>Баутцен</w:t>
            </w:r>
            <w:proofErr w:type="spellEnd"/>
            <w:r w:rsidRPr="000C07D3">
              <w:rPr>
                <w:rFonts w:ascii="Times New Roman" w:hAnsi="Times New Roman"/>
                <w:sz w:val="24"/>
                <w:szCs w:val="24"/>
              </w:rPr>
              <w:t xml:space="preserve"> (Саксонія, Німеччина). Взято участь у зустрічах з представниками адміністрації району, закладах освіти, бізнесу, тощо.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 17-20 лютого – навчальний візит делегації Тернопільської міської ради до </w:t>
            </w:r>
            <w:proofErr w:type="spellStart"/>
            <w:r w:rsidRPr="000C07D3">
              <w:rPr>
                <w:rFonts w:ascii="Times New Roman" w:hAnsi="Times New Roman"/>
                <w:sz w:val="24"/>
                <w:szCs w:val="24"/>
              </w:rPr>
              <w:t>Хожува</w:t>
            </w:r>
            <w:proofErr w:type="spellEnd"/>
            <w:r w:rsidRPr="000C07D3">
              <w:rPr>
                <w:rFonts w:ascii="Times New Roman" w:hAnsi="Times New Roman"/>
                <w:sz w:val="24"/>
                <w:szCs w:val="24"/>
              </w:rPr>
              <w:t xml:space="preserve"> представників управління надзвичайних ситуацій.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період пандемії міжнародні контакти підтримувались шляхом проведення заходів  в онлайн режимі: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19 травня проведено </w:t>
            </w:r>
            <w:proofErr w:type="spellStart"/>
            <w:r w:rsidRPr="000C07D3">
              <w:rPr>
                <w:rFonts w:ascii="Times New Roman" w:hAnsi="Times New Roman"/>
                <w:sz w:val="24"/>
                <w:szCs w:val="24"/>
              </w:rPr>
              <w:t>скайп-конференцію</w:t>
            </w:r>
            <w:proofErr w:type="spellEnd"/>
            <w:r w:rsidRPr="000C07D3">
              <w:rPr>
                <w:rFonts w:ascii="Times New Roman" w:hAnsi="Times New Roman"/>
                <w:sz w:val="24"/>
                <w:szCs w:val="24"/>
              </w:rPr>
              <w:t xml:space="preserve"> між містами Тернопіль, </w:t>
            </w:r>
            <w:proofErr w:type="spellStart"/>
            <w:r w:rsidRPr="000C07D3">
              <w:rPr>
                <w:rFonts w:ascii="Times New Roman" w:hAnsi="Times New Roman"/>
                <w:sz w:val="24"/>
                <w:szCs w:val="24"/>
              </w:rPr>
              <w:t>Вільянді</w:t>
            </w:r>
            <w:proofErr w:type="spellEnd"/>
            <w:r w:rsidRPr="000C07D3">
              <w:rPr>
                <w:rFonts w:ascii="Times New Roman" w:hAnsi="Times New Roman"/>
                <w:sz w:val="24"/>
                <w:szCs w:val="24"/>
              </w:rPr>
              <w:t xml:space="preserve"> (Естонія), </w:t>
            </w:r>
            <w:proofErr w:type="spellStart"/>
            <w:r w:rsidRPr="000C07D3">
              <w:rPr>
                <w:rFonts w:ascii="Times New Roman" w:hAnsi="Times New Roman"/>
                <w:sz w:val="24"/>
                <w:szCs w:val="24"/>
              </w:rPr>
              <w:t>Плонськ</w:t>
            </w:r>
            <w:proofErr w:type="spellEnd"/>
            <w:r w:rsidRPr="000C07D3">
              <w:rPr>
                <w:rFonts w:ascii="Times New Roman" w:hAnsi="Times New Roman"/>
                <w:sz w:val="24"/>
                <w:szCs w:val="24"/>
              </w:rPr>
              <w:t xml:space="preserve"> (Польща) за участі начальника управління стратегічного розвитку міста Юрія Дейнеки, начальника відділу міжнародного співробітництва і туризму Володимира </w:t>
            </w:r>
            <w:proofErr w:type="spellStart"/>
            <w:r w:rsidRPr="000C07D3">
              <w:rPr>
                <w:rFonts w:ascii="Times New Roman" w:hAnsi="Times New Roman"/>
                <w:sz w:val="24"/>
                <w:szCs w:val="24"/>
              </w:rPr>
              <w:t>Кашицькогоє</w:t>
            </w:r>
            <w:proofErr w:type="spellEnd"/>
            <w:r w:rsidRPr="000C07D3">
              <w:rPr>
                <w:rFonts w:ascii="Times New Roman" w:hAnsi="Times New Roman"/>
                <w:sz w:val="24"/>
                <w:szCs w:val="24"/>
              </w:rPr>
              <w:t xml:space="preserve">. Бурмістра міста </w:t>
            </w:r>
            <w:proofErr w:type="spellStart"/>
            <w:r w:rsidRPr="000C07D3">
              <w:rPr>
                <w:rFonts w:ascii="Times New Roman" w:hAnsi="Times New Roman"/>
                <w:sz w:val="24"/>
                <w:szCs w:val="24"/>
              </w:rPr>
              <w:t>Плонськ</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Анджея</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Петрасіка</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віце-мера</w:t>
            </w:r>
            <w:proofErr w:type="spellEnd"/>
            <w:r w:rsidRPr="000C07D3">
              <w:rPr>
                <w:rFonts w:ascii="Times New Roman" w:hAnsi="Times New Roman"/>
                <w:sz w:val="24"/>
                <w:szCs w:val="24"/>
              </w:rPr>
              <w:t xml:space="preserve"> міста </w:t>
            </w:r>
            <w:proofErr w:type="spellStart"/>
            <w:r w:rsidRPr="000C07D3">
              <w:rPr>
                <w:rFonts w:ascii="Times New Roman" w:hAnsi="Times New Roman"/>
                <w:sz w:val="24"/>
                <w:szCs w:val="24"/>
              </w:rPr>
              <w:t>Вільянді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Яніки</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Гедвіл</w:t>
            </w:r>
            <w:proofErr w:type="spellEnd"/>
            <w:r w:rsidRPr="000C07D3">
              <w:rPr>
                <w:rFonts w:ascii="Times New Roman" w:hAnsi="Times New Roman"/>
                <w:sz w:val="24"/>
                <w:szCs w:val="24"/>
              </w:rPr>
              <w:t xml:space="preserve">. Тема </w:t>
            </w:r>
            <w:proofErr w:type="spellStart"/>
            <w:r w:rsidRPr="000C07D3">
              <w:rPr>
                <w:rFonts w:ascii="Times New Roman" w:hAnsi="Times New Roman"/>
                <w:sz w:val="24"/>
                <w:szCs w:val="24"/>
              </w:rPr>
              <w:t>скайп-конференції</w:t>
            </w:r>
            <w:proofErr w:type="spellEnd"/>
            <w:r w:rsidRPr="000C07D3">
              <w:rPr>
                <w:rFonts w:ascii="Times New Roman" w:hAnsi="Times New Roman"/>
                <w:sz w:val="24"/>
                <w:szCs w:val="24"/>
              </w:rPr>
              <w:t xml:space="preserve"> - «Досвід роботи органів місцевого самоврядування в період пандемії».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 27 травня проведено </w:t>
            </w:r>
            <w:proofErr w:type="spellStart"/>
            <w:r w:rsidRPr="000C07D3">
              <w:rPr>
                <w:rFonts w:ascii="Times New Roman" w:hAnsi="Times New Roman"/>
                <w:sz w:val="24"/>
                <w:szCs w:val="24"/>
              </w:rPr>
              <w:t>скайп-конференцію</w:t>
            </w:r>
            <w:proofErr w:type="spellEnd"/>
            <w:r w:rsidRPr="000C07D3">
              <w:rPr>
                <w:rFonts w:ascii="Times New Roman" w:hAnsi="Times New Roman"/>
                <w:sz w:val="24"/>
                <w:szCs w:val="24"/>
              </w:rPr>
              <w:t xml:space="preserve"> з бразильським містом </w:t>
            </w:r>
            <w:proofErr w:type="spellStart"/>
            <w:r w:rsidRPr="000C07D3">
              <w:rPr>
                <w:rFonts w:ascii="Times New Roman" w:hAnsi="Times New Roman"/>
                <w:sz w:val="24"/>
                <w:szCs w:val="24"/>
              </w:rPr>
              <w:t>Прудентополіс</w:t>
            </w:r>
            <w:proofErr w:type="spellEnd"/>
            <w:r w:rsidRPr="000C07D3">
              <w:rPr>
                <w:rFonts w:ascii="Times New Roman" w:hAnsi="Times New Roman"/>
                <w:sz w:val="24"/>
                <w:szCs w:val="24"/>
              </w:rPr>
              <w:t xml:space="preserve">, метою якої було обговорення питань співпраці.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 6-9 жовтня взято участь в онлайн конференціях Конгресу транскордонної співпраці Люблін 2020.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 Співпраця з дипломатичними установами іноземних держав та українськими дипломатичними установами за кордоном.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5 та 18 лютого – робочі зустрічі з почесним консулом Литовської Республіки в Тернополя Ярославом </w:t>
            </w:r>
            <w:proofErr w:type="spellStart"/>
            <w:r w:rsidRPr="000C07D3">
              <w:rPr>
                <w:rFonts w:ascii="Times New Roman" w:hAnsi="Times New Roman"/>
                <w:sz w:val="24"/>
                <w:szCs w:val="24"/>
              </w:rPr>
              <w:t>Візняком</w:t>
            </w:r>
            <w:proofErr w:type="spellEnd"/>
            <w:r w:rsidRPr="000C07D3">
              <w:rPr>
                <w:rFonts w:ascii="Times New Roman" w:hAnsi="Times New Roman"/>
                <w:sz w:val="24"/>
                <w:szCs w:val="24"/>
              </w:rPr>
              <w:t xml:space="preserve">, метою яких було обговорення питань розширення співпраці з литовськими партнерами.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 18 лютого міський голова брав участь в заходах з нагоди річниці почесного консульства Угорщини в місті Тернополі за участі генерального консула </w:t>
            </w:r>
            <w:r w:rsidRPr="000C07D3">
              <w:rPr>
                <w:rFonts w:ascii="Times New Roman" w:hAnsi="Times New Roman"/>
                <w:sz w:val="24"/>
                <w:szCs w:val="24"/>
              </w:rPr>
              <w:lastRenderedPageBreak/>
              <w:t xml:space="preserve">Угорщини в місті Ужгород Йожефа </w:t>
            </w:r>
            <w:proofErr w:type="spellStart"/>
            <w:r w:rsidRPr="000C07D3">
              <w:rPr>
                <w:rFonts w:ascii="Times New Roman" w:hAnsi="Times New Roman"/>
                <w:sz w:val="24"/>
                <w:szCs w:val="24"/>
              </w:rPr>
              <w:t>Бугайло</w:t>
            </w:r>
            <w:proofErr w:type="spellEnd"/>
            <w:r w:rsidRPr="000C07D3">
              <w:rPr>
                <w:rFonts w:ascii="Times New Roman" w:hAnsi="Times New Roman"/>
                <w:sz w:val="24"/>
                <w:szCs w:val="24"/>
              </w:rPr>
              <w:t xml:space="preserve">.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4. Налагодження співпраці між освітніми закладами Тернопільської МТГ та іноземних міст:</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10 березня підписана Угода про співпрацю між ЗОШ №5 Тернополя та школою з польського міста </w:t>
            </w:r>
            <w:proofErr w:type="spellStart"/>
            <w:r w:rsidRPr="000C07D3">
              <w:rPr>
                <w:rFonts w:ascii="Times New Roman" w:hAnsi="Times New Roman"/>
                <w:sz w:val="24"/>
                <w:szCs w:val="24"/>
              </w:rPr>
              <w:t>Вольштин</w:t>
            </w:r>
            <w:proofErr w:type="spellEnd"/>
            <w:r w:rsidRPr="000C07D3">
              <w:rPr>
                <w:rFonts w:ascii="Times New Roman" w:hAnsi="Times New Roman"/>
                <w:sz w:val="24"/>
                <w:szCs w:val="24"/>
              </w:rPr>
              <w:t xml:space="preserve">.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2) 2-6 березня – участь ЗОШ №16 м Тернополя в </w:t>
            </w:r>
            <w:proofErr w:type="spellStart"/>
            <w:r w:rsidRPr="000C07D3">
              <w:rPr>
                <w:rFonts w:ascii="Times New Roman" w:hAnsi="Times New Roman"/>
                <w:sz w:val="24"/>
                <w:szCs w:val="24"/>
              </w:rPr>
              <w:t>україно-польсько-німецькому</w:t>
            </w:r>
            <w:proofErr w:type="spellEnd"/>
            <w:r w:rsidRPr="000C07D3">
              <w:rPr>
                <w:rFonts w:ascii="Times New Roman" w:hAnsi="Times New Roman"/>
                <w:sz w:val="24"/>
                <w:szCs w:val="24"/>
              </w:rPr>
              <w:t xml:space="preserve"> обміні в місті </w:t>
            </w:r>
            <w:proofErr w:type="spellStart"/>
            <w:r w:rsidRPr="000C07D3">
              <w:rPr>
                <w:rFonts w:ascii="Times New Roman" w:hAnsi="Times New Roman"/>
                <w:sz w:val="24"/>
                <w:szCs w:val="24"/>
              </w:rPr>
              <w:t>Карпач</w:t>
            </w:r>
            <w:proofErr w:type="spellEnd"/>
            <w:r w:rsidRPr="000C07D3">
              <w:rPr>
                <w:rFonts w:ascii="Times New Roman" w:hAnsi="Times New Roman"/>
                <w:sz w:val="24"/>
                <w:szCs w:val="24"/>
              </w:rPr>
              <w:t xml:space="preserve"> (Республіка Польща).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3) 25 червня встановлено співпрацю між ЗОШ №3 міста Тернополя та прогімназією міста </w:t>
            </w:r>
            <w:proofErr w:type="spellStart"/>
            <w:r w:rsidRPr="000C07D3">
              <w:rPr>
                <w:rFonts w:ascii="Times New Roman" w:hAnsi="Times New Roman"/>
                <w:sz w:val="24"/>
                <w:szCs w:val="24"/>
              </w:rPr>
              <w:t>Таураге</w:t>
            </w:r>
            <w:proofErr w:type="spellEnd"/>
            <w:r w:rsidRPr="000C07D3">
              <w:rPr>
                <w:rFonts w:ascii="Times New Roman" w:hAnsi="Times New Roman"/>
                <w:sz w:val="24"/>
                <w:szCs w:val="24"/>
              </w:rPr>
              <w:t xml:space="preserve">, Литва.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4) 28-30 вересня – реалізація трьохстороннього українсько-польсько-німецького проєкту «Приготування на екрані» за участі Галицького коледжу імені В’ячеслава Чорновола. Також надана підтримка ЗОШ №28, №14, №3, №13, №15, №16, №5.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5. Налагодження співпраці між медичними закладами Тернопільської МТГ та іноземних міст:</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 1 вересня – участь у </w:t>
            </w:r>
            <w:proofErr w:type="spellStart"/>
            <w:r w:rsidRPr="000C07D3">
              <w:rPr>
                <w:rFonts w:ascii="Times New Roman" w:hAnsi="Times New Roman"/>
                <w:sz w:val="24"/>
                <w:szCs w:val="24"/>
              </w:rPr>
              <w:t>веб-конференції</w:t>
            </w:r>
            <w:proofErr w:type="spellEnd"/>
            <w:r w:rsidRPr="000C07D3">
              <w:rPr>
                <w:rFonts w:ascii="Times New Roman" w:hAnsi="Times New Roman"/>
                <w:sz w:val="24"/>
                <w:szCs w:val="24"/>
              </w:rPr>
              <w:t xml:space="preserve"> в рамках проекту COPE – «</w:t>
            </w:r>
            <w:proofErr w:type="spellStart"/>
            <w:r w:rsidRPr="000C07D3">
              <w:rPr>
                <w:rFonts w:ascii="Times New Roman" w:hAnsi="Times New Roman"/>
                <w:sz w:val="24"/>
                <w:szCs w:val="24"/>
              </w:rPr>
              <w:t>Cпівпраця</w:t>
            </w:r>
            <w:proofErr w:type="spellEnd"/>
            <w:r w:rsidRPr="000C07D3">
              <w:rPr>
                <w:rFonts w:ascii="Times New Roman" w:hAnsi="Times New Roman"/>
                <w:sz w:val="24"/>
                <w:szCs w:val="24"/>
              </w:rPr>
              <w:t xml:space="preserve"> лікувальних закладів в період епідемії </w:t>
            </w:r>
            <w:proofErr w:type="spellStart"/>
            <w:r w:rsidRPr="000C07D3">
              <w:rPr>
                <w:rFonts w:ascii="Times New Roman" w:hAnsi="Times New Roman"/>
                <w:sz w:val="24"/>
                <w:szCs w:val="24"/>
              </w:rPr>
              <w:t>Covid</w:t>
            </w:r>
            <w:proofErr w:type="spellEnd"/>
            <w:r w:rsidRPr="000C07D3">
              <w:rPr>
                <w:rFonts w:ascii="Times New Roman" w:hAnsi="Times New Roman"/>
                <w:sz w:val="24"/>
                <w:szCs w:val="24"/>
              </w:rPr>
              <w:t xml:space="preserve"> 19».</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Управління стратегічного розвитку міста, управління економіки, промисловості та праці</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Співробітництво з міжнародними фінансовими та грантовими організаціями, подання заявок на участь у відповідних конкурсах</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Проект «Реконструкція системи теплопостачання» реалізовує </w:t>
            </w: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Тернопільміськтеплокомуненерго</w:t>
            </w:r>
            <w:proofErr w:type="spellEnd"/>
            <w:r w:rsidRPr="000C07D3">
              <w:rPr>
                <w:rFonts w:ascii="Times New Roman" w:hAnsi="Times New Roman"/>
                <w:sz w:val="24"/>
                <w:szCs w:val="24"/>
              </w:rPr>
              <w:t xml:space="preserve">» за рахунок кредитних та грантових коштів Європейського Банку Реконструкції та Розвитку (ЄБРР) і Фонду Східноєвропейського партнерства з енергоефективності (фонд Е5Р). Кредит у розмірі 10,0 </w:t>
            </w:r>
            <w:proofErr w:type="spellStart"/>
            <w:r w:rsidRPr="000C07D3">
              <w:rPr>
                <w:rFonts w:ascii="Times New Roman" w:hAnsi="Times New Roman"/>
                <w:sz w:val="24"/>
                <w:szCs w:val="24"/>
              </w:rPr>
              <w:t>млн</w:t>
            </w:r>
            <w:proofErr w:type="spellEnd"/>
            <w:r w:rsidRPr="000C07D3">
              <w:rPr>
                <w:rFonts w:ascii="Times New Roman" w:hAnsi="Times New Roman"/>
                <w:sz w:val="24"/>
                <w:szCs w:val="24"/>
              </w:rPr>
              <w:t xml:space="preserve"> євро, грант – 5,0 </w:t>
            </w:r>
            <w:proofErr w:type="spellStart"/>
            <w:r w:rsidRPr="000C07D3">
              <w:rPr>
                <w:rFonts w:ascii="Times New Roman" w:hAnsi="Times New Roman"/>
                <w:sz w:val="24"/>
                <w:szCs w:val="24"/>
              </w:rPr>
              <w:t>млн</w:t>
            </w:r>
            <w:proofErr w:type="spellEnd"/>
            <w:r w:rsidRPr="000C07D3">
              <w:rPr>
                <w:rFonts w:ascii="Times New Roman" w:hAnsi="Times New Roman"/>
                <w:sz w:val="24"/>
                <w:szCs w:val="24"/>
              </w:rPr>
              <w:t xml:space="preserve"> євро (безкоштовно, без відсотків, без умови про повернення).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Фінансування за контрактом буде здійснюватися за грантові кошти Фонду Східноєвропейського партнерства з енергоефективності та довкілля. На даний час </w:t>
            </w: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«ТМТКЕ» отримало грантових коштів на суму 2 792 248,0 євро, з яких використано 1 063 936,0 євро.</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lastRenderedPageBreak/>
              <w:t>СТРАТЕГІЧНИЙ ПРІОРИТЕТ С. ГРОМАДА З ЯКІСНОЮ СОЦІАЛЬНОЮ СФЕРОЮ, РІЗНОФОРМАТНИМ КУЛЬТУРНИМ ТА СПОРТИВНИМ СЕРЕДОВИЩЕМ</w:t>
            </w:r>
          </w:p>
        </w:tc>
      </w:tr>
      <w:tr w:rsidR="00D25DF3" w:rsidRPr="000C07D3" w:rsidTr="00CC6239">
        <w:trPr>
          <w:trHeight w:val="70"/>
          <w:jc w:val="center"/>
        </w:trPr>
        <w:tc>
          <w:tcPr>
            <w:tcW w:w="16160" w:type="dxa"/>
            <w:gridSpan w:val="4"/>
            <w:vAlign w:val="center"/>
          </w:tcPr>
          <w:p w:rsidR="00D25DF3" w:rsidRPr="000C07D3" w:rsidRDefault="00D25DF3" w:rsidP="00CC6239">
            <w:pPr>
              <w:widowControl w:val="0"/>
              <w:contextualSpacing/>
              <w:jc w:val="center"/>
              <w:rPr>
                <w:rFonts w:ascii="Times New Roman" w:hAnsi="Times New Roman"/>
                <w:b/>
                <w:sz w:val="24"/>
                <w:szCs w:val="24"/>
              </w:rPr>
            </w:pPr>
            <w:r w:rsidRPr="000C07D3">
              <w:rPr>
                <w:rFonts w:ascii="Times New Roman" w:hAnsi="Times New Roman"/>
                <w:b/>
                <w:sz w:val="24"/>
                <w:szCs w:val="24"/>
              </w:rPr>
              <w:t xml:space="preserve">Стратегічна ціль С.1. </w:t>
            </w:r>
            <w:r w:rsidRPr="000C07D3">
              <w:rPr>
                <w:rFonts w:ascii="Times New Roman" w:hAnsi="Times New Roman"/>
                <w:b/>
                <w:snapToGrid w:val="0"/>
                <w:sz w:val="24"/>
                <w:szCs w:val="24"/>
              </w:rPr>
              <w:t>Досягнення високого рівня надання медичної допомоги</w:t>
            </w:r>
          </w:p>
        </w:tc>
      </w:tr>
      <w:tr w:rsidR="00D25DF3" w:rsidRPr="000C07D3" w:rsidTr="00CC6239">
        <w:trPr>
          <w:trHeight w:val="128"/>
          <w:jc w:val="center"/>
        </w:trPr>
        <w:tc>
          <w:tcPr>
            <w:tcW w:w="16160" w:type="dxa"/>
            <w:gridSpan w:val="4"/>
            <w:vAlign w:val="center"/>
          </w:tcPr>
          <w:p w:rsidR="00D25DF3" w:rsidRPr="000C07D3" w:rsidRDefault="00D25DF3" w:rsidP="00CC6239">
            <w:pPr>
              <w:widowControl w:val="0"/>
              <w:contextualSpacing/>
              <w:jc w:val="center"/>
              <w:rPr>
                <w:rFonts w:ascii="Times New Roman" w:hAnsi="Times New Roman"/>
                <w:b/>
                <w:sz w:val="24"/>
                <w:szCs w:val="24"/>
              </w:rPr>
            </w:pPr>
            <w:r w:rsidRPr="000C07D3">
              <w:rPr>
                <w:rFonts w:ascii="Times New Roman" w:hAnsi="Times New Roman"/>
                <w:b/>
                <w:sz w:val="24"/>
                <w:szCs w:val="24"/>
              </w:rPr>
              <w:t>С.1.1. Створення єдиного електронного простору, впровадження єдиного медичного документообігу</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Підключення всіх закладів охорони здоров’я громади до єдиного електронного медичного документообігу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Заклади охорони здоров’я громади підключені до єдиного електронного медичного документообігу.</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Відділ охорони здоров’я та медичного забезпечення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Запровадження єдиної електронної черги у всіх закладах охорони здоров’я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 закладах охорони здоров’я міста запроваджено електронний запис до вузьких спеціалістів та лікарів загальної практики – сімейної медицини.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Облаштування робочих місць в лікувальних закладах громади з доступом до бази даних пацієнтів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Робочі місця в лікувальних закладах громади з доступом до бази даних пацієнтів </w:t>
            </w:r>
            <w:proofErr w:type="spellStart"/>
            <w:r w:rsidRPr="000C07D3">
              <w:rPr>
                <w:rFonts w:ascii="Times New Roman" w:hAnsi="Times New Roman"/>
                <w:sz w:val="24"/>
                <w:szCs w:val="24"/>
              </w:rPr>
              <w:t>облаштовані</w:t>
            </w:r>
            <w:proofErr w:type="spellEnd"/>
            <w:r w:rsidRPr="000C07D3">
              <w:rPr>
                <w:rFonts w:ascii="Times New Roman" w:hAnsi="Times New Roman"/>
                <w:sz w:val="24"/>
                <w:szCs w:val="24"/>
              </w:rPr>
              <w:t>.</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електронних карток пацієнтів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Не відбувалося.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С.1.2. Підвищення якості надання медичної допомоги жителям громади</w:t>
            </w:r>
          </w:p>
        </w:tc>
      </w:tr>
      <w:tr w:rsidR="00D25DF3" w:rsidRPr="000C07D3" w:rsidTr="00CC6239">
        <w:trPr>
          <w:trHeight w:val="98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Покращення забезпечення закладів охорони здоров’я лікарськими засобами та виробами медичного призначення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 забезпечення закладів охорони здоров’я лікарськими засобами та виробами медичного призначення з міського бюджету направлено 16 105,2 тис. грн.</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Відділ охорони здоров’я та медичного забезпечення</w:t>
            </w:r>
          </w:p>
        </w:tc>
      </w:tr>
      <w:tr w:rsidR="00D25DF3" w:rsidRPr="000C07D3" w:rsidTr="00CC6239">
        <w:trPr>
          <w:trHeight w:val="559"/>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Оптимізація та створення нових структурних підрозділів у медичних закладах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закладах охорони здоров’я протягом 2020 р. в зв’язку з пандемією </w:t>
            </w:r>
            <w:proofErr w:type="spellStart"/>
            <w:r w:rsidRPr="000C07D3">
              <w:rPr>
                <w:rFonts w:ascii="Times New Roman" w:hAnsi="Times New Roman"/>
                <w:sz w:val="24"/>
                <w:szCs w:val="24"/>
              </w:rPr>
              <w:t>коронавірусної</w:t>
            </w:r>
            <w:proofErr w:type="spellEnd"/>
            <w:r w:rsidRPr="000C07D3">
              <w:rPr>
                <w:rFonts w:ascii="Times New Roman" w:hAnsi="Times New Roman"/>
                <w:sz w:val="24"/>
                <w:szCs w:val="24"/>
              </w:rPr>
              <w:t xml:space="preserve"> інфекції, відкрито додатково 255 ліжок для надання медичної допомоги хворим на COVID 19.</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553"/>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Запровадження системного контролю та оцінки якості надання медичних послуг</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Не відбувалося</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553"/>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Забезпечення виконання соціальних гарантій пільговим категоріям громадян</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 забезпечення виконання соціальних гарантій пільговим категоріям громадян направлено 10 930,5 тис. грн., в тому числі на забезпечення безкоштовними  рецептами та медикаментами пільгових категорій громадян міста – 8 822,5 тис. грн., безкоштовне зубопротезування пільгових категорій громадян – 2 108,0 тис. грн.</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Запровадження й ефективне функціонування паліативної допомоги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Завершується капітальний ремонт відділення паліативної та </w:t>
            </w:r>
            <w:proofErr w:type="spellStart"/>
            <w:r w:rsidRPr="000C07D3">
              <w:rPr>
                <w:rFonts w:ascii="Times New Roman" w:hAnsi="Times New Roman"/>
                <w:sz w:val="24"/>
                <w:szCs w:val="24"/>
              </w:rPr>
              <w:t>хоспісної</w:t>
            </w:r>
            <w:proofErr w:type="spellEnd"/>
            <w:r w:rsidRPr="000C07D3">
              <w:rPr>
                <w:rFonts w:ascii="Times New Roman" w:hAnsi="Times New Roman"/>
                <w:sz w:val="24"/>
                <w:szCs w:val="24"/>
              </w:rPr>
              <w:t xml:space="preserve"> терапії КНП «Міська комунальна лікарня №3» Тернопільської міської ради по вул. Стрілецька, 11, с. </w:t>
            </w:r>
            <w:proofErr w:type="spellStart"/>
            <w:r w:rsidRPr="000C07D3">
              <w:rPr>
                <w:rFonts w:ascii="Times New Roman" w:hAnsi="Times New Roman"/>
                <w:sz w:val="24"/>
                <w:szCs w:val="24"/>
              </w:rPr>
              <w:t>Малашівці</w:t>
            </w:r>
            <w:proofErr w:type="spellEnd"/>
            <w:r w:rsidRPr="000C07D3">
              <w:rPr>
                <w:rFonts w:ascii="Times New Roman" w:hAnsi="Times New Roman"/>
                <w:sz w:val="24"/>
                <w:szCs w:val="24"/>
              </w:rPr>
              <w:t xml:space="preserve"> Зборівського району Тернопільської області. Вартість ремонту та оснащення відділення складає 5 229,9 тис. грн.  </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С.1.3. Модернізація закладів охорони здоров’я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Забезпечення закладів охорони здоров’я громади необхідним обладнанням для проведення ефективної діагностики та моніторингу стану здоров’я пацієнтів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Закладами придбано обладнання на суму 36 657,3 тис. грн., в т.ч. КНП «Тернопільська міська комунальна лікарня швидкої допомоги» придбано обладнання на суму 12 228.9, тис. грн., а саме: операційний стіл – 758,6 тис. грн., апарат для анестезії – 537,1 тис. грн., апарат ШВЛ – 788,9 тис. грн., дефібрилятори – 308,2 тис. грн., рентген переносний – 560,0 тис. грн., </w:t>
            </w:r>
            <w:proofErr w:type="spellStart"/>
            <w:r w:rsidRPr="000C07D3">
              <w:rPr>
                <w:rFonts w:ascii="Times New Roman" w:hAnsi="Times New Roman"/>
                <w:sz w:val="24"/>
                <w:szCs w:val="24"/>
              </w:rPr>
              <w:t>інфузомат</w:t>
            </w:r>
            <w:proofErr w:type="spellEnd"/>
            <w:r w:rsidRPr="000C07D3">
              <w:rPr>
                <w:rFonts w:ascii="Times New Roman" w:hAnsi="Times New Roman"/>
                <w:sz w:val="24"/>
                <w:szCs w:val="24"/>
              </w:rPr>
              <w:t xml:space="preserve"> – 275,0 тис. грн., монітори 4 шт. – 160,0 тис. грн., монітори спостереження пацієнта – 1 093,4 тис. грн., рамки – 60,0 тис. грн., апарат ШВЛ – 1 300,0 тис. грн., обладнання до кисневої маски – 2 150,0 тис. грн., </w:t>
            </w:r>
            <w:proofErr w:type="spellStart"/>
            <w:r w:rsidRPr="000C07D3">
              <w:rPr>
                <w:rFonts w:ascii="Times New Roman" w:hAnsi="Times New Roman"/>
                <w:sz w:val="24"/>
                <w:szCs w:val="24"/>
              </w:rPr>
              <w:t>бронхоскоп</w:t>
            </w:r>
            <w:proofErr w:type="spellEnd"/>
            <w:r w:rsidRPr="000C07D3">
              <w:rPr>
                <w:rFonts w:ascii="Times New Roman" w:hAnsi="Times New Roman"/>
                <w:sz w:val="24"/>
                <w:szCs w:val="24"/>
              </w:rPr>
              <w:t xml:space="preserve"> – 1 834,0 тис. грн., лампа операційна 3 шт. – 503,0 тис. грн., кисневий концентратор – 53,0 тис. грн., аналізатор ІФА – 397,7 тис. грн. апарат ШВЛ 2 шт. на суму 1 450,0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КНП «Тернопільська комунальна міська лікарня №2» на суму 4 616,3  тис. грн., в т.ч.: УЗД апарат для кардіології – 1 983,0 тис. грн., апарат ШВЛ 2 шт. – 1 600,0 тис. грн., дефібрилятор – 153,0 тис. грн., кардіомонітор – 185,5 тис. грн., комп’ютерна техніка – 92,2 тис. грн., датчик з програмним управлінням – 602,6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КНП «Міська комунальна лікарня№3» на суму 4 462,5 тис. грн.: насос шприцевий 4 шт. – 100,0 тис. грн., концентратор кисню – 42,0 тис. грн., кисневий концентратор – 138,0 тис. грн., ліжка функціональні 25 шт. – 310,0 тис. грн., апарат ШВЛ – 2 740,5 тис. грн., дефібрилятор – 390,0 тис. грн., компресор – 302,0 тис. грн., насос </w:t>
            </w:r>
            <w:proofErr w:type="spellStart"/>
            <w:r w:rsidRPr="000C07D3">
              <w:rPr>
                <w:rFonts w:ascii="Times New Roman" w:hAnsi="Times New Roman"/>
                <w:sz w:val="24"/>
                <w:szCs w:val="24"/>
              </w:rPr>
              <w:t>щприцевий</w:t>
            </w:r>
            <w:proofErr w:type="spellEnd"/>
            <w:r w:rsidRPr="000C07D3">
              <w:rPr>
                <w:rFonts w:ascii="Times New Roman" w:hAnsi="Times New Roman"/>
                <w:sz w:val="24"/>
                <w:szCs w:val="24"/>
              </w:rPr>
              <w:t xml:space="preserve"> – 23,5 тис. грн., кисневі концентратори та </w:t>
            </w:r>
            <w:r w:rsidRPr="000C07D3">
              <w:rPr>
                <w:rFonts w:ascii="Times New Roman" w:hAnsi="Times New Roman"/>
                <w:sz w:val="24"/>
                <w:szCs w:val="24"/>
              </w:rPr>
              <w:lastRenderedPageBreak/>
              <w:t xml:space="preserve">лабораторне обладнання – 416,5 тис. грн.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КНП «Тернопільська міська дитяча комунальна лікарня» 5 418,3 тис. грн., в т.ч.: апарат ШВЛ 3 шт. – 1 486,0 тис. грн., ЕКГ 3 шт. – 257,2 тис. грн., </w:t>
            </w:r>
            <w:proofErr w:type="spellStart"/>
            <w:r w:rsidRPr="000C07D3">
              <w:rPr>
                <w:rFonts w:ascii="Times New Roman" w:hAnsi="Times New Roman"/>
                <w:sz w:val="24"/>
                <w:szCs w:val="24"/>
              </w:rPr>
              <w:t>бронхоскоп</w:t>
            </w:r>
            <w:proofErr w:type="spellEnd"/>
            <w:r w:rsidRPr="000C07D3">
              <w:rPr>
                <w:rFonts w:ascii="Times New Roman" w:hAnsi="Times New Roman"/>
                <w:sz w:val="24"/>
                <w:szCs w:val="24"/>
              </w:rPr>
              <w:t xml:space="preserve"> – 559,3 тис. грн., кисневий концентратор – 406,5 тис. грн., насос шприцевий 12 шт. – 280,4 тис. грн., дефібрилятор 2 шт. – 365,0 тис. грн., переносний рентген – 184,6 тис. грн., УЗД – 1 580,0 тис. грн., </w:t>
            </w:r>
            <w:proofErr w:type="spellStart"/>
            <w:r w:rsidRPr="000C07D3">
              <w:rPr>
                <w:rFonts w:ascii="Times New Roman" w:hAnsi="Times New Roman"/>
                <w:sz w:val="24"/>
                <w:szCs w:val="24"/>
              </w:rPr>
              <w:t>рентгенапарат</w:t>
            </w:r>
            <w:proofErr w:type="spellEnd"/>
            <w:r w:rsidRPr="000C07D3">
              <w:rPr>
                <w:rFonts w:ascii="Times New Roman" w:hAnsi="Times New Roman"/>
                <w:sz w:val="24"/>
                <w:szCs w:val="24"/>
              </w:rPr>
              <w:t xml:space="preserve"> – 197,5 тис. грн., система моніторингу стану пацієнта 12 каналів – 101,8 тис. грн.</w:t>
            </w:r>
          </w:p>
          <w:p w:rsidR="00D25DF3" w:rsidRPr="000C07D3" w:rsidRDefault="00D25DF3" w:rsidP="00CC6239">
            <w:pPr>
              <w:rPr>
                <w:rFonts w:ascii="Times New Roman" w:hAnsi="Times New Roman"/>
                <w:sz w:val="24"/>
                <w:szCs w:val="24"/>
              </w:rPr>
            </w:pP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«Тернопільський міський лікувально-діагностичний центр» ТМР на суму 1 271,3 тис. грн., в т.ч.: аналізатор біохімічний та аналізатор сечі – 126,4 тис. грн., електрокардіограф – 28,8 тис. грн., мікроскоп – 57,0 тис. грн., апарат УВЧ – 45,9 тис. грн., центрифуга – 41,9 тис. грн., </w:t>
            </w:r>
            <w:proofErr w:type="spellStart"/>
            <w:r w:rsidRPr="000C07D3">
              <w:rPr>
                <w:rFonts w:ascii="Times New Roman" w:hAnsi="Times New Roman"/>
                <w:sz w:val="24"/>
                <w:szCs w:val="24"/>
              </w:rPr>
              <w:t>ПЛР-система</w:t>
            </w:r>
            <w:proofErr w:type="spellEnd"/>
            <w:r w:rsidRPr="000C07D3">
              <w:rPr>
                <w:rFonts w:ascii="Times New Roman" w:hAnsi="Times New Roman"/>
                <w:sz w:val="24"/>
                <w:szCs w:val="24"/>
              </w:rPr>
              <w:t xml:space="preserve"> – 887,5 тис. грн., спірометр – 70,0 тис. грн., лампа безтіньова 13,8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КНП «Тернопільська міська стоматологічна поліклініка №1»ТМР на суму 303,9 тис. грн.: рентген – 53,0 тис. грн., установка стоматологічна 2 шт. – 176,3 тис. грн., компресор – 74,6 тис. грн.</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Відділ охорони здоров’я та медичного забезпечення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Розширення державно-приватного партнерства та запровадження інвестицій в сфері охорони здоров’я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Знаходиться в стадії організації.</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Реконструкція і капітальний ремонт існуючих та будівництво нових закладів охорони здоров’я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«Тернопільська міська комунальна лікарня швидкої допомоги» проведено робіт на суму 1 273,0 тис. грн.: ремонт хірургічного відділення на суму 1 013,0 тис. грн., виготовлено ПКД по реконструкції відділення невідкладних станів на суму 260,0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КНП «Тернопільська комунальна міська лікарня №2» – 794,3 тис. грн.: виготовлено ПКД на проведення добудови та реконструкції відділення невідкладної меддопомоги на суму 496,4 тис. грн., капремонт приміщень – 297,9 тис.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КНП «Міська комунальна лікарня №3» ТМР – 2 067,3 тис. грн.: капремонт відділення паліативної та </w:t>
            </w:r>
            <w:proofErr w:type="spellStart"/>
            <w:r w:rsidRPr="000C07D3">
              <w:rPr>
                <w:rFonts w:ascii="Times New Roman" w:hAnsi="Times New Roman"/>
                <w:sz w:val="24"/>
                <w:szCs w:val="24"/>
              </w:rPr>
              <w:t>хоспісної</w:t>
            </w:r>
            <w:proofErr w:type="spellEnd"/>
            <w:r w:rsidRPr="000C07D3">
              <w:rPr>
                <w:rFonts w:ascii="Times New Roman" w:hAnsi="Times New Roman"/>
                <w:sz w:val="24"/>
                <w:szCs w:val="24"/>
              </w:rPr>
              <w:t xml:space="preserve"> терапії в с. </w:t>
            </w:r>
            <w:proofErr w:type="spellStart"/>
            <w:r w:rsidRPr="000C07D3">
              <w:rPr>
                <w:rFonts w:ascii="Times New Roman" w:hAnsi="Times New Roman"/>
                <w:sz w:val="24"/>
                <w:szCs w:val="24"/>
              </w:rPr>
              <w:t>Малашівці</w:t>
            </w:r>
            <w:proofErr w:type="spellEnd"/>
            <w:r w:rsidRPr="000C07D3">
              <w:rPr>
                <w:rFonts w:ascii="Times New Roman" w:hAnsi="Times New Roman"/>
                <w:sz w:val="24"/>
                <w:szCs w:val="24"/>
              </w:rPr>
              <w:t xml:space="preserve"> – 1 819,8 тис. грн., охорона об’єкта (незавершене будівництво терапевтичного корпусу) – 247,5 тис. </w:t>
            </w:r>
            <w:r w:rsidRPr="000C07D3">
              <w:rPr>
                <w:rFonts w:ascii="Times New Roman" w:hAnsi="Times New Roman"/>
                <w:sz w:val="24"/>
                <w:szCs w:val="24"/>
              </w:rPr>
              <w:lastRenderedPageBreak/>
              <w:t>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КНП «Тернопільська міська дитяча комунальна лікарня» – 1 807,2 тис. грн.: капітальний ремонт відділення відновного лікування №2 по вул. </w:t>
            </w:r>
            <w:proofErr w:type="spellStart"/>
            <w:r w:rsidRPr="000C07D3">
              <w:rPr>
                <w:rFonts w:ascii="Times New Roman" w:hAnsi="Times New Roman"/>
                <w:sz w:val="24"/>
                <w:szCs w:val="24"/>
              </w:rPr>
              <w:t>Федьковича</w:t>
            </w:r>
            <w:proofErr w:type="spellEnd"/>
            <w:r w:rsidRPr="000C07D3">
              <w:rPr>
                <w:rFonts w:ascii="Times New Roman" w:hAnsi="Times New Roman"/>
                <w:sz w:val="24"/>
                <w:szCs w:val="24"/>
              </w:rPr>
              <w:t xml:space="preserve">, 16  на суму 1 617,9 тис. грн., капітальний ремонт трубопроводу для подачі кисню до інфекційного відділення – 189,3 тис. грн. </w:t>
            </w:r>
          </w:p>
          <w:p w:rsidR="00D25DF3" w:rsidRPr="000C07D3" w:rsidRDefault="00D25DF3" w:rsidP="00CC6239">
            <w:pPr>
              <w:rPr>
                <w:rFonts w:ascii="Times New Roman" w:hAnsi="Times New Roman"/>
                <w:sz w:val="24"/>
                <w:szCs w:val="24"/>
              </w:rPr>
            </w:pPr>
            <w:proofErr w:type="spellStart"/>
            <w:r w:rsidRPr="000C07D3">
              <w:rPr>
                <w:rFonts w:ascii="Times New Roman" w:hAnsi="Times New Roman"/>
                <w:sz w:val="24"/>
                <w:szCs w:val="24"/>
              </w:rPr>
              <w:t>КП</w:t>
            </w:r>
            <w:proofErr w:type="spellEnd"/>
            <w:r w:rsidRPr="000C07D3">
              <w:rPr>
                <w:rFonts w:ascii="Times New Roman" w:hAnsi="Times New Roman"/>
                <w:sz w:val="24"/>
                <w:szCs w:val="24"/>
              </w:rPr>
              <w:t xml:space="preserve"> «Тернопільський міський лікувально-діагностичний центр» ТМР – 617,7 тис. грн.: капітальний ремонт приміщень.</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КНП «Центр первинної медико-санітарної допомоги» – 52,0 тис. грн.: ПКД по капремонту зовнішнього опорядження будівлі по вул. Кн. Острозького.</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КНП «Тернопільська міська стоматологічна поліклініка №1» ТМР – 180,0 тис. грн.: капремонт філіалу по вул. Стадникової.</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Будівництво і ремонт пандусів та ліфтів в закладах охорони здоров’я для </w:t>
            </w:r>
            <w:proofErr w:type="spellStart"/>
            <w:r w:rsidRPr="000C07D3">
              <w:rPr>
                <w:rFonts w:ascii="Times New Roman" w:hAnsi="Times New Roman"/>
                <w:sz w:val="24"/>
                <w:szCs w:val="24"/>
              </w:rPr>
              <w:t>маломобільних</w:t>
            </w:r>
            <w:proofErr w:type="spellEnd"/>
            <w:r w:rsidRPr="000C07D3">
              <w:rPr>
                <w:rFonts w:ascii="Times New Roman" w:hAnsi="Times New Roman"/>
                <w:sz w:val="24"/>
                <w:szCs w:val="24"/>
              </w:rPr>
              <w:t xml:space="preserve"> груп населення</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Проводиться регулярний поточний ремонт.</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b/>
                <w:sz w:val="24"/>
                <w:szCs w:val="24"/>
              </w:rPr>
              <w:t>Стратегічна ціль C.2. Надання якісної та новітньої освіти</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C.2.1. Запровадження безперервного професійного розвитку та підвищення кваліфікації педагогічних працівників</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Запровадження Концепції організації і проведення підвищення кваліфікації педагогів Тернопільським комунальним методичним центром науково-освітніх інновацій та моніторингу;</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Система неперервної післядипломної освіти при ТКМЦНОІМ організована у формі курсів підвищення кваліфікації педагогічних працівників Тернопільської міської територіальної громади. Освітній процес здійснюється за вечірньою або дистанційною (з 18.03.2020) формами.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Для слухачів курсів розроблені та ліцензовані 3 освітні програми, які складаються з окремих розділів. Педагогічні працівники мають право обирати для вивчення ті розділи, які є для них найактуальнішими. </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2019 році свідоцтво про підвищення кваліфікації при ТКМЦНОІМ отримали 1046 педагогів.</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 2020 році на курси зареєстровано 2633 педагоги, станом на 01.11.2020 року.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Завершили вивчення окремих розділів 2191 педагог, продовжують навчання слухачі ще у 80 групах.</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Для проведення занять обладнано 2 аудиторії, в т.ч. комп’ютерна лабораторія.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 угодах про співпрацю з Тернопільським національним педагогічним університетом імені В. Гнатюка, Управлінням Державної служби якості освіти в Тернопільській області передбачено спільні заходи із забезпечення підвищення кваліфікації педагогічних працівників.</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Створено </w:t>
            </w:r>
            <w:r w:rsidRPr="000C07D3">
              <w:rPr>
                <w:rFonts w:ascii="Times New Roman" w:hAnsi="Times New Roman"/>
                <w:color w:val="000000"/>
                <w:sz w:val="24"/>
                <w:szCs w:val="24"/>
              </w:rPr>
              <w:t>банк даних обліку підвищення кваліфікації педагогічних працівників.</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8. Для широкого ознайомлення громадськості з можливостями і результатами підвищення кваліфікації педагогів Тернопільської МТГ створена і регулярно поповнюється матеріалами сторінка Неперервна освіта. ТКМЦНОІМ в соціальній мережі </w:t>
            </w:r>
            <w:proofErr w:type="spellStart"/>
            <w:r w:rsidRPr="000C07D3">
              <w:rPr>
                <w:rFonts w:ascii="Times New Roman" w:hAnsi="Times New Roman"/>
                <w:sz w:val="24"/>
                <w:szCs w:val="24"/>
              </w:rPr>
              <w:t>Фейсбук</w:t>
            </w:r>
            <w:proofErr w:type="spellEnd"/>
            <w:r w:rsidRPr="000C07D3">
              <w:rPr>
                <w:rFonts w:ascii="Times New Roman" w:hAnsi="Times New Roman"/>
                <w:sz w:val="24"/>
                <w:szCs w:val="24"/>
              </w:rPr>
              <w:t>.</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lastRenderedPageBreak/>
              <w:t>Управління освіти і науки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Отримання ліцензії МОН України на надання освітніх послуг для педагогів громади щодо підвищення кваліфікації педагогічних, науково-педагогічних працівників та керівників закладів освіти (галузі знань 01 Педагогічна освіта)</w:t>
            </w:r>
          </w:p>
        </w:tc>
        <w:tc>
          <w:tcPr>
            <w:tcW w:w="8644" w:type="dxa"/>
            <w:vAlign w:val="center"/>
          </w:tcPr>
          <w:p w:rsidR="00D25DF3" w:rsidRPr="000C07D3" w:rsidRDefault="00D25DF3" w:rsidP="00CC6239">
            <w:pPr>
              <w:keepLines/>
              <w:rPr>
                <w:rFonts w:ascii="Times New Roman" w:hAnsi="Times New Roman"/>
                <w:color w:val="000000"/>
                <w:sz w:val="24"/>
                <w:szCs w:val="24"/>
              </w:rPr>
            </w:pPr>
            <w:r w:rsidRPr="000C07D3">
              <w:rPr>
                <w:rFonts w:ascii="Times New Roman" w:hAnsi="Times New Roman"/>
                <w:color w:val="000000"/>
                <w:sz w:val="24"/>
                <w:szCs w:val="24"/>
              </w:rPr>
              <w:t>Ліцензія на  провадження освітньої діяльності у сфері післядипломної освіти для осіб з вищою освітою за кодом 01 Освіта/Педагогіка і спеціальністю 011  Освітні, педагогічні науки видана на підвищення кваліфікації педагогічних працівників закладів дошкільної, загальної середньої та позашкільної освіти з ліцензійним обсягом 1100 осіб, протокол ліцензійної комісії МОН України від 08.08.2019 року №146, наказ МОН України від 08.08.2019 року №950-л.</w:t>
            </w:r>
          </w:p>
          <w:p w:rsidR="00D25DF3" w:rsidRPr="000C07D3" w:rsidRDefault="00D25DF3" w:rsidP="00CC6239">
            <w:pPr>
              <w:keepLines/>
              <w:rPr>
                <w:rFonts w:ascii="Times New Roman" w:hAnsi="Times New Roman"/>
                <w:color w:val="000000"/>
                <w:sz w:val="24"/>
                <w:szCs w:val="24"/>
              </w:rPr>
            </w:pPr>
            <w:r w:rsidRPr="000C07D3">
              <w:rPr>
                <w:rFonts w:ascii="Times New Roman" w:hAnsi="Times New Roman"/>
                <w:color w:val="000000"/>
                <w:sz w:val="24"/>
                <w:szCs w:val="24"/>
              </w:rPr>
              <w:t xml:space="preserve">Ліцензовано освітні програми: </w:t>
            </w:r>
          </w:p>
          <w:p w:rsidR="00D25DF3" w:rsidRPr="000C07D3" w:rsidRDefault="00D25DF3" w:rsidP="00CC6239">
            <w:pPr>
              <w:keepLines/>
              <w:rPr>
                <w:rFonts w:ascii="Times New Roman" w:hAnsi="Times New Roman"/>
                <w:color w:val="000000"/>
                <w:sz w:val="24"/>
                <w:szCs w:val="24"/>
              </w:rPr>
            </w:pPr>
            <w:r w:rsidRPr="000C07D3">
              <w:rPr>
                <w:rFonts w:ascii="Times New Roman" w:hAnsi="Times New Roman"/>
                <w:color w:val="000000"/>
                <w:sz w:val="24"/>
                <w:szCs w:val="24"/>
              </w:rPr>
              <w:t xml:space="preserve">- </w:t>
            </w:r>
            <w:proofErr w:type="spellStart"/>
            <w:r w:rsidRPr="000C07D3">
              <w:rPr>
                <w:rFonts w:ascii="Times New Roman" w:hAnsi="Times New Roman"/>
                <w:color w:val="000000"/>
                <w:sz w:val="24"/>
                <w:szCs w:val="24"/>
              </w:rPr>
              <w:t>соціогуманітарні</w:t>
            </w:r>
            <w:proofErr w:type="spellEnd"/>
            <w:r w:rsidRPr="000C07D3">
              <w:rPr>
                <w:rFonts w:ascii="Times New Roman" w:hAnsi="Times New Roman"/>
                <w:color w:val="000000"/>
                <w:sz w:val="24"/>
                <w:szCs w:val="24"/>
              </w:rPr>
              <w:t xml:space="preserve"> аспекти професійного розвитку педагогічних працівників; </w:t>
            </w:r>
            <w:proofErr w:type="spellStart"/>
            <w:r w:rsidRPr="000C07D3">
              <w:rPr>
                <w:rFonts w:ascii="Times New Roman" w:hAnsi="Times New Roman"/>
                <w:color w:val="000000"/>
                <w:sz w:val="24"/>
                <w:szCs w:val="24"/>
              </w:rPr>
              <w:t>загальнопрофесійні</w:t>
            </w:r>
            <w:proofErr w:type="spellEnd"/>
            <w:r w:rsidRPr="000C07D3">
              <w:rPr>
                <w:rFonts w:ascii="Times New Roman" w:hAnsi="Times New Roman"/>
                <w:color w:val="000000"/>
                <w:sz w:val="24"/>
                <w:szCs w:val="24"/>
              </w:rPr>
              <w:t xml:space="preserve"> освітні технології та інструменти діяльності педагогічних працівників;</w:t>
            </w:r>
          </w:p>
          <w:p w:rsidR="00D25DF3" w:rsidRPr="000C07D3" w:rsidRDefault="00D25DF3" w:rsidP="00CC6239">
            <w:pPr>
              <w:keepLines/>
              <w:rPr>
                <w:rFonts w:ascii="Times New Roman" w:hAnsi="Times New Roman"/>
                <w:color w:val="000000"/>
                <w:sz w:val="24"/>
                <w:szCs w:val="24"/>
              </w:rPr>
            </w:pPr>
            <w:r w:rsidRPr="000C07D3">
              <w:rPr>
                <w:rFonts w:ascii="Times New Roman" w:hAnsi="Times New Roman"/>
                <w:color w:val="000000"/>
                <w:sz w:val="24"/>
                <w:szCs w:val="24"/>
              </w:rPr>
              <w:t>- науково-методичні підходи до удосконалення освітнього процесу.</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 xml:space="preserve">Розробка </w:t>
            </w:r>
            <w:proofErr w:type="spellStart"/>
            <w:r w:rsidRPr="000C07D3">
              <w:rPr>
                <w:rFonts w:ascii="Times New Roman" w:hAnsi="Times New Roman"/>
                <w:sz w:val="24"/>
                <w:szCs w:val="24"/>
              </w:rPr>
              <w:t>веб-ресурсу</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info.osvita.te.ua</w:t>
            </w:r>
            <w:proofErr w:type="spellEnd"/>
            <w:r w:rsidRPr="000C07D3">
              <w:rPr>
                <w:rFonts w:ascii="Times New Roman" w:hAnsi="Times New Roman"/>
                <w:sz w:val="24"/>
                <w:szCs w:val="24"/>
              </w:rPr>
              <w:t xml:space="preserve"> з метою вільного вибору педагогами навчальних курсів і спецкурсів</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Функціонування системи неперервної післядипломної  освіти ТКМЦНОІМ забезпечують сайти: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w:t>
            </w:r>
            <w:proofErr w:type="spellStart"/>
            <w:r w:rsidRPr="000C07D3">
              <w:rPr>
                <w:rFonts w:ascii="Times New Roman" w:hAnsi="Times New Roman"/>
                <w:sz w:val="24"/>
                <w:szCs w:val="24"/>
              </w:rPr>
              <w:t>іnfo.osvita.te.ua</w:t>
            </w:r>
            <w:proofErr w:type="spellEnd"/>
            <w:r w:rsidRPr="000C07D3">
              <w:rPr>
                <w:rFonts w:ascii="Times New Roman" w:hAnsi="Times New Roman"/>
                <w:sz w:val="24"/>
                <w:szCs w:val="24"/>
              </w:rPr>
              <w:t xml:space="preserve"> – відкритий віртуальний простір інформаційно-довідкового та науково-методичного спрямування, з можливостями зворотного зв’язку між </w:t>
            </w:r>
            <w:r w:rsidRPr="000C07D3">
              <w:rPr>
                <w:rFonts w:ascii="Times New Roman" w:hAnsi="Times New Roman"/>
                <w:sz w:val="24"/>
                <w:szCs w:val="24"/>
              </w:rPr>
              <w:lastRenderedPageBreak/>
              <w:t>педагогами та відділом неперервної освіти;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e-osvita.org – сайт курсів підвищення кваліфікації, організований на базі віртуальної платформи MOODLE, доступний для зареєстрованих слухачів та викладачів окремих розділів ліцензованих освітніх програм.</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сайті </w:t>
            </w:r>
            <w:proofErr w:type="spellStart"/>
            <w:r w:rsidRPr="000C07D3">
              <w:rPr>
                <w:rFonts w:ascii="Times New Roman" w:hAnsi="Times New Roman"/>
                <w:sz w:val="24"/>
                <w:szCs w:val="24"/>
              </w:rPr>
              <w:t>іnfo.osvita.te.ua</w:t>
            </w:r>
            <w:proofErr w:type="spellEnd"/>
            <w:r w:rsidRPr="000C07D3">
              <w:rPr>
                <w:rFonts w:ascii="Times New Roman" w:hAnsi="Times New Roman"/>
                <w:sz w:val="24"/>
                <w:szCs w:val="24"/>
              </w:rPr>
              <w:t xml:space="preserve"> створений </w:t>
            </w:r>
            <w:proofErr w:type="spellStart"/>
            <w:r w:rsidRPr="000C07D3">
              <w:rPr>
                <w:rFonts w:ascii="Times New Roman" w:hAnsi="Times New Roman"/>
                <w:sz w:val="24"/>
                <w:szCs w:val="24"/>
              </w:rPr>
              <w:t>репозитарій</w:t>
            </w:r>
            <w:proofErr w:type="spellEnd"/>
            <w:r w:rsidRPr="000C07D3">
              <w:rPr>
                <w:rFonts w:ascii="Times New Roman" w:hAnsi="Times New Roman"/>
                <w:sz w:val="24"/>
                <w:szCs w:val="24"/>
              </w:rPr>
              <w:t xml:space="preserve"> наукових, навчальних, методичних матеріалів, авторських розробок педагогічних працівників Тернопільської міської територіальної громади.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На сайті e-osvita.org зареєстровані усі педагогічні працівники закладів освіти Тернопільської МТГ, для кожного створено особистий електронний кабінет, у якому розгорнута система </w:t>
            </w:r>
            <w:proofErr w:type="spellStart"/>
            <w:r w:rsidRPr="000C07D3">
              <w:rPr>
                <w:rFonts w:ascii="Times New Roman" w:hAnsi="Times New Roman"/>
                <w:sz w:val="24"/>
                <w:szCs w:val="24"/>
              </w:rPr>
              <w:t>коучингу</w:t>
            </w:r>
            <w:proofErr w:type="spellEnd"/>
            <w:r w:rsidRPr="000C07D3">
              <w:rPr>
                <w:rFonts w:ascii="Times New Roman" w:hAnsi="Times New Roman"/>
                <w:sz w:val="24"/>
                <w:szCs w:val="24"/>
              </w:rPr>
              <w:t xml:space="preserve"> та індивідуального віртуального супроводу слухача, реєструються  результати навчання на курсах підвищення кваліфікації.</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 сайті e-osvita.org розміщені навчально-методичні комплекси для вивчення окремих розділів освітніх програм.</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Відкриття навчальних лабораторій для педагогів громади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При ТКМЦНОІМ у грудні 2019 року створений відділ неперервної післядипломної освіти, працівники якого забезпечують організацію та проведення курсів підвищення кваліфікації педагогічних працівників.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три навчальні лабораторії для навчання педагогів громади.</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pStyle w:val="ms-rteelement-p"/>
              <w:widowControl w:val="0"/>
              <w:spacing w:before="0" w:beforeAutospacing="0" w:after="0" w:afterAutospacing="0"/>
              <w:contextualSpacing/>
              <w:jc w:val="center"/>
              <w:rPr>
                <w:b/>
                <w:lang w:val="uk-UA"/>
              </w:rPr>
            </w:pPr>
            <w:r w:rsidRPr="000C07D3">
              <w:rPr>
                <w:b/>
                <w:lang w:val="uk-UA"/>
              </w:rPr>
              <w:t>C.2.2. Створення в навчальних закладах належних умов для учнів з особливими потребами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 xml:space="preserve">Удосконалення діяльності </w:t>
            </w:r>
            <w:proofErr w:type="spellStart"/>
            <w:r w:rsidRPr="000C07D3">
              <w:rPr>
                <w:rFonts w:ascii="Times New Roman" w:hAnsi="Times New Roman"/>
                <w:sz w:val="24"/>
                <w:szCs w:val="24"/>
              </w:rPr>
              <w:t>ІРЦ</w:t>
            </w:r>
            <w:proofErr w:type="spellEnd"/>
            <w:r w:rsidRPr="000C07D3">
              <w:rPr>
                <w:rFonts w:ascii="Times New Roman" w:hAnsi="Times New Roman"/>
                <w:sz w:val="24"/>
                <w:szCs w:val="24"/>
              </w:rPr>
              <w:t xml:space="preserve"> (інклюзивно-ресурсного центру)</w:t>
            </w:r>
          </w:p>
        </w:tc>
        <w:tc>
          <w:tcPr>
            <w:tcW w:w="8644" w:type="dxa"/>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 2020 році на придбання спеціального автомобіля для комунальної установи «Інклюзивно-ресурсний центр №1» Тернопільської міської ради було виділено 1,8 млн. </w:t>
            </w:r>
            <w:proofErr w:type="spellStart"/>
            <w:r w:rsidRPr="000C07D3">
              <w:rPr>
                <w:rFonts w:ascii="Times New Roman" w:hAnsi="Times New Roman"/>
                <w:sz w:val="24"/>
                <w:szCs w:val="24"/>
              </w:rPr>
              <w:t>грн</w:t>
            </w:r>
            <w:proofErr w:type="spellEnd"/>
            <w:r w:rsidRPr="000C07D3">
              <w:rPr>
                <w:rFonts w:ascii="Times New Roman" w:hAnsi="Times New Roman"/>
                <w:sz w:val="24"/>
                <w:szCs w:val="24"/>
              </w:rPr>
              <w:t xml:space="preserve"> на засадах </w:t>
            </w:r>
            <w:proofErr w:type="spellStart"/>
            <w:r w:rsidRPr="000C07D3">
              <w:rPr>
                <w:rFonts w:ascii="Times New Roman" w:hAnsi="Times New Roman"/>
                <w:sz w:val="24"/>
                <w:szCs w:val="24"/>
              </w:rPr>
              <w:t>співфінансування</w:t>
            </w:r>
            <w:proofErr w:type="spellEnd"/>
            <w:r w:rsidRPr="000C07D3">
              <w:rPr>
                <w:rFonts w:ascii="Times New Roman" w:hAnsi="Times New Roman"/>
                <w:sz w:val="24"/>
                <w:szCs w:val="24"/>
              </w:rPr>
              <w:t xml:space="preserve"> 70% - за рахунок субвенції та не менш як 30% - за рахунок коштів місцевого бюджету.</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Відповідно до законодавства закупівля автомобіля відбувалася через тендери в системі </w:t>
            </w:r>
            <w:proofErr w:type="spellStart"/>
            <w:r w:rsidRPr="000C07D3">
              <w:rPr>
                <w:rFonts w:ascii="Times New Roman" w:hAnsi="Times New Roman"/>
                <w:sz w:val="24"/>
                <w:szCs w:val="24"/>
              </w:rPr>
              <w:t>Prozorro</w:t>
            </w:r>
            <w:proofErr w:type="spellEnd"/>
            <w:r w:rsidRPr="000C07D3">
              <w:rPr>
                <w:rFonts w:ascii="Times New Roman" w:hAnsi="Times New Roman"/>
                <w:sz w:val="24"/>
                <w:szCs w:val="24"/>
              </w:rPr>
              <w:t xml:space="preserve"> на авторизованих електронних майданчиках. Після проведення процедури укладено договір з ТОВ «Українське навчання» за ціною 1,452 млн. грн.</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Мобільний інклюзивно-ресурсний центр – це автомобіль спеціального призначення з обладнанням для проведення комплексної </w:t>
            </w:r>
            <w:proofErr w:type="spellStart"/>
            <w:r w:rsidRPr="000C07D3">
              <w:rPr>
                <w:rFonts w:ascii="Times New Roman" w:hAnsi="Times New Roman"/>
                <w:sz w:val="24"/>
                <w:szCs w:val="24"/>
              </w:rPr>
              <w:t>психолого-</w:t>
            </w:r>
            <w:proofErr w:type="spellEnd"/>
            <w:r w:rsidRPr="000C07D3">
              <w:rPr>
                <w:rFonts w:ascii="Times New Roman" w:hAnsi="Times New Roman"/>
                <w:sz w:val="24"/>
                <w:szCs w:val="24"/>
              </w:rPr>
              <w:t xml:space="preserve"> педагогічної </w:t>
            </w:r>
            <w:r w:rsidRPr="000C07D3">
              <w:rPr>
                <w:rFonts w:ascii="Times New Roman" w:hAnsi="Times New Roman"/>
                <w:sz w:val="24"/>
                <w:szCs w:val="24"/>
              </w:rPr>
              <w:lastRenderedPageBreak/>
              <w:t xml:space="preserve">оцінки розвитку дітей, які не відвідують заклади освіти, надання психолого-педагогічних, </w:t>
            </w:r>
            <w:proofErr w:type="spellStart"/>
            <w:r w:rsidRPr="000C07D3">
              <w:rPr>
                <w:rFonts w:ascii="Times New Roman" w:hAnsi="Times New Roman"/>
                <w:sz w:val="24"/>
                <w:szCs w:val="24"/>
              </w:rPr>
              <w:t>корекційно-розвиткових</w:t>
            </w:r>
            <w:proofErr w:type="spellEnd"/>
            <w:r w:rsidRPr="000C07D3">
              <w:rPr>
                <w:rFonts w:ascii="Times New Roman" w:hAnsi="Times New Roman"/>
                <w:sz w:val="24"/>
                <w:szCs w:val="24"/>
              </w:rPr>
              <w:t xml:space="preserve"> послуг та забезпечення їх системного кваліфікованого супроводу. Завдяки автомобілю команда центру стала мобільнішою та має можливість надавати додаткові </w:t>
            </w:r>
            <w:proofErr w:type="spellStart"/>
            <w:r w:rsidRPr="000C07D3">
              <w:rPr>
                <w:rFonts w:ascii="Times New Roman" w:hAnsi="Times New Roman"/>
                <w:sz w:val="24"/>
                <w:szCs w:val="24"/>
              </w:rPr>
              <w:t>психолого-</w:t>
            </w:r>
            <w:proofErr w:type="spellEnd"/>
            <w:r w:rsidRPr="000C07D3">
              <w:rPr>
                <w:rFonts w:ascii="Times New Roman" w:hAnsi="Times New Roman"/>
                <w:sz w:val="24"/>
                <w:szCs w:val="24"/>
              </w:rPr>
              <w:t xml:space="preserve">  педагогічні та </w:t>
            </w:r>
            <w:proofErr w:type="spellStart"/>
            <w:r w:rsidRPr="000C07D3">
              <w:rPr>
                <w:rFonts w:ascii="Times New Roman" w:hAnsi="Times New Roman"/>
                <w:sz w:val="24"/>
                <w:szCs w:val="24"/>
              </w:rPr>
              <w:t>корекційно-розвиткові</w:t>
            </w:r>
            <w:proofErr w:type="spellEnd"/>
            <w:r w:rsidRPr="000C07D3">
              <w:rPr>
                <w:rFonts w:ascii="Times New Roman" w:hAnsi="Times New Roman"/>
                <w:sz w:val="24"/>
                <w:szCs w:val="24"/>
              </w:rPr>
              <w:t xml:space="preserve"> послуги дітям, які проживають на території міста Тернополя та громадам з якими </w:t>
            </w:r>
            <w:proofErr w:type="spellStart"/>
            <w:r w:rsidRPr="000C07D3">
              <w:rPr>
                <w:rFonts w:ascii="Times New Roman" w:hAnsi="Times New Roman"/>
                <w:sz w:val="24"/>
                <w:szCs w:val="24"/>
              </w:rPr>
              <w:t>заключено</w:t>
            </w:r>
            <w:proofErr w:type="spellEnd"/>
            <w:r w:rsidRPr="000C07D3">
              <w:rPr>
                <w:rFonts w:ascii="Times New Roman" w:hAnsi="Times New Roman"/>
                <w:sz w:val="24"/>
                <w:szCs w:val="24"/>
              </w:rPr>
              <w:t xml:space="preserve"> угоди.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Відповідно до рішення сесії Тернопільської міської ради від 24 липня 2019 року №7/36/6 комунальна установа «Інклюзивно-ресурсний центр №1» Тернопільської міської ради отримала у безоплатне користування нежитлові приміщення загальною площею172,45 м</w:t>
            </w:r>
            <w:r w:rsidRPr="000C07D3">
              <w:rPr>
                <w:rFonts w:ascii="Times New Roman" w:hAnsi="Times New Roman"/>
                <w:sz w:val="24"/>
                <w:szCs w:val="24"/>
                <w:vertAlign w:val="superscript"/>
              </w:rPr>
              <w:t>2</w:t>
            </w:r>
            <w:r w:rsidRPr="000C07D3">
              <w:rPr>
                <w:rFonts w:ascii="Times New Roman" w:hAnsi="Times New Roman"/>
                <w:sz w:val="24"/>
                <w:szCs w:val="24"/>
              </w:rPr>
              <w:t>, в тому числі площа спільного користування 32,5 м</w:t>
            </w:r>
            <w:r w:rsidRPr="000C07D3">
              <w:rPr>
                <w:rFonts w:ascii="Times New Roman" w:hAnsi="Times New Roman"/>
                <w:sz w:val="24"/>
                <w:szCs w:val="24"/>
                <w:vertAlign w:val="superscript"/>
              </w:rPr>
              <w:t>2</w:t>
            </w:r>
            <w:r w:rsidRPr="000C07D3">
              <w:rPr>
                <w:rFonts w:ascii="Times New Roman" w:hAnsi="Times New Roman"/>
                <w:sz w:val="24"/>
                <w:szCs w:val="24"/>
              </w:rPr>
              <w:t xml:space="preserve">, терміном на тридцять п'ять місяців. З міського бюджету виділено 480 тис. на ремонтні роботи приміщень. Вже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кабінети для вчителів-дефектологів (</w:t>
            </w:r>
            <w:proofErr w:type="spellStart"/>
            <w:r w:rsidRPr="000C07D3">
              <w:rPr>
                <w:rFonts w:ascii="Times New Roman" w:hAnsi="Times New Roman"/>
                <w:sz w:val="24"/>
                <w:szCs w:val="24"/>
              </w:rPr>
              <w:t>олігофренопедагога</w:t>
            </w:r>
            <w:proofErr w:type="spellEnd"/>
            <w:r w:rsidRPr="000C07D3">
              <w:rPr>
                <w:rFonts w:ascii="Times New Roman" w:hAnsi="Times New Roman"/>
                <w:sz w:val="24"/>
                <w:szCs w:val="24"/>
              </w:rPr>
              <w:t xml:space="preserve">, тифлопедагога, сурдопедагога), вчителя-логопеда та </w:t>
            </w:r>
            <w:proofErr w:type="spellStart"/>
            <w:r w:rsidRPr="000C07D3">
              <w:rPr>
                <w:rFonts w:ascii="Times New Roman" w:hAnsi="Times New Roman"/>
                <w:sz w:val="24"/>
                <w:szCs w:val="24"/>
              </w:rPr>
              <w:t>вчителя-реабілітолога</w:t>
            </w:r>
            <w:proofErr w:type="spellEnd"/>
            <w:r w:rsidRPr="000C07D3">
              <w:rPr>
                <w:rFonts w:ascii="Times New Roman" w:hAnsi="Times New Roman"/>
                <w:sz w:val="24"/>
                <w:szCs w:val="24"/>
              </w:rPr>
              <w:t xml:space="preserve">. Кабінети </w:t>
            </w:r>
            <w:proofErr w:type="spellStart"/>
            <w:r w:rsidRPr="000C07D3">
              <w:rPr>
                <w:rFonts w:ascii="Times New Roman" w:hAnsi="Times New Roman"/>
                <w:sz w:val="24"/>
                <w:szCs w:val="24"/>
              </w:rPr>
              <w:t>облаштовані</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сучасною технікою – комп'ютерами (3 стаціонарних та 5 ноутбуків) принтери (5 шт., в тому числі багатофункціональних принтерів (принтер-сканер-копір) – 2 шт.), </w:t>
            </w:r>
            <w:proofErr w:type="spellStart"/>
            <w:r w:rsidRPr="000C07D3">
              <w:rPr>
                <w:rFonts w:ascii="Times New Roman" w:hAnsi="Times New Roman"/>
                <w:sz w:val="24"/>
                <w:szCs w:val="24"/>
              </w:rPr>
              <w:t>ламінатор</w:t>
            </w:r>
            <w:proofErr w:type="spellEnd"/>
            <w:r w:rsidRPr="000C07D3">
              <w:rPr>
                <w:rFonts w:ascii="Times New Roman" w:hAnsi="Times New Roman"/>
                <w:sz w:val="24"/>
                <w:szCs w:val="24"/>
              </w:rPr>
              <w:t xml:space="preserve"> (1 шт.), проектор (1 шт.), дошка-екран жорстка (1 шт.);</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мобільними меблями: шафи, стільці, столи, полички, які розраховані на різний вік дітей;</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 сучасними методиками та дидактичним обладнанням для надання психолого-педагогічних, </w:t>
            </w:r>
            <w:proofErr w:type="spellStart"/>
            <w:r w:rsidRPr="000C07D3">
              <w:rPr>
                <w:rFonts w:ascii="Times New Roman" w:hAnsi="Times New Roman"/>
                <w:sz w:val="24"/>
                <w:szCs w:val="24"/>
              </w:rPr>
              <w:t>корекційно-розвиткових</w:t>
            </w:r>
            <w:proofErr w:type="spellEnd"/>
            <w:r w:rsidRPr="000C07D3">
              <w:rPr>
                <w:rFonts w:ascii="Times New Roman" w:hAnsi="Times New Roman"/>
                <w:sz w:val="24"/>
                <w:szCs w:val="24"/>
              </w:rPr>
              <w:t xml:space="preserve"> послуг;</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навчально-методичними посібниками, спеціальною літературою щодо навчання та розвитку дітей з особливими освітніми потребами.</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Дане приміщення дає можливість забезпечити зонування кабінетів для надання психолого-педагогічних, </w:t>
            </w:r>
            <w:proofErr w:type="spellStart"/>
            <w:r w:rsidRPr="000C07D3">
              <w:rPr>
                <w:rFonts w:ascii="Times New Roman" w:hAnsi="Times New Roman"/>
                <w:sz w:val="24"/>
                <w:szCs w:val="24"/>
              </w:rPr>
              <w:t>корекційно-розвиткових</w:t>
            </w:r>
            <w:proofErr w:type="spellEnd"/>
            <w:r w:rsidRPr="000C07D3">
              <w:rPr>
                <w:rFonts w:ascii="Times New Roman" w:hAnsi="Times New Roman"/>
                <w:sz w:val="24"/>
                <w:szCs w:val="24"/>
              </w:rPr>
              <w:t xml:space="preserve"> послуг.</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Центр надає послуги дітям з особливими освітніми потребами, які проживають не лише на території міста Тернополя. Між Тернопільською міською радою укладено договори про міжбюджетний трансферт з </w:t>
            </w:r>
            <w:proofErr w:type="spellStart"/>
            <w:r w:rsidRPr="000C07D3">
              <w:rPr>
                <w:rFonts w:ascii="Times New Roman" w:hAnsi="Times New Roman"/>
                <w:sz w:val="24"/>
                <w:szCs w:val="24"/>
              </w:rPr>
              <w:t>Байковецькою</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Новосільською</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Підволочиською</w:t>
            </w:r>
            <w:proofErr w:type="spellEnd"/>
            <w:r w:rsidRPr="000C07D3">
              <w:rPr>
                <w:rFonts w:ascii="Times New Roman" w:hAnsi="Times New Roman"/>
                <w:sz w:val="24"/>
                <w:szCs w:val="24"/>
              </w:rPr>
              <w:t xml:space="preserve"> селищною радами щодо надання фахівцями </w:t>
            </w:r>
            <w:proofErr w:type="spellStart"/>
            <w:r w:rsidRPr="000C07D3">
              <w:rPr>
                <w:rFonts w:ascii="Times New Roman" w:hAnsi="Times New Roman"/>
                <w:sz w:val="24"/>
                <w:szCs w:val="24"/>
              </w:rPr>
              <w:t>КУ</w:t>
            </w:r>
            <w:proofErr w:type="spellEnd"/>
            <w:r w:rsidRPr="000C07D3">
              <w:rPr>
                <w:rFonts w:ascii="Times New Roman" w:hAnsi="Times New Roman"/>
                <w:sz w:val="24"/>
                <w:szCs w:val="24"/>
              </w:rPr>
              <w:t xml:space="preserve"> </w:t>
            </w:r>
            <w:r w:rsidRPr="000C07D3">
              <w:rPr>
                <w:rFonts w:ascii="Times New Roman" w:hAnsi="Times New Roman"/>
                <w:sz w:val="24"/>
                <w:szCs w:val="24"/>
              </w:rPr>
              <w:lastRenderedPageBreak/>
              <w:t xml:space="preserve">«ІРЦ№1» ТМР психолого-педагогічної допомоги та забезпечення системного кваліфікованого супроводження дітей з особливими освітніми потребами, які проживають на їхніх територіях. </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0"/>
              <w:gridCol w:w="2321"/>
              <w:gridCol w:w="2606"/>
              <w:gridCol w:w="2194"/>
            </w:tblGrid>
            <w:tr w:rsidR="00D25DF3" w:rsidRPr="000C07D3" w:rsidTr="00CC6239">
              <w:trPr>
                <w:trHeight w:val="736"/>
                <w:jc w:val="center"/>
              </w:trPr>
              <w:tc>
                <w:tcPr>
                  <w:tcW w:w="1480"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p>
              </w:tc>
              <w:tc>
                <w:tcPr>
                  <w:tcW w:w="2321"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b/>
                      <w:sz w:val="24"/>
                      <w:szCs w:val="24"/>
                    </w:rPr>
                  </w:pPr>
                  <w:proofErr w:type="spellStart"/>
                  <w:r w:rsidRPr="000C07D3">
                    <w:rPr>
                      <w:rFonts w:ascii="Times New Roman" w:hAnsi="Times New Roman"/>
                      <w:b/>
                      <w:sz w:val="24"/>
                      <w:szCs w:val="24"/>
                    </w:rPr>
                    <w:t>Підволочиська</w:t>
                  </w:r>
                  <w:proofErr w:type="spellEnd"/>
                  <w:r w:rsidRPr="000C07D3">
                    <w:rPr>
                      <w:rFonts w:ascii="Times New Roman" w:hAnsi="Times New Roman"/>
                      <w:b/>
                      <w:sz w:val="24"/>
                      <w:szCs w:val="24"/>
                    </w:rPr>
                    <w:t xml:space="preserve"> селищна рада</w:t>
                  </w:r>
                </w:p>
              </w:tc>
              <w:tc>
                <w:tcPr>
                  <w:tcW w:w="2606"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b/>
                      <w:sz w:val="24"/>
                      <w:szCs w:val="24"/>
                    </w:rPr>
                  </w:pPr>
                  <w:proofErr w:type="spellStart"/>
                  <w:r w:rsidRPr="000C07D3">
                    <w:rPr>
                      <w:rFonts w:ascii="Times New Roman" w:hAnsi="Times New Roman"/>
                      <w:b/>
                      <w:sz w:val="24"/>
                      <w:szCs w:val="24"/>
                    </w:rPr>
                    <w:t>Байковецька</w:t>
                  </w:r>
                  <w:proofErr w:type="spellEnd"/>
                  <w:r w:rsidRPr="000C07D3">
                    <w:rPr>
                      <w:rFonts w:ascii="Times New Roman" w:hAnsi="Times New Roman"/>
                      <w:b/>
                      <w:sz w:val="24"/>
                      <w:szCs w:val="24"/>
                    </w:rPr>
                    <w:t xml:space="preserve"> сільська рада</w:t>
                  </w:r>
                </w:p>
              </w:tc>
              <w:tc>
                <w:tcPr>
                  <w:tcW w:w="2194"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b/>
                      <w:sz w:val="24"/>
                      <w:szCs w:val="24"/>
                    </w:rPr>
                  </w:pPr>
                  <w:proofErr w:type="spellStart"/>
                  <w:r w:rsidRPr="000C07D3">
                    <w:rPr>
                      <w:rFonts w:ascii="Times New Roman" w:hAnsi="Times New Roman"/>
                      <w:b/>
                      <w:sz w:val="24"/>
                      <w:szCs w:val="24"/>
                    </w:rPr>
                    <w:t>Новосільська</w:t>
                  </w:r>
                  <w:proofErr w:type="spellEnd"/>
                  <w:r w:rsidRPr="000C07D3">
                    <w:rPr>
                      <w:rFonts w:ascii="Times New Roman" w:hAnsi="Times New Roman"/>
                      <w:b/>
                      <w:sz w:val="24"/>
                      <w:szCs w:val="24"/>
                    </w:rPr>
                    <w:t xml:space="preserve"> сільська рада</w:t>
                  </w:r>
                </w:p>
              </w:tc>
            </w:tr>
            <w:tr w:rsidR="00D25DF3" w:rsidRPr="000C07D3" w:rsidTr="00CC6239">
              <w:trPr>
                <w:trHeight w:val="208"/>
                <w:jc w:val="center"/>
              </w:trPr>
              <w:tc>
                <w:tcPr>
                  <w:tcW w:w="1480"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b/>
                      <w:sz w:val="24"/>
                      <w:szCs w:val="24"/>
                    </w:rPr>
                  </w:pPr>
                  <w:proofErr w:type="spellStart"/>
                  <w:r w:rsidRPr="000C07D3">
                    <w:rPr>
                      <w:rFonts w:ascii="Times New Roman" w:hAnsi="Times New Roman"/>
                      <w:b/>
                      <w:sz w:val="24"/>
                      <w:szCs w:val="24"/>
                    </w:rPr>
                    <w:t>к-ть</w:t>
                  </w:r>
                  <w:proofErr w:type="spellEnd"/>
                  <w:r w:rsidRPr="000C07D3">
                    <w:rPr>
                      <w:rFonts w:ascii="Times New Roman" w:hAnsi="Times New Roman"/>
                      <w:b/>
                      <w:sz w:val="24"/>
                      <w:szCs w:val="24"/>
                    </w:rPr>
                    <w:t xml:space="preserve"> дітей</w:t>
                  </w:r>
                </w:p>
              </w:tc>
              <w:tc>
                <w:tcPr>
                  <w:tcW w:w="2321"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15</w:t>
                  </w:r>
                </w:p>
              </w:tc>
              <w:tc>
                <w:tcPr>
                  <w:tcW w:w="2606"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37</w:t>
                  </w:r>
                </w:p>
              </w:tc>
              <w:tc>
                <w:tcPr>
                  <w:tcW w:w="2194"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2</w:t>
                  </w:r>
                </w:p>
              </w:tc>
            </w:tr>
            <w:tr w:rsidR="00D25DF3" w:rsidRPr="000C07D3" w:rsidTr="00CC6239">
              <w:trPr>
                <w:trHeight w:val="368"/>
                <w:jc w:val="center"/>
              </w:trPr>
              <w:tc>
                <w:tcPr>
                  <w:tcW w:w="1480"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b/>
                      <w:sz w:val="24"/>
                      <w:szCs w:val="24"/>
                    </w:rPr>
                  </w:pPr>
                  <w:r w:rsidRPr="000C07D3">
                    <w:rPr>
                      <w:rFonts w:ascii="Times New Roman" w:hAnsi="Times New Roman"/>
                      <w:b/>
                      <w:sz w:val="24"/>
                      <w:szCs w:val="24"/>
                    </w:rPr>
                    <w:t>сума</w:t>
                  </w:r>
                </w:p>
              </w:tc>
              <w:tc>
                <w:tcPr>
                  <w:tcW w:w="2321"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10095,75 </w:t>
                  </w:r>
                  <w:proofErr w:type="spellStart"/>
                  <w:r w:rsidRPr="000C07D3">
                    <w:rPr>
                      <w:rFonts w:ascii="Times New Roman" w:hAnsi="Times New Roman"/>
                      <w:sz w:val="24"/>
                      <w:szCs w:val="24"/>
                    </w:rPr>
                    <w:t>грн</w:t>
                  </w:r>
                  <w:proofErr w:type="spellEnd"/>
                </w:p>
              </w:tc>
              <w:tc>
                <w:tcPr>
                  <w:tcW w:w="2606"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5000, 00 </w:t>
                  </w:r>
                  <w:proofErr w:type="spellStart"/>
                  <w:r w:rsidRPr="000C07D3">
                    <w:rPr>
                      <w:rFonts w:ascii="Times New Roman" w:hAnsi="Times New Roman"/>
                      <w:sz w:val="24"/>
                      <w:szCs w:val="24"/>
                    </w:rPr>
                    <w:t>грн</w:t>
                  </w:r>
                  <w:proofErr w:type="spellEnd"/>
                </w:p>
              </w:tc>
              <w:tc>
                <w:tcPr>
                  <w:tcW w:w="2194" w:type="dxa"/>
                  <w:tcBorders>
                    <w:top w:val="single" w:sz="4" w:space="0" w:color="auto"/>
                    <w:left w:val="single" w:sz="4" w:space="0" w:color="auto"/>
                    <w:bottom w:val="single" w:sz="4" w:space="0" w:color="auto"/>
                    <w:right w:val="single" w:sz="4" w:space="0" w:color="auto"/>
                  </w:tcBorders>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1346,10</w:t>
                  </w:r>
                </w:p>
              </w:tc>
            </w:tr>
          </w:tbl>
          <w:p w:rsidR="00D25DF3" w:rsidRPr="000C07D3" w:rsidRDefault="00D25DF3" w:rsidP="00CC6239">
            <w:pPr>
              <w:rPr>
                <w:rFonts w:ascii="Times New Roman" w:hAnsi="Times New Roman"/>
                <w:sz w:val="24"/>
                <w:szCs w:val="24"/>
              </w:rPr>
            </w:pPr>
          </w:p>
        </w:tc>
        <w:tc>
          <w:tcPr>
            <w:tcW w:w="2976" w:type="dxa"/>
            <w:vMerge w:val="restart"/>
            <w:vAlign w:val="center"/>
          </w:tcPr>
          <w:p w:rsidR="00D25DF3" w:rsidRPr="000C07D3" w:rsidRDefault="00D25DF3" w:rsidP="00CC6239">
            <w:pPr>
              <w:rPr>
                <w:rFonts w:ascii="Times New Roman" w:hAnsi="Times New Roman"/>
                <w:sz w:val="24"/>
                <w:szCs w:val="24"/>
              </w:rPr>
            </w:pP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освіти і науки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Модернізація спеціальних місць в класних кімнатах для комфортного навчання учнів з особливими потребами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Модернізовано класні кімнати для комфортного навчання учнів з особливими освітніми потребами в умовах Нової української школи та здобувачів освіти, а саме: </w:t>
            </w:r>
            <w:proofErr w:type="spellStart"/>
            <w:r w:rsidRPr="000C07D3">
              <w:rPr>
                <w:rFonts w:ascii="Times New Roman" w:hAnsi="Times New Roman"/>
                <w:sz w:val="24"/>
                <w:szCs w:val="24"/>
              </w:rPr>
              <w:t>облаштовано</w:t>
            </w:r>
            <w:proofErr w:type="spellEnd"/>
            <w:r w:rsidRPr="000C07D3">
              <w:rPr>
                <w:rFonts w:ascii="Times New Roman" w:hAnsi="Times New Roman"/>
                <w:sz w:val="24"/>
                <w:szCs w:val="24"/>
              </w:rPr>
              <w:t xml:space="preserve"> комфортні відпочинкові зони; створено ресурсні кімнати, кабінети психолого-педагогічного розвантаження, кабінет дефектолога.</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Запровадження системи дистанційного навчання для учнів з особливими потребами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Навчання дітей з особливими освітніми потребами в закладах освіти  відбувається у формі змішаного навчання, а при потребі дистанційно.</w:t>
            </w:r>
          </w:p>
        </w:tc>
        <w:tc>
          <w:tcPr>
            <w:tcW w:w="2976" w:type="dxa"/>
            <w:vMerge/>
            <w:vAlign w:val="center"/>
          </w:tcPr>
          <w:p w:rsidR="00D25DF3" w:rsidRPr="000C07D3" w:rsidRDefault="00D25DF3" w:rsidP="00CC6239">
            <w:pPr>
              <w:rPr>
                <w:rFonts w:ascii="Times New Roman" w:hAnsi="Times New Roman"/>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sz w:val="24"/>
                <w:szCs w:val="24"/>
                <w:highlight w:val="yellow"/>
              </w:rPr>
            </w:pPr>
            <w:r w:rsidRPr="000C07D3">
              <w:rPr>
                <w:rFonts w:ascii="Times New Roman" w:hAnsi="Times New Roman"/>
                <w:b/>
                <w:sz w:val="24"/>
                <w:szCs w:val="24"/>
              </w:rPr>
              <w:t>C.2.3. Модернізація освітнього простору навчальних закладів та розширення мережі закладів дошкільної, загальної середньої та позашкільної освіти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highlight w:val="yellow"/>
              </w:rPr>
            </w:pPr>
            <w:r w:rsidRPr="000C07D3">
              <w:rPr>
                <w:rFonts w:ascii="Times New Roman" w:hAnsi="Times New Roman"/>
                <w:sz w:val="24"/>
                <w:szCs w:val="24"/>
              </w:rPr>
              <w:t>Облаштування закладів дошкільної освіти нового типу</w:t>
            </w:r>
          </w:p>
        </w:tc>
        <w:tc>
          <w:tcPr>
            <w:tcW w:w="8644" w:type="dxa"/>
            <w:vAlign w:val="center"/>
          </w:tcPr>
          <w:p w:rsidR="00D25DF3" w:rsidRPr="000C07D3" w:rsidRDefault="00D25DF3" w:rsidP="00CC6239">
            <w:pPr>
              <w:rPr>
                <w:rFonts w:ascii="Times New Roman" w:hAnsi="Times New Roman"/>
                <w:bCs/>
                <w:sz w:val="24"/>
                <w:szCs w:val="24"/>
              </w:rPr>
            </w:pPr>
            <w:proofErr w:type="spellStart"/>
            <w:r w:rsidRPr="000C07D3">
              <w:rPr>
                <w:rFonts w:ascii="Times New Roman" w:hAnsi="Times New Roman"/>
                <w:color w:val="000000"/>
                <w:sz w:val="24"/>
                <w:szCs w:val="24"/>
              </w:rPr>
              <w:t>Облаштувано</w:t>
            </w:r>
            <w:proofErr w:type="spellEnd"/>
            <w:r w:rsidRPr="000C07D3">
              <w:rPr>
                <w:rFonts w:ascii="Times New Roman" w:hAnsi="Times New Roman"/>
                <w:color w:val="000000"/>
                <w:sz w:val="24"/>
                <w:szCs w:val="24"/>
              </w:rPr>
              <w:t xml:space="preserve"> у 2020 році пісочницями з навісом ігрові майданчики дошкільних навчальних закладів  в кількості 38 штук (вартість 15526,36 грн.) на загальну вартість 589998,00 грн. </w:t>
            </w:r>
          </w:p>
        </w:tc>
        <w:tc>
          <w:tcPr>
            <w:tcW w:w="2976" w:type="dxa"/>
            <w:vMerge w:val="restart"/>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Управління освіти і науки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Відкриття навчальних закладів різної форми власності</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color w:val="000000"/>
                <w:sz w:val="24"/>
                <w:szCs w:val="24"/>
              </w:rPr>
              <w:t>Відкрито у 2020 році 14 інклюзивних груп та 4 інклюзивних класів. Виділено  1 024 337,00 грн. бюджетних коштів, з них на облаштування – 422 500,00 грн.</w:t>
            </w:r>
          </w:p>
        </w:tc>
        <w:tc>
          <w:tcPr>
            <w:tcW w:w="2976" w:type="dxa"/>
            <w:vMerge/>
            <w:vAlign w:val="center"/>
          </w:tcPr>
          <w:p w:rsidR="00D25DF3" w:rsidRPr="000C07D3" w:rsidRDefault="00D25DF3" w:rsidP="00CC6239">
            <w:pPr>
              <w:rPr>
                <w:rFonts w:ascii="Times New Roman" w:hAnsi="Times New Roman"/>
                <w:b/>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Облаштування спортивних, ігрових майданчиків у навчальних закладах</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 ЗДО №3 придбано споруди на 2 ігрових майданчики, у ЗДО №5 </w:t>
            </w:r>
            <w:proofErr w:type="spellStart"/>
            <w:r w:rsidRPr="000C07D3">
              <w:rPr>
                <w:rFonts w:ascii="Times New Roman" w:hAnsi="Times New Roman"/>
                <w:bCs/>
                <w:sz w:val="24"/>
                <w:szCs w:val="24"/>
              </w:rPr>
              <w:t>облаштований</w:t>
            </w:r>
            <w:proofErr w:type="spellEnd"/>
            <w:r w:rsidRPr="000C07D3">
              <w:rPr>
                <w:rFonts w:ascii="Times New Roman" w:hAnsi="Times New Roman"/>
                <w:bCs/>
                <w:sz w:val="24"/>
                <w:szCs w:val="24"/>
              </w:rPr>
              <w:t xml:space="preserve"> ігровий майданчик та частково поновлено споруди на ігрових майданчиках, у ЗДО № 14 частково </w:t>
            </w:r>
            <w:proofErr w:type="spellStart"/>
            <w:r w:rsidRPr="000C07D3">
              <w:rPr>
                <w:rFonts w:ascii="Times New Roman" w:hAnsi="Times New Roman"/>
                <w:bCs/>
                <w:sz w:val="24"/>
                <w:szCs w:val="24"/>
              </w:rPr>
              <w:t>облаштовано</w:t>
            </w:r>
            <w:proofErr w:type="spellEnd"/>
            <w:r w:rsidRPr="000C07D3">
              <w:rPr>
                <w:rFonts w:ascii="Times New Roman" w:hAnsi="Times New Roman"/>
                <w:bCs/>
                <w:sz w:val="24"/>
                <w:szCs w:val="24"/>
              </w:rPr>
              <w:t xml:space="preserve"> 4 ігрових майданчики, у ЗДО №10, 12, 13, 34  придбано одну пісочницю з кришкою, у ЗДО №15 </w:t>
            </w:r>
            <w:proofErr w:type="spellStart"/>
            <w:r w:rsidRPr="000C07D3">
              <w:rPr>
                <w:rFonts w:ascii="Times New Roman" w:hAnsi="Times New Roman"/>
                <w:bCs/>
                <w:sz w:val="24"/>
                <w:szCs w:val="24"/>
              </w:rPr>
              <w:t>облаштовано</w:t>
            </w:r>
            <w:proofErr w:type="spellEnd"/>
            <w:r w:rsidRPr="000C07D3">
              <w:rPr>
                <w:rFonts w:ascii="Times New Roman" w:hAnsi="Times New Roman"/>
                <w:bCs/>
                <w:sz w:val="24"/>
                <w:szCs w:val="24"/>
              </w:rPr>
              <w:t xml:space="preserve"> спортивний майданчик, у ЗДО № 33 повністю реконструйований спортивний майданчик, на ігрових майданчиках до 9 пісочниць зроблено кришки, у ЗДО №29 та №37 </w:t>
            </w:r>
            <w:r w:rsidRPr="000C07D3">
              <w:rPr>
                <w:rFonts w:ascii="Times New Roman" w:hAnsi="Times New Roman"/>
                <w:bCs/>
                <w:sz w:val="24"/>
                <w:szCs w:val="24"/>
              </w:rPr>
              <w:lastRenderedPageBreak/>
              <w:t>частково оновлено і замінено споруди на всіх ігрових майданчиках.</w:t>
            </w:r>
          </w:p>
        </w:tc>
        <w:tc>
          <w:tcPr>
            <w:tcW w:w="2976" w:type="dxa"/>
            <w:vMerge/>
            <w:vAlign w:val="center"/>
          </w:tcPr>
          <w:p w:rsidR="00D25DF3" w:rsidRPr="000C07D3" w:rsidRDefault="00D25DF3" w:rsidP="00CC6239">
            <w:pPr>
              <w:rPr>
                <w:rFonts w:ascii="Times New Roman" w:hAnsi="Times New Roman"/>
                <w:b/>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Оновлення сюжетно-рольових зон у закладах дошкільної освіти, створення нових гуртків, секцій тощо</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 2020-2021 навчальному році у ЗДО №15 створений гурток з образотворчого мистецтва, у ЗДО № 20 - гурток християнської етики, у ЗДО № 29 - танцювальний і гурток англійської мови.</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C.2.4. Реалізація спільних міжнародних проектів для учнів та педагогів</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Розробка проектів щодо співпраці з іноземними містами-партнерами та навчальними закладами громади з метою впровадження інновацій в освітній простір</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Учителі шкіл міста (№ 3, 6, 8, 28, 29, ТКГ, гімназія </w:t>
            </w:r>
            <w:proofErr w:type="spellStart"/>
            <w:r w:rsidRPr="000C07D3">
              <w:rPr>
                <w:rFonts w:ascii="Times New Roman" w:hAnsi="Times New Roman"/>
                <w:sz w:val="24"/>
                <w:szCs w:val="24"/>
              </w:rPr>
              <w:t>“Гармонія”</w:t>
            </w:r>
            <w:proofErr w:type="spellEnd"/>
            <w:r w:rsidRPr="000C07D3">
              <w:rPr>
                <w:rFonts w:ascii="Times New Roman" w:hAnsi="Times New Roman"/>
                <w:sz w:val="24"/>
                <w:szCs w:val="24"/>
              </w:rPr>
              <w:t xml:space="preserve">) залучені до загальноєвропейської освітньої програми </w:t>
            </w:r>
            <w:proofErr w:type="spellStart"/>
            <w:r w:rsidRPr="000C07D3">
              <w:rPr>
                <w:rFonts w:ascii="Times New Roman" w:hAnsi="Times New Roman"/>
                <w:sz w:val="24"/>
                <w:szCs w:val="24"/>
              </w:rPr>
              <w:t>eTwinning</w:t>
            </w:r>
            <w:proofErr w:type="spellEnd"/>
            <w:r w:rsidRPr="000C07D3">
              <w:rPr>
                <w:rFonts w:ascii="Times New Roman" w:hAnsi="Times New Roman"/>
                <w:sz w:val="24"/>
                <w:szCs w:val="24"/>
              </w:rPr>
              <w:t xml:space="preserve">, завдяки якій вони мають можливість налагодити контакти з педагогами європейських країн, планувати і реалізовувати спільні навчальні </w:t>
            </w:r>
            <w:proofErr w:type="spellStart"/>
            <w:r w:rsidRPr="000C07D3">
              <w:rPr>
                <w:rFonts w:ascii="Times New Roman" w:hAnsi="Times New Roman"/>
                <w:sz w:val="24"/>
                <w:szCs w:val="24"/>
              </w:rPr>
              <w:t>проєкти</w:t>
            </w:r>
            <w:proofErr w:type="spellEnd"/>
            <w:r w:rsidRPr="000C07D3">
              <w:rPr>
                <w:rFonts w:ascii="Times New Roman" w:hAnsi="Times New Roman"/>
                <w:sz w:val="24"/>
                <w:szCs w:val="24"/>
              </w:rPr>
              <w:t xml:space="preserve">. Учні отримують навички співпраці в команді, комунікативні та багато інших </w:t>
            </w:r>
            <w:proofErr w:type="spellStart"/>
            <w:r w:rsidRPr="000C07D3">
              <w:rPr>
                <w:rFonts w:ascii="Times New Roman" w:hAnsi="Times New Roman"/>
                <w:sz w:val="24"/>
                <w:szCs w:val="24"/>
              </w:rPr>
              <w:t>трансверсальних</w:t>
            </w:r>
            <w:proofErr w:type="spellEnd"/>
            <w:r w:rsidRPr="000C07D3">
              <w:rPr>
                <w:rFonts w:ascii="Times New Roman" w:hAnsi="Times New Roman"/>
                <w:sz w:val="24"/>
                <w:szCs w:val="24"/>
              </w:rPr>
              <w:t xml:space="preserve"> навичок. Результатом роботи вчителів та учнів є отримання ними Європейської Відзнаки Якості.</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ТСШ № 3 співпрацює з Міжнародним університетом LCC з </w:t>
            </w:r>
            <w:proofErr w:type="spellStart"/>
            <w:r w:rsidRPr="000C07D3">
              <w:rPr>
                <w:rFonts w:ascii="Times New Roman" w:hAnsi="Times New Roman"/>
                <w:sz w:val="24"/>
                <w:szCs w:val="24"/>
              </w:rPr>
              <w:t>м.Клайпеда</w:t>
            </w:r>
            <w:proofErr w:type="spellEnd"/>
            <w:r w:rsidRPr="000C07D3">
              <w:rPr>
                <w:rFonts w:ascii="Times New Roman" w:hAnsi="Times New Roman"/>
                <w:sz w:val="24"/>
                <w:szCs w:val="24"/>
              </w:rPr>
              <w:t>, Литва. Щороку представники університету організовують для учнів 10-11-х класів TOEFL або IELTS тестування.</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Тернопільська класична гімназія уклала угоду з Гете-інститутом-Україна та упродовж кількох років бере активну участь у міжнародному </w:t>
            </w:r>
            <w:proofErr w:type="spellStart"/>
            <w:r w:rsidRPr="000C07D3">
              <w:rPr>
                <w:rFonts w:ascii="Times New Roman" w:hAnsi="Times New Roman"/>
                <w:sz w:val="24"/>
                <w:szCs w:val="24"/>
              </w:rPr>
              <w:t>проєкті</w:t>
            </w:r>
            <w:proofErr w:type="spellEnd"/>
            <w:r w:rsidRPr="000C07D3">
              <w:rPr>
                <w:rFonts w:ascii="Times New Roman" w:hAnsi="Times New Roman"/>
                <w:sz w:val="24"/>
                <w:szCs w:val="24"/>
              </w:rPr>
              <w:t xml:space="preserve"> «Школи: партнери майбутнього» і у різноманітних </w:t>
            </w:r>
            <w:proofErr w:type="spellStart"/>
            <w:r w:rsidRPr="000C07D3">
              <w:rPr>
                <w:rFonts w:ascii="Times New Roman" w:hAnsi="Times New Roman"/>
                <w:sz w:val="24"/>
                <w:szCs w:val="24"/>
              </w:rPr>
              <w:t>проєктах</w:t>
            </w:r>
            <w:proofErr w:type="spellEnd"/>
            <w:r w:rsidRPr="000C07D3">
              <w:rPr>
                <w:rFonts w:ascii="Times New Roman" w:hAnsi="Times New Roman"/>
                <w:sz w:val="24"/>
                <w:szCs w:val="24"/>
              </w:rPr>
              <w:t xml:space="preserve">, конкурсах, </w:t>
            </w:r>
            <w:proofErr w:type="spellStart"/>
            <w:r w:rsidRPr="000C07D3">
              <w:rPr>
                <w:rFonts w:ascii="Times New Roman" w:hAnsi="Times New Roman"/>
                <w:sz w:val="24"/>
                <w:szCs w:val="24"/>
              </w:rPr>
              <w:t>воркшопах</w:t>
            </w:r>
            <w:proofErr w:type="spellEnd"/>
            <w:r w:rsidRPr="000C07D3">
              <w:rPr>
                <w:rFonts w:ascii="Times New Roman" w:hAnsi="Times New Roman"/>
                <w:sz w:val="24"/>
                <w:szCs w:val="24"/>
              </w:rPr>
              <w:t>, концертах німецьких груп, музикантів, виставках.</w:t>
            </w:r>
          </w:p>
          <w:p w:rsidR="00D25DF3" w:rsidRPr="000C07D3" w:rsidRDefault="00D25DF3" w:rsidP="00CC6239">
            <w:pPr>
              <w:rPr>
                <w:rFonts w:ascii="Times New Roman" w:hAnsi="Times New Roman"/>
                <w:sz w:val="24"/>
                <w:szCs w:val="24"/>
              </w:rPr>
            </w:pPr>
            <w:r w:rsidRPr="000C07D3">
              <w:rPr>
                <w:rFonts w:ascii="Times New Roman" w:hAnsi="Times New Roman"/>
                <w:sz w:val="24"/>
                <w:szCs w:val="24"/>
              </w:rPr>
              <w:t xml:space="preserve">Галицький коледж співпрацює з освітніми закладами м. </w:t>
            </w:r>
            <w:proofErr w:type="spellStart"/>
            <w:r w:rsidRPr="000C07D3">
              <w:rPr>
                <w:rFonts w:ascii="Times New Roman" w:hAnsi="Times New Roman"/>
                <w:sz w:val="24"/>
                <w:szCs w:val="24"/>
              </w:rPr>
              <w:t>Збоншинь</w:t>
            </w:r>
            <w:proofErr w:type="spellEnd"/>
            <w:r w:rsidRPr="000C07D3">
              <w:rPr>
                <w:rFonts w:ascii="Times New Roman" w:hAnsi="Times New Roman"/>
                <w:sz w:val="24"/>
                <w:szCs w:val="24"/>
              </w:rPr>
              <w:t xml:space="preserve">  (Польща), та м. Верден (Німеччина), в рамках проєкту </w:t>
            </w:r>
            <w:proofErr w:type="spellStart"/>
            <w:r w:rsidRPr="000C07D3">
              <w:rPr>
                <w:rFonts w:ascii="Times New Roman" w:hAnsi="Times New Roman"/>
                <w:sz w:val="24"/>
                <w:szCs w:val="24"/>
              </w:rPr>
              <w:t>“Через</w:t>
            </w:r>
            <w:proofErr w:type="spellEnd"/>
            <w:r w:rsidRPr="000C07D3">
              <w:rPr>
                <w:rFonts w:ascii="Times New Roman" w:hAnsi="Times New Roman"/>
                <w:sz w:val="24"/>
                <w:szCs w:val="24"/>
              </w:rPr>
              <w:t xml:space="preserve"> шлунок до спільної Європи без </w:t>
            </w:r>
            <w:proofErr w:type="spellStart"/>
            <w:r w:rsidRPr="000C07D3">
              <w:rPr>
                <w:rFonts w:ascii="Times New Roman" w:hAnsi="Times New Roman"/>
                <w:sz w:val="24"/>
                <w:szCs w:val="24"/>
              </w:rPr>
              <w:t>кордонів”</w:t>
            </w:r>
            <w:proofErr w:type="spellEnd"/>
            <w:r w:rsidRPr="000C07D3">
              <w:rPr>
                <w:rFonts w:ascii="Times New Roman" w:hAnsi="Times New Roman"/>
                <w:sz w:val="24"/>
                <w:szCs w:val="24"/>
              </w:rPr>
              <w:t>.</w:t>
            </w:r>
          </w:p>
          <w:p w:rsidR="00D25DF3" w:rsidRPr="000C07D3" w:rsidRDefault="00D25DF3" w:rsidP="00CC6239">
            <w:pPr>
              <w:rPr>
                <w:rFonts w:ascii="Times New Roman" w:hAnsi="Times New Roman"/>
                <w:bCs/>
                <w:sz w:val="24"/>
                <w:szCs w:val="24"/>
              </w:rPr>
            </w:pPr>
            <w:r w:rsidRPr="000C07D3">
              <w:rPr>
                <w:rFonts w:ascii="Times New Roman" w:hAnsi="Times New Roman"/>
                <w:sz w:val="24"/>
                <w:szCs w:val="24"/>
              </w:rPr>
              <w:t xml:space="preserve">ТЗОШ № 4 взяла участь в </w:t>
            </w:r>
            <w:proofErr w:type="spellStart"/>
            <w:r w:rsidRPr="000C07D3">
              <w:rPr>
                <w:rFonts w:ascii="Times New Roman" w:hAnsi="Times New Roman"/>
                <w:sz w:val="24"/>
                <w:szCs w:val="24"/>
              </w:rPr>
              <w:t>проєкті</w:t>
            </w:r>
            <w:proofErr w:type="spellEnd"/>
            <w:r w:rsidRPr="000C07D3">
              <w:rPr>
                <w:rFonts w:ascii="Times New Roman" w:hAnsi="Times New Roman"/>
                <w:sz w:val="24"/>
                <w:szCs w:val="24"/>
              </w:rPr>
              <w:t xml:space="preserve"> «Демократична школа». Програму реалізовує </w:t>
            </w:r>
            <w:hyperlink r:id="rId4" w:tgtFrame="_blank" w:history="1">
              <w:r w:rsidRPr="000C07D3">
                <w:rPr>
                  <w:rStyle w:val="a3"/>
                  <w:rFonts w:ascii="Times New Roman" w:hAnsi="Times New Roman"/>
                  <w:sz w:val="24"/>
                  <w:szCs w:val="24"/>
                </w:rPr>
                <w:t xml:space="preserve">Європейський центр ім. </w:t>
              </w:r>
              <w:proofErr w:type="spellStart"/>
              <w:r w:rsidRPr="000C07D3">
                <w:rPr>
                  <w:rStyle w:val="a3"/>
                  <w:rFonts w:ascii="Times New Roman" w:hAnsi="Times New Roman"/>
                  <w:sz w:val="24"/>
                  <w:szCs w:val="24"/>
                </w:rPr>
                <w:t>Вергеланда</w:t>
              </w:r>
              <w:proofErr w:type="spellEnd"/>
            </w:hyperlink>
            <w:r w:rsidRPr="000C07D3">
              <w:rPr>
                <w:rFonts w:ascii="Times New Roman" w:hAnsi="Times New Roman"/>
                <w:sz w:val="24"/>
                <w:szCs w:val="24"/>
              </w:rPr>
              <w:t xml:space="preserve"> (Осло, Норвегія) за підтримки Міністерства закордонних справ </w:t>
            </w:r>
            <w:proofErr w:type="spellStart"/>
            <w:r w:rsidRPr="000C07D3">
              <w:rPr>
                <w:rFonts w:ascii="Times New Roman" w:hAnsi="Times New Roman"/>
                <w:sz w:val="24"/>
                <w:szCs w:val="24"/>
              </w:rPr>
              <w:t>Норвегії</w:t>
            </w:r>
            <w:proofErr w:type="spellEnd"/>
            <w:r w:rsidRPr="000C07D3">
              <w:rPr>
                <w:rFonts w:ascii="Times New Roman" w:hAnsi="Times New Roman"/>
                <w:sz w:val="24"/>
                <w:szCs w:val="24"/>
              </w:rPr>
              <w:t xml:space="preserve"> у співпраці з </w:t>
            </w:r>
            <w:hyperlink r:id="rId5" w:tgtFrame="_blank" w:history="1">
              <w:r w:rsidRPr="000C07D3">
                <w:rPr>
                  <w:rStyle w:val="a3"/>
                  <w:rFonts w:ascii="Times New Roman" w:hAnsi="Times New Roman"/>
                  <w:sz w:val="24"/>
                  <w:szCs w:val="24"/>
                </w:rPr>
                <w:t>Міністерством освіти і науки України</w:t>
              </w:r>
            </w:hyperlink>
            <w:r w:rsidRPr="000C07D3">
              <w:rPr>
                <w:rFonts w:ascii="Times New Roman" w:hAnsi="Times New Roman"/>
                <w:sz w:val="24"/>
                <w:szCs w:val="24"/>
              </w:rPr>
              <w:t xml:space="preserve">, </w:t>
            </w:r>
            <w:hyperlink r:id="rId6" w:tgtFrame="_blank" w:history="1">
              <w:r w:rsidRPr="000C07D3">
                <w:rPr>
                  <w:rStyle w:val="a3"/>
                  <w:rFonts w:ascii="Times New Roman" w:hAnsi="Times New Roman"/>
                  <w:sz w:val="24"/>
                  <w:szCs w:val="24"/>
                </w:rPr>
                <w:t>Радою Європи</w:t>
              </w:r>
            </w:hyperlink>
            <w:r w:rsidRPr="000C07D3">
              <w:rPr>
                <w:rFonts w:ascii="Times New Roman" w:hAnsi="Times New Roman"/>
                <w:sz w:val="24"/>
                <w:szCs w:val="24"/>
              </w:rPr>
              <w:t>, БО «</w:t>
            </w:r>
            <w:hyperlink r:id="rId7" w:tgtFrame="_blank" w:history="1">
              <w:r w:rsidRPr="000C07D3">
                <w:rPr>
                  <w:rStyle w:val="a3"/>
                  <w:rFonts w:ascii="Times New Roman" w:hAnsi="Times New Roman"/>
                  <w:sz w:val="24"/>
                  <w:szCs w:val="24"/>
                </w:rPr>
                <w:t>Центр освітніх ініціатив</w:t>
              </w:r>
            </w:hyperlink>
            <w:r w:rsidRPr="000C07D3">
              <w:rPr>
                <w:rFonts w:ascii="Times New Roman" w:hAnsi="Times New Roman"/>
                <w:sz w:val="24"/>
                <w:szCs w:val="24"/>
              </w:rPr>
              <w:t xml:space="preserve">» та </w:t>
            </w:r>
            <w:hyperlink r:id="rId8" w:tgtFrame="_blank" w:history="1">
              <w:proofErr w:type="spellStart"/>
              <w:r w:rsidRPr="000C07D3">
                <w:rPr>
                  <w:rStyle w:val="a3"/>
                  <w:rFonts w:ascii="Times New Roman" w:hAnsi="Times New Roman"/>
                  <w:sz w:val="24"/>
                  <w:szCs w:val="24"/>
                </w:rPr>
                <w:t>ІСАР</w:t>
              </w:r>
              <w:proofErr w:type="spellEnd"/>
              <w:r w:rsidRPr="000C07D3">
                <w:rPr>
                  <w:rStyle w:val="a3"/>
                  <w:rFonts w:ascii="Times New Roman" w:hAnsi="Times New Roman"/>
                  <w:sz w:val="24"/>
                  <w:szCs w:val="24"/>
                </w:rPr>
                <w:t> «Єднання</w:t>
              </w:r>
            </w:hyperlink>
            <w:r w:rsidRPr="000C07D3">
              <w:rPr>
                <w:rFonts w:ascii="Times New Roman" w:hAnsi="Times New Roman"/>
                <w:sz w:val="24"/>
                <w:szCs w:val="24"/>
              </w:rPr>
              <w:t xml:space="preserve">». Учасники тренінгу пригадали основні засади «Демократичної школи», отримали нові поради та рекомендації щодо запровадження ідей проєкту та найголовніше, глибоко проаналізували траєкторію розвитку школи з обраних напрямків. </w:t>
            </w:r>
            <w:proofErr w:type="spellStart"/>
            <w:r w:rsidRPr="000C07D3">
              <w:rPr>
                <w:rFonts w:ascii="Times New Roman" w:hAnsi="Times New Roman"/>
                <w:sz w:val="24"/>
                <w:szCs w:val="24"/>
              </w:rPr>
              <w:lastRenderedPageBreak/>
              <w:t>Імплеметація</w:t>
            </w:r>
            <w:proofErr w:type="spellEnd"/>
            <w:r w:rsidRPr="000C07D3">
              <w:rPr>
                <w:rFonts w:ascii="Times New Roman" w:hAnsi="Times New Roman"/>
                <w:sz w:val="24"/>
                <w:szCs w:val="24"/>
              </w:rPr>
              <w:t xml:space="preserve"> посібників, створення документу «Правила школяра» та служби медіації, запровадження тренінгів з вирішення конфліктних ситуацій у школі.</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sz w:val="24"/>
                <w:szCs w:val="24"/>
              </w:rPr>
              <w:lastRenderedPageBreak/>
              <w:t>Управління освіти і науки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навчання і стажування учнів, студентів, вчителів, викладачів за кордоном, налагодження контактів в даній сфері</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Завдяки міжнародній програмі </w:t>
            </w:r>
            <w:proofErr w:type="spellStart"/>
            <w:r w:rsidRPr="000C07D3">
              <w:rPr>
                <w:rFonts w:ascii="Times New Roman" w:hAnsi="Times New Roman"/>
                <w:bCs/>
                <w:sz w:val="24"/>
                <w:szCs w:val="24"/>
              </w:rPr>
              <w:t>Ukraine</w:t>
            </w:r>
            <w:proofErr w:type="spellEnd"/>
            <w:r w:rsidRPr="000C07D3">
              <w:rPr>
                <w:rFonts w:ascii="Times New Roman" w:hAnsi="Times New Roman"/>
                <w:bCs/>
                <w:sz w:val="24"/>
                <w:szCs w:val="24"/>
              </w:rPr>
              <w:t xml:space="preserve"> </w:t>
            </w:r>
            <w:proofErr w:type="spellStart"/>
            <w:r w:rsidRPr="000C07D3">
              <w:rPr>
                <w:rFonts w:ascii="Times New Roman" w:hAnsi="Times New Roman"/>
                <w:bCs/>
                <w:sz w:val="24"/>
                <w:szCs w:val="24"/>
              </w:rPr>
              <w:t>Global</w:t>
            </w:r>
            <w:proofErr w:type="spellEnd"/>
            <w:r w:rsidRPr="000C07D3">
              <w:rPr>
                <w:rFonts w:ascii="Times New Roman" w:hAnsi="Times New Roman"/>
                <w:bCs/>
                <w:sz w:val="24"/>
                <w:szCs w:val="24"/>
              </w:rPr>
              <w:t xml:space="preserve"> </w:t>
            </w:r>
            <w:proofErr w:type="spellStart"/>
            <w:r w:rsidRPr="000C07D3">
              <w:rPr>
                <w:rFonts w:ascii="Times New Roman" w:hAnsi="Times New Roman"/>
                <w:bCs/>
                <w:sz w:val="24"/>
                <w:szCs w:val="24"/>
              </w:rPr>
              <w:t>Scholars</w:t>
            </w:r>
            <w:proofErr w:type="spellEnd"/>
            <w:r w:rsidRPr="000C07D3">
              <w:rPr>
                <w:rFonts w:ascii="Times New Roman" w:hAnsi="Times New Roman"/>
                <w:bCs/>
                <w:sz w:val="24"/>
                <w:szCs w:val="24"/>
              </w:rPr>
              <w:t xml:space="preserve"> (UGS) випускниці ТСШ № 3 Прокопів С., </w:t>
            </w:r>
            <w:proofErr w:type="spellStart"/>
            <w:r w:rsidRPr="000C07D3">
              <w:rPr>
                <w:rFonts w:ascii="Times New Roman" w:hAnsi="Times New Roman"/>
                <w:bCs/>
                <w:sz w:val="24"/>
                <w:szCs w:val="24"/>
              </w:rPr>
              <w:t>Базюк</w:t>
            </w:r>
            <w:proofErr w:type="spellEnd"/>
            <w:r w:rsidRPr="000C07D3">
              <w:rPr>
                <w:rFonts w:ascii="Times New Roman" w:hAnsi="Times New Roman"/>
                <w:bCs/>
                <w:sz w:val="24"/>
                <w:szCs w:val="24"/>
              </w:rPr>
              <w:t xml:space="preserve"> М., Савка О. отримали можливість навчатись у найкращих університетах світу.</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Вчителі та учні Тернополя налагодили контакти щодо участі у семінарах в Німеччині, де підвищують свій кваліфікаційний рівень, отримують досвід та удосконалюють свої вміння і навички.</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sz w:val="24"/>
                <w:szCs w:val="24"/>
              </w:rPr>
              <w:t>C.2.5. Організація диференційованого профільного навчання та проведення профорієнтаційної роботи серед молоді громади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Запровадження вивчення профільних предметів та курсів за вибором з метою подальшого вибору майбутньої професії</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З метою належної і якісної організації та проведення зовнішньо-шкільної профілізації у старшій школі та </w:t>
            </w:r>
            <w:proofErr w:type="spellStart"/>
            <w:r w:rsidRPr="000C07D3">
              <w:rPr>
                <w:rFonts w:ascii="Times New Roman" w:hAnsi="Times New Roman"/>
                <w:bCs/>
                <w:sz w:val="24"/>
                <w:szCs w:val="24"/>
              </w:rPr>
              <w:t>допрофільної</w:t>
            </w:r>
            <w:proofErr w:type="spellEnd"/>
            <w:r w:rsidRPr="000C07D3">
              <w:rPr>
                <w:rFonts w:ascii="Times New Roman" w:hAnsi="Times New Roman"/>
                <w:bCs/>
                <w:sz w:val="24"/>
                <w:szCs w:val="24"/>
              </w:rPr>
              <w:t xml:space="preserve"> підготовки учнів основної школи, забезпечення професійної орієнтації учнів на майбутню діяльність на базі Галицького коледжу імені В’ячеслава Чорновола управлінням освіти і науки організовано роботу центру міжшкільного профільного навчання (наказ управління освіти і науки Тернопільської міської ради від 09.10.2020 № 299).</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sz w:val="24"/>
                <w:szCs w:val="24"/>
              </w:rPr>
              <w:t>Управління освіти і науки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спільно з міським центром зайнятості регулярних профорієнтаційних зустрічей з учнями старших класів</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Заклади освіти здійснюють систематичну співпрацю з </w:t>
            </w:r>
            <w:r w:rsidRPr="000C07D3">
              <w:rPr>
                <w:rFonts w:ascii="Times New Roman" w:hAnsi="Times New Roman"/>
                <w:sz w:val="24"/>
                <w:szCs w:val="24"/>
              </w:rPr>
              <w:t xml:space="preserve">міським центром зайнятості щодо профорієнтації школярів у вигляді профорієнтаційних зустрічей, </w:t>
            </w:r>
            <w:proofErr w:type="spellStart"/>
            <w:r w:rsidRPr="000C07D3">
              <w:rPr>
                <w:rFonts w:ascii="Times New Roman" w:hAnsi="Times New Roman"/>
                <w:sz w:val="24"/>
                <w:szCs w:val="24"/>
              </w:rPr>
              <w:t>профдіагностики</w:t>
            </w:r>
            <w:proofErr w:type="spellEnd"/>
            <w:r w:rsidRPr="000C07D3">
              <w:rPr>
                <w:rFonts w:ascii="Times New Roman" w:hAnsi="Times New Roman"/>
                <w:sz w:val="24"/>
                <w:szCs w:val="24"/>
              </w:rPr>
              <w:t xml:space="preserve"> на базі центру зайнятості, профорієнтаційних уроків та ін.</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Відвідування учнями старших класів підприємств, організацій, державних установ громади, що зацікавлені у наборі працівників відповідних професій</w:t>
            </w:r>
          </w:p>
        </w:tc>
        <w:tc>
          <w:tcPr>
            <w:tcW w:w="8644" w:type="dxa"/>
            <w:vAlign w:val="center"/>
          </w:tcPr>
          <w:p w:rsidR="00D25DF3" w:rsidRPr="000C07D3" w:rsidRDefault="00D25DF3" w:rsidP="00CC6239">
            <w:pPr>
              <w:jc w:val="both"/>
              <w:rPr>
                <w:rFonts w:ascii="Times New Roman" w:hAnsi="Times New Roman"/>
                <w:bCs/>
                <w:color w:val="000000" w:themeColor="text1"/>
                <w:sz w:val="24"/>
                <w:szCs w:val="24"/>
              </w:rPr>
            </w:pPr>
            <w:r w:rsidRPr="000C07D3">
              <w:rPr>
                <w:rFonts w:ascii="Times New Roman" w:hAnsi="Times New Roman"/>
                <w:bCs/>
                <w:sz w:val="24"/>
                <w:szCs w:val="24"/>
              </w:rPr>
              <w:t xml:space="preserve">У травні 2020 року спільно з ТНПУ, КПНЗ «Київська мала академія наук учнівської молоді»   було проведено Всеукраїнську науково-практичну онлайн </w:t>
            </w:r>
            <w:r w:rsidRPr="000C07D3">
              <w:rPr>
                <w:rFonts w:ascii="Times New Roman" w:hAnsi="Times New Roman"/>
                <w:bCs/>
                <w:color w:val="000000" w:themeColor="text1"/>
                <w:sz w:val="24"/>
                <w:szCs w:val="24"/>
              </w:rPr>
              <w:t>конференцію учнівської та студентської молоді «Шлях у науку: перші кроки».</w:t>
            </w:r>
          </w:p>
          <w:p w:rsidR="00D25DF3" w:rsidRPr="000C07D3" w:rsidRDefault="00D25DF3" w:rsidP="00CC6239">
            <w:pPr>
              <w:rPr>
                <w:rFonts w:ascii="Times New Roman" w:hAnsi="Times New Roman"/>
                <w:bCs/>
                <w:sz w:val="24"/>
                <w:szCs w:val="24"/>
              </w:rPr>
            </w:pPr>
            <w:r w:rsidRPr="000C07D3">
              <w:rPr>
                <w:rFonts w:ascii="Times New Roman" w:hAnsi="Times New Roman"/>
                <w:bCs/>
                <w:color w:val="000000" w:themeColor="text1"/>
                <w:sz w:val="24"/>
                <w:szCs w:val="24"/>
                <w:shd w:val="clear" w:color="auto" w:fill="FFFFFF" w:themeFill="background1"/>
              </w:rPr>
              <w:t>У травні 2020 року учні Тернопільських шкіл відвідали фестиваль професій «</w:t>
            </w:r>
            <w:proofErr w:type="spellStart"/>
            <w:r w:rsidRPr="000C07D3">
              <w:rPr>
                <w:rFonts w:ascii="Times New Roman" w:hAnsi="Times New Roman"/>
                <w:bCs/>
                <w:color w:val="000000" w:themeColor="text1"/>
                <w:sz w:val="24"/>
                <w:szCs w:val="24"/>
                <w:shd w:val="clear" w:color="auto" w:fill="FFFFFF" w:themeFill="background1"/>
              </w:rPr>
              <w:t>Онлайн-гостини</w:t>
            </w:r>
            <w:proofErr w:type="spellEnd"/>
            <w:r w:rsidRPr="000C07D3">
              <w:rPr>
                <w:rFonts w:ascii="Times New Roman" w:hAnsi="Times New Roman"/>
                <w:bCs/>
                <w:color w:val="000000" w:themeColor="text1"/>
                <w:sz w:val="24"/>
                <w:szCs w:val="24"/>
                <w:shd w:val="clear" w:color="auto" w:fill="FFFFFF" w:themeFill="background1"/>
              </w:rPr>
              <w:t xml:space="preserve"> в ТНПУ» та День відкритих дверей ЗУНУ.</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Щорічне проведення заходу «Ярмарок вакансій»</w:t>
            </w:r>
          </w:p>
        </w:tc>
        <w:tc>
          <w:tcPr>
            <w:tcW w:w="8644" w:type="dxa"/>
            <w:vAlign w:val="center"/>
          </w:tcPr>
          <w:p w:rsidR="00D25DF3" w:rsidRPr="000C07D3" w:rsidRDefault="00D25DF3" w:rsidP="00CC6239">
            <w:pPr>
              <w:jc w:val="both"/>
              <w:rPr>
                <w:rFonts w:ascii="Times New Roman" w:hAnsi="Times New Roman"/>
                <w:bCs/>
                <w:sz w:val="24"/>
                <w:szCs w:val="24"/>
              </w:rPr>
            </w:pPr>
            <w:r w:rsidRPr="000C07D3">
              <w:rPr>
                <w:rFonts w:ascii="Times New Roman" w:hAnsi="Times New Roman"/>
                <w:bCs/>
                <w:sz w:val="24"/>
                <w:szCs w:val="24"/>
              </w:rPr>
              <w:t>Щорічний захід «Ярмарок вакансій» перенесений у зв’язку з пандемією.</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 лютому 2020 року було проведено ІІ міську альтернативну олімпіаду «Обираю професію» для учнів 9 класів ЗЗСО на базі закладів професійно-технічної освіти м. Тернополя. Учні  на практиці знайомилися зі спеціальностями «дизайнер </w:t>
            </w:r>
            <w:r w:rsidRPr="000C07D3">
              <w:rPr>
                <w:rFonts w:ascii="Times New Roman" w:hAnsi="Times New Roman"/>
                <w:bCs/>
                <w:sz w:val="24"/>
                <w:szCs w:val="24"/>
              </w:rPr>
              <w:lastRenderedPageBreak/>
              <w:t xml:space="preserve">одягу», «перукар», «флорист», комп’ютерні науки». Викладачі та студенти ЗПТО  показали учасникам майстер-класи з моделювання зачісок, виготовлення квіткових композицій та </w:t>
            </w:r>
            <w:proofErr w:type="spellStart"/>
            <w:r w:rsidRPr="000C07D3">
              <w:rPr>
                <w:rFonts w:ascii="Times New Roman" w:hAnsi="Times New Roman"/>
                <w:bCs/>
                <w:sz w:val="24"/>
                <w:szCs w:val="24"/>
              </w:rPr>
              <w:t>фоторамок</w:t>
            </w:r>
            <w:proofErr w:type="spellEnd"/>
            <w:r w:rsidRPr="000C07D3">
              <w:rPr>
                <w:rFonts w:ascii="Times New Roman" w:hAnsi="Times New Roman"/>
                <w:bCs/>
                <w:sz w:val="24"/>
                <w:szCs w:val="24"/>
              </w:rPr>
              <w:t xml:space="preserve">, оздоблення головних уборів аксесуарами, змодельованими та виготовленими власноруч, в ході яких 9-класники мали змогу </w:t>
            </w:r>
            <w:proofErr w:type="spellStart"/>
            <w:r w:rsidRPr="000C07D3">
              <w:rPr>
                <w:rFonts w:ascii="Times New Roman" w:hAnsi="Times New Roman"/>
                <w:bCs/>
                <w:sz w:val="24"/>
                <w:szCs w:val="24"/>
              </w:rPr>
              <w:t>повправлятися</w:t>
            </w:r>
            <w:proofErr w:type="spellEnd"/>
            <w:r w:rsidRPr="000C07D3">
              <w:rPr>
                <w:rFonts w:ascii="Times New Roman" w:hAnsi="Times New Roman"/>
                <w:bCs/>
                <w:sz w:val="24"/>
                <w:szCs w:val="24"/>
              </w:rPr>
              <w:t xml:space="preserve"> у вказаних уміннях, а також спробувати себе у професії </w:t>
            </w:r>
            <w:proofErr w:type="spellStart"/>
            <w:r w:rsidRPr="000C07D3">
              <w:rPr>
                <w:rFonts w:ascii="Times New Roman" w:hAnsi="Times New Roman"/>
                <w:bCs/>
                <w:sz w:val="24"/>
                <w:szCs w:val="24"/>
              </w:rPr>
              <w:t>ІТ-спеціаліста</w:t>
            </w:r>
            <w:proofErr w:type="spellEnd"/>
            <w:r w:rsidRPr="000C07D3">
              <w:rPr>
                <w:rFonts w:ascii="Times New Roman" w:hAnsi="Times New Roman"/>
                <w:bCs/>
                <w:sz w:val="24"/>
                <w:szCs w:val="24"/>
              </w:rPr>
              <w:t xml:space="preserve">.  </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lastRenderedPageBreak/>
              <w:t>Стратегічна ціль С.3. Ефективний соціальний захист населення</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С.3.1. Багатостороння підтримка соціально вразливих верств населення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Професійна та трудова реабілітація соціально вразливих верств населення</w:t>
            </w:r>
          </w:p>
        </w:tc>
        <w:tc>
          <w:tcPr>
            <w:tcW w:w="8644" w:type="dxa"/>
            <w:vAlign w:val="center"/>
          </w:tcPr>
          <w:p w:rsidR="00D25DF3" w:rsidRPr="000C07D3" w:rsidRDefault="00D25DF3" w:rsidP="00CC6239">
            <w:pPr>
              <w:rPr>
                <w:rFonts w:ascii="Times New Roman" w:hAnsi="Times New Roman"/>
                <w:bCs/>
                <w:sz w:val="24"/>
                <w:szCs w:val="24"/>
              </w:rPr>
            </w:pPr>
            <w:hyperlink r:id="rId9" w:history="1">
              <w:r w:rsidRPr="000C07D3">
                <w:rPr>
                  <w:rStyle w:val="a3"/>
                  <w:rFonts w:ascii="Times New Roman" w:hAnsi="Times New Roman"/>
                  <w:sz w:val="24"/>
                  <w:szCs w:val="24"/>
                </w:rPr>
                <w:t>Тернопільським міським територіальним центром соціального обслуговування населення</w:t>
              </w:r>
            </w:hyperlink>
            <w:r w:rsidRPr="000C07D3">
              <w:rPr>
                <w:rFonts w:ascii="Times New Roman" w:hAnsi="Times New Roman"/>
                <w:sz w:val="24"/>
                <w:szCs w:val="24"/>
              </w:rPr>
              <w:t xml:space="preserve"> надається соціально – педагогічна послуга «Університет третього віку». У 2020 році 57 людей похилого віку  отримали сертифікати про завершення навчання за програмами на  факультетах «комп’ютерна грамотність», «практична психологія», «здоровий спосіб життя та основи збереження здоров’я в літньому віці», «англійська мова», «хореографія, танці і співи».</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Управління соціальної політики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Сприяння у працевлаштуванні соціально вразливих верств населення</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sz w:val="24"/>
                <w:szCs w:val="24"/>
              </w:rPr>
              <w:t xml:space="preserve">У січні-жовтні 2020 року за посередництва Тернопільського </w:t>
            </w:r>
            <w:proofErr w:type="spellStart"/>
            <w:r w:rsidRPr="000C07D3">
              <w:rPr>
                <w:rFonts w:ascii="Times New Roman" w:hAnsi="Times New Roman"/>
                <w:sz w:val="24"/>
                <w:szCs w:val="24"/>
              </w:rPr>
              <w:t>міськрайоннго</w:t>
            </w:r>
            <w:proofErr w:type="spellEnd"/>
            <w:r w:rsidRPr="000C07D3">
              <w:rPr>
                <w:rFonts w:ascii="Times New Roman" w:hAnsi="Times New Roman"/>
                <w:sz w:val="24"/>
                <w:szCs w:val="24"/>
              </w:rPr>
              <w:t xml:space="preserve"> центру зайнятості </w:t>
            </w:r>
            <w:proofErr w:type="spellStart"/>
            <w:r w:rsidRPr="000C07D3">
              <w:rPr>
                <w:rFonts w:ascii="Times New Roman" w:hAnsi="Times New Roman"/>
                <w:sz w:val="24"/>
                <w:szCs w:val="24"/>
              </w:rPr>
              <w:t>працевлаштовано</w:t>
            </w:r>
            <w:proofErr w:type="spellEnd"/>
            <w:r w:rsidRPr="000C07D3">
              <w:rPr>
                <w:rFonts w:ascii="Times New Roman" w:hAnsi="Times New Roman"/>
                <w:sz w:val="24"/>
                <w:szCs w:val="24"/>
              </w:rPr>
              <w:t xml:space="preserve"> 44 особи з інвалідністю, 17 осіб з числа учасників бойових дій та 5 осіб з числа тих, які перемістилися з тимчасово окупованої території та районів проведення антитерористичної операції.  7 осіб з інвалідністю та 4 особи числа учасників бойових дій пройшли професійне навчання.</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Залучення соціально вразливих верств населення до фізкультурно-оздоровчої діяльності та фізкультурно-спортивної реабілітації</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sz w:val="24"/>
                <w:szCs w:val="24"/>
              </w:rPr>
              <w:t xml:space="preserve">У 2020 році в Тернопільському міському територіальному центрі соціального обслуговування населення (надання соціальних послуг) до фізкультурно-оздоровчої діяльності та </w:t>
            </w:r>
            <w:proofErr w:type="spellStart"/>
            <w:r w:rsidRPr="000C07D3">
              <w:rPr>
                <w:rFonts w:ascii="Times New Roman" w:hAnsi="Times New Roman"/>
                <w:sz w:val="24"/>
                <w:szCs w:val="24"/>
              </w:rPr>
              <w:t>фізкультурно–спортивної</w:t>
            </w:r>
            <w:proofErr w:type="spellEnd"/>
            <w:r w:rsidRPr="000C07D3">
              <w:rPr>
                <w:rFonts w:ascii="Times New Roman" w:hAnsi="Times New Roman"/>
                <w:sz w:val="24"/>
                <w:szCs w:val="24"/>
              </w:rPr>
              <w:t xml:space="preserve"> реабілітації залучено 560  осіб похилого віку та осіб з особливими потребами, яким надано 4265 послуг, а саме: заняття йогою, танцювально-рухова терапія, вправи на стільцях по системі </w:t>
            </w:r>
            <w:proofErr w:type="spellStart"/>
            <w:r w:rsidRPr="000C07D3">
              <w:rPr>
                <w:rFonts w:ascii="Times New Roman" w:hAnsi="Times New Roman"/>
                <w:sz w:val="24"/>
                <w:szCs w:val="24"/>
              </w:rPr>
              <w:t>Норбекова</w:t>
            </w:r>
            <w:proofErr w:type="spellEnd"/>
            <w:r w:rsidRPr="000C07D3">
              <w:rPr>
                <w:rFonts w:ascii="Times New Roman" w:hAnsi="Times New Roman"/>
                <w:sz w:val="24"/>
                <w:szCs w:val="24"/>
              </w:rPr>
              <w:t xml:space="preserve">, індивідуальні заняття на тренажерах, апаратні масажі, заняття на дошці Євменова, заняття на шведській стінці, фітнес «60+», вело прогулянки, години спорту «рух це здоров’я», походи в басейн та аквапарк Алігатор, танцювальний клуб «18+», гра у боулінг, більярд, шахи, </w:t>
            </w:r>
            <w:proofErr w:type="spellStart"/>
            <w:r w:rsidRPr="000C07D3">
              <w:rPr>
                <w:rFonts w:ascii="Times New Roman" w:hAnsi="Times New Roman"/>
                <w:sz w:val="24"/>
                <w:szCs w:val="24"/>
              </w:rPr>
              <w:t>шахмати</w:t>
            </w:r>
            <w:proofErr w:type="spellEnd"/>
            <w:r w:rsidRPr="000C07D3">
              <w:rPr>
                <w:rFonts w:ascii="Times New Roman" w:hAnsi="Times New Roman"/>
                <w:sz w:val="24"/>
                <w:szCs w:val="24"/>
              </w:rPr>
              <w:t xml:space="preserve">, теніс, катання </w:t>
            </w:r>
            <w:r w:rsidRPr="000C07D3">
              <w:rPr>
                <w:rFonts w:ascii="Times New Roman" w:hAnsi="Times New Roman"/>
                <w:sz w:val="24"/>
                <w:szCs w:val="24"/>
              </w:rPr>
              <w:lastRenderedPageBreak/>
              <w:t xml:space="preserve">на катамаранах, </w:t>
            </w:r>
            <w:proofErr w:type="spellStart"/>
            <w:r w:rsidRPr="000C07D3">
              <w:rPr>
                <w:rFonts w:ascii="Times New Roman" w:hAnsi="Times New Roman"/>
                <w:sz w:val="24"/>
                <w:szCs w:val="24"/>
              </w:rPr>
              <w:t>руханка</w:t>
            </w:r>
            <w:proofErr w:type="spellEnd"/>
            <w:r w:rsidRPr="000C07D3">
              <w:rPr>
                <w:rFonts w:ascii="Times New Roman" w:hAnsi="Times New Roman"/>
                <w:sz w:val="24"/>
                <w:szCs w:val="24"/>
              </w:rPr>
              <w:t xml:space="preserve"> з Лілією </w:t>
            </w:r>
            <w:proofErr w:type="spellStart"/>
            <w:r w:rsidRPr="000C07D3">
              <w:rPr>
                <w:rFonts w:ascii="Times New Roman" w:hAnsi="Times New Roman"/>
                <w:sz w:val="24"/>
                <w:szCs w:val="24"/>
              </w:rPr>
              <w:t>Проць</w:t>
            </w:r>
            <w:proofErr w:type="spellEnd"/>
            <w:r w:rsidRPr="000C07D3">
              <w:rPr>
                <w:rFonts w:ascii="Times New Roman" w:hAnsi="Times New Roman"/>
                <w:sz w:val="24"/>
                <w:szCs w:val="24"/>
              </w:rPr>
              <w:t>.</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Реалізація проектів різносторонньої допомоги соціально вразливим верствам населення  («Соціальне таксі» тощо)</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На реалізацію проекту «Соціальне таксі» у 2020 році передбачено 120 тис. грн. Станом на 01.11.2020 року ТБФ «</w:t>
            </w:r>
            <w:proofErr w:type="spellStart"/>
            <w:r w:rsidRPr="000C07D3">
              <w:rPr>
                <w:rFonts w:ascii="Times New Roman" w:hAnsi="Times New Roman"/>
                <w:bCs/>
                <w:sz w:val="24"/>
                <w:szCs w:val="24"/>
              </w:rPr>
              <w:t>Карітас</w:t>
            </w:r>
            <w:proofErr w:type="spellEnd"/>
            <w:r w:rsidRPr="000C07D3">
              <w:rPr>
                <w:rFonts w:ascii="Times New Roman" w:hAnsi="Times New Roman"/>
                <w:bCs/>
                <w:sz w:val="24"/>
                <w:szCs w:val="24"/>
              </w:rPr>
              <w:t>» відшкодовано кошти у сумі 90 тис. грн. за надання 1638 послуг пов’язаних з перевезенням 380-ти осіб з інвалідністю з порушеннями опорно-рухового апарату, осіб з вадами зору та одиноких людей похилого віку.</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С.3.2. Забезпечення комплексної соціальної підтримки учасникам АТО (ООС), членам їх сімей та членам сімей загиблих (померлих)</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Надання медичної, юридичної, соціально-педагогічної та інших видів соціальної допомоги</w:t>
            </w:r>
          </w:p>
        </w:tc>
        <w:tc>
          <w:tcPr>
            <w:tcW w:w="8644"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З бюджету Тернопільської міської територіальної громади надано грошову допомогу 102-м учасникам бойових дій АТО (ООС ) на суму 108 тис. грн., 26-и</w:t>
            </w:r>
            <w:r w:rsidRPr="000C07D3">
              <w:rPr>
                <w:rFonts w:ascii="Times New Roman" w:hAnsi="Times New Roman"/>
                <w:b/>
                <w:sz w:val="24"/>
                <w:szCs w:val="24"/>
              </w:rPr>
              <w:t xml:space="preserve"> </w:t>
            </w:r>
            <w:r w:rsidRPr="000C07D3">
              <w:rPr>
                <w:rFonts w:ascii="Times New Roman" w:hAnsi="Times New Roman"/>
                <w:sz w:val="24"/>
                <w:szCs w:val="24"/>
              </w:rPr>
              <w:t>особам</w:t>
            </w:r>
            <w:r w:rsidRPr="000C07D3">
              <w:rPr>
                <w:rFonts w:ascii="Times New Roman" w:hAnsi="Times New Roman"/>
                <w:b/>
                <w:sz w:val="24"/>
                <w:szCs w:val="24"/>
              </w:rPr>
              <w:t xml:space="preserve"> з </w:t>
            </w:r>
            <w:r w:rsidRPr="000C07D3">
              <w:rPr>
                <w:rFonts w:ascii="Times New Roman" w:hAnsi="Times New Roman"/>
                <w:sz w:val="24"/>
                <w:szCs w:val="24"/>
              </w:rPr>
              <w:t>інвалідністю АТО(ООС ) на суму 62 тис. грн., 35-ти сім’ям загиблих учасників АТО (ООС) на суму 174 тис. грн.</w:t>
            </w:r>
          </w:p>
        </w:tc>
        <w:tc>
          <w:tcPr>
            <w:tcW w:w="2976"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Виконавчі органи ради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Організація виконання робіт з рекультивації земель для учасників АТО (ООС)</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Призупинено у зв’язку з вирішенням питання доцільності та ефективності використання коштів.</w:t>
            </w:r>
          </w:p>
        </w:tc>
        <w:tc>
          <w:tcPr>
            <w:tcW w:w="2976"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Управління житлово-комунального господарства, благоустрою та екології</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Стратегічна ціль С.4. Різноформатне культурне середовище</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С.4.1. Розвиток та популяризація вітчизняної культурної спадщини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Організація національно-патріотичного виховання дітей та молоді</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День пам’ять Героїв </w:t>
            </w:r>
            <w:proofErr w:type="spellStart"/>
            <w:r w:rsidRPr="000C07D3">
              <w:rPr>
                <w:rFonts w:ascii="Times New Roman" w:hAnsi="Times New Roman"/>
                <w:bCs/>
                <w:sz w:val="24"/>
                <w:szCs w:val="24"/>
              </w:rPr>
              <w:t>Крут</w:t>
            </w:r>
            <w:proofErr w:type="spellEnd"/>
            <w:r w:rsidRPr="000C07D3">
              <w:rPr>
                <w:rFonts w:ascii="Times New Roman" w:hAnsi="Times New Roman"/>
                <w:bCs/>
                <w:sz w:val="24"/>
                <w:szCs w:val="24"/>
              </w:rPr>
              <w:t>, День Героїв (загалом залучено 150 осіб)</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Управління культури і мистецтв, </w:t>
            </w:r>
            <w:r w:rsidRPr="000C07D3">
              <w:rPr>
                <w:rFonts w:ascii="Times New Roman" w:hAnsi="Times New Roman"/>
                <w:sz w:val="24"/>
                <w:szCs w:val="24"/>
              </w:rPr>
              <w:t>управління сім’ї, молодіжної політики та захисту дітей</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Популяризація вітчизняної кінематографічної, музичної, літературної та іншої творчості, проведення відповідних заходів та презентацій</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Проводяться </w:t>
            </w:r>
            <w:proofErr w:type="spellStart"/>
            <w:r w:rsidRPr="000C07D3">
              <w:rPr>
                <w:rFonts w:ascii="Times New Roman" w:hAnsi="Times New Roman"/>
                <w:bCs/>
                <w:sz w:val="24"/>
                <w:szCs w:val="24"/>
              </w:rPr>
              <w:t>допрем’єрні</w:t>
            </w:r>
            <w:proofErr w:type="spellEnd"/>
            <w:r w:rsidRPr="000C07D3">
              <w:rPr>
                <w:rFonts w:ascii="Times New Roman" w:hAnsi="Times New Roman"/>
                <w:bCs/>
                <w:sz w:val="24"/>
                <w:szCs w:val="24"/>
              </w:rPr>
              <w:t xml:space="preserve"> покази українських художніх та документальних фільмів.</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Сприяння діяльності дитячо-юнацького пластового руху</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Різдвяна свічечка, Вишкіл </w:t>
            </w:r>
            <w:proofErr w:type="spellStart"/>
            <w:r w:rsidRPr="000C07D3">
              <w:rPr>
                <w:rFonts w:ascii="Times New Roman" w:hAnsi="Times New Roman"/>
                <w:bCs/>
                <w:sz w:val="24"/>
                <w:szCs w:val="24"/>
              </w:rPr>
              <w:t>впоряду</w:t>
            </w:r>
            <w:proofErr w:type="spellEnd"/>
            <w:r w:rsidRPr="000C07D3">
              <w:rPr>
                <w:rFonts w:ascii="Times New Roman" w:hAnsi="Times New Roman"/>
                <w:bCs/>
                <w:sz w:val="24"/>
                <w:szCs w:val="24"/>
              </w:rPr>
              <w:t xml:space="preserve">, Табір для </w:t>
            </w:r>
            <w:proofErr w:type="spellStart"/>
            <w:r w:rsidRPr="000C07D3">
              <w:rPr>
                <w:rFonts w:ascii="Times New Roman" w:hAnsi="Times New Roman"/>
                <w:bCs/>
                <w:sz w:val="24"/>
                <w:szCs w:val="24"/>
              </w:rPr>
              <w:t>новацтва</w:t>
            </w:r>
            <w:proofErr w:type="spellEnd"/>
            <w:r w:rsidRPr="000C07D3">
              <w:rPr>
                <w:rFonts w:ascii="Times New Roman" w:hAnsi="Times New Roman"/>
                <w:bCs/>
                <w:sz w:val="24"/>
                <w:szCs w:val="24"/>
              </w:rPr>
              <w:t xml:space="preserve">, Табір для пташат, Табір для юнацтва, Сплав «Весло», Акція «Все буде </w:t>
            </w:r>
            <w:proofErr w:type="spellStart"/>
            <w:r w:rsidRPr="000C07D3">
              <w:rPr>
                <w:rFonts w:ascii="Times New Roman" w:hAnsi="Times New Roman"/>
                <w:bCs/>
                <w:sz w:val="24"/>
                <w:szCs w:val="24"/>
              </w:rPr>
              <w:t>Еко</w:t>
            </w:r>
            <w:proofErr w:type="spellEnd"/>
            <w:r w:rsidRPr="000C07D3">
              <w:rPr>
                <w:rFonts w:ascii="Times New Roman" w:hAnsi="Times New Roman"/>
                <w:bCs/>
                <w:sz w:val="24"/>
                <w:szCs w:val="24"/>
              </w:rPr>
              <w:t xml:space="preserve">», Пластова конференція, </w:t>
            </w:r>
            <w:r w:rsidRPr="000C07D3">
              <w:rPr>
                <w:rFonts w:ascii="Times New Roman" w:hAnsi="Times New Roman"/>
                <w:bCs/>
                <w:sz w:val="24"/>
                <w:szCs w:val="24"/>
              </w:rPr>
              <w:lastRenderedPageBreak/>
              <w:t>Вишкіл проектного менеджменту, Вишкіл «ПМД», Вишкіл адміністраторів (загалом залучено 200 осіб)</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культурно-масових заходів з нагоди відзначення та вшанування пам’ятних дат</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Урочиста академія з нагоди 111-ї річниці від дня народження Провідника ОУН Степана Бандери та покладання квітів до пам’ятника.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Покладання квітів до могил Січових Стрільців з нагоди Дня Соборності та Свободи України.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Вшанування  пам’яті  юнаків, які героїчно загинули у бою під </w:t>
            </w:r>
            <w:proofErr w:type="spellStart"/>
            <w:r w:rsidRPr="000C07D3">
              <w:rPr>
                <w:rFonts w:ascii="Times New Roman" w:hAnsi="Times New Roman"/>
                <w:bCs/>
                <w:sz w:val="24"/>
                <w:szCs w:val="24"/>
              </w:rPr>
              <w:t>Крутами</w:t>
            </w:r>
            <w:proofErr w:type="spellEnd"/>
            <w:r w:rsidRPr="000C07D3">
              <w:rPr>
                <w:rFonts w:ascii="Times New Roman" w:hAnsi="Times New Roman"/>
                <w:bCs/>
                <w:sz w:val="24"/>
                <w:szCs w:val="24"/>
              </w:rPr>
              <w:t>.</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Мітинг-реквієм та покладання квітів до пам’ятника воїнам-афганцям з нагоди дня вшанування учасників бойових дій на території інших держав.</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6-та річниця вшанування подвигу учасників Революції Гідності та увіковічення пам’яті Героїв Небесної Сотні.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Панахида біля пам’ятника Т. Г. Шевченка з нагоди дня перепоховання.</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С.4.2. Всебічний розвиток сфери культури та організація якісних фестивальних подій</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Оновлення матеріально-технічної бази закладів культури та створення багатофункціональних культурних просторів</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Проведено модернізацію демонстраційного обладнання «Палацу кіно» (встановлено проектор DSP формату, 3D система, сертифікація DISNEY PICTURES), а саме:</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заміну крісел з відкидними спинками та освітленням;</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встановлення </w:t>
            </w:r>
            <w:proofErr w:type="spellStart"/>
            <w:r w:rsidRPr="000C07D3">
              <w:rPr>
                <w:rFonts w:ascii="Times New Roman" w:hAnsi="Times New Roman"/>
                <w:bCs/>
                <w:sz w:val="24"/>
                <w:szCs w:val="24"/>
              </w:rPr>
              <w:t>медіаблоків</w:t>
            </w:r>
            <w:proofErr w:type="spellEnd"/>
            <w:r w:rsidRPr="000C07D3">
              <w:rPr>
                <w:rFonts w:ascii="Times New Roman" w:hAnsi="Times New Roman"/>
                <w:bCs/>
                <w:sz w:val="24"/>
                <w:szCs w:val="24"/>
              </w:rPr>
              <w:t xml:space="preserve"> для відеореклами (екрани) 10 шт.;</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встановлення </w:t>
            </w:r>
            <w:proofErr w:type="spellStart"/>
            <w:r w:rsidRPr="000C07D3">
              <w:rPr>
                <w:rFonts w:ascii="Times New Roman" w:hAnsi="Times New Roman"/>
                <w:bCs/>
                <w:sz w:val="24"/>
                <w:szCs w:val="24"/>
              </w:rPr>
              <w:t>відеоспостереження</w:t>
            </w:r>
            <w:proofErr w:type="spellEnd"/>
            <w:r w:rsidRPr="000C07D3">
              <w:rPr>
                <w:rFonts w:ascii="Times New Roman" w:hAnsi="Times New Roman"/>
                <w:bCs/>
                <w:sz w:val="24"/>
                <w:szCs w:val="24"/>
              </w:rPr>
              <w:t xml:space="preserve"> і сигналізацію в приміщеннях, тривожну кнопку;</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ремонт та </w:t>
            </w:r>
            <w:proofErr w:type="spellStart"/>
            <w:r w:rsidRPr="000C07D3">
              <w:rPr>
                <w:rFonts w:ascii="Times New Roman" w:hAnsi="Times New Roman"/>
                <w:bCs/>
                <w:sz w:val="24"/>
                <w:szCs w:val="24"/>
              </w:rPr>
              <w:t>обеззвучення</w:t>
            </w:r>
            <w:proofErr w:type="spellEnd"/>
            <w:r w:rsidRPr="000C07D3">
              <w:rPr>
                <w:rFonts w:ascii="Times New Roman" w:hAnsi="Times New Roman"/>
                <w:bCs/>
                <w:sz w:val="24"/>
                <w:szCs w:val="24"/>
              </w:rPr>
              <w:t xml:space="preserve"> стін залу з обшивкою </w:t>
            </w:r>
            <w:proofErr w:type="spellStart"/>
            <w:r w:rsidRPr="000C07D3">
              <w:rPr>
                <w:rFonts w:ascii="Times New Roman" w:hAnsi="Times New Roman"/>
                <w:bCs/>
                <w:sz w:val="24"/>
                <w:szCs w:val="24"/>
              </w:rPr>
              <w:t>ковроліну</w:t>
            </w:r>
            <w:proofErr w:type="spellEnd"/>
            <w:r w:rsidRPr="000C07D3">
              <w:rPr>
                <w:rFonts w:ascii="Times New Roman" w:hAnsi="Times New Roman"/>
                <w:bCs/>
                <w:sz w:val="24"/>
                <w:szCs w:val="24"/>
              </w:rPr>
              <w:t>;</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заміну освітлення в залі (сходинки, стеля, фойє), </w:t>
            </w:r>
            <w:proofErr w:type="spellStart"/>
            <w:r w:rsidRPr="000C07D3">
              <w:rPr>
                <w:rFonts w:ascii="Times New Roman" w:hAnsi="Times New Roman"/>
                <w:bCs/>
                <w:sz w:val="24"/>
                <w:szCs w:val="24"/>
              </w:rPr>
              <w:t>ледівські</w:t>
            </w:r>
            <w:proofErr w:type="spellEnd"/>
            <w:r w:rsidRPr="000C07D3">
              <w:rPr>
                <w:rFonts w:ascii="Times New Roman" w:hAnsi="Times New Roman"/>
                <w:bCs/>
                <w:sz w:val="24"/>
                <w:szCs w:val="24"/>
              </w:rPr>
              <w:t xml:space="preserve"> світильники;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встановлено сучасну програму для онлайн продажу квитків.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lastRenderedPageBreak/>
              <w:t>Загальна сума 3 735 тис. грн. (кошти інвестора).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Комп’ютеризація бібліотек – 220,0 тис. грн.</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Поповнення бібліотечних фондів – 198,8 тис. грн.</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Придбання музичних інструментів: фортепіано  (2 шт.) х 5,9 тис. грн., гітара – 4,8 тис. грн., баян – 5,8 тис. </w:t>
            </w:r>
            <w:proofErr w:type="spellStart"/>
            <w:r w:rsidRPr="000C07D3">
              <w:rPr>
                <w:rFonts w:ascii="Times New Roman" w:hAnsi="Times New Roman"/>
                <w:bCs/>
                <w:sz w:val="24"/>
                <w:szCs w:val="24"/>
              </w:rPr>
              <w:t>грн</w:t>
            </w:r>
            <w:proofErr w:type="spellEnd"/>
            <w:r w:rsidRPr="000C07D3">
              <w:rPr>
                <w:rFonts w:ascii="Times New Roman" w:hAnsi="Times New Roman"/>
                <w:bCs/>
                <w:sz w:val="24"/>
                <w:szCs w:val="24"/>
              </w:rPr>
              <w:t>, пошиття сценічних костюмів – 18,6 тис. грн.</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lastRenderedPageBreak/>
              <w:t>Управління культури і мистецтв</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широкого кола актуальних та якісних культурних заходів, фестивалів, виставок, ярмарок тощо національного та міжнародного значення</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Різдвяна виставка </w:t>
            </w:r>
            <w:proofErr w:type="spellStart"/>
            <w:r w:rsidRPr="000C07D3">
              <w:rPr>
                <w:rFonts w:ascii="Times New Roman" w:hAnsi="Times New Roman"/>
                <w:bCs/>
                <w:sz w:val="24"/>
                <w:szCs w:val="24"/>
              </w:rPr>
              <w:t>екоробіт</w:t>
            </w:r>
            <w:proofErr w:type="spellEnd"/>
            <w:r w:rsidRPr="000C07D3">
              <w:rPr>
                <w:rFonts w:ascii="Times New Roman" w:hAnsi="Times New Roman"/>
                <w:bCs/>
                <w:sz w:val="24"/>
                <w:szCs w:val="24"/>
              </w:rPr>
              <w:t xml:space="preserve"> вихованців Тернопільського обласного еколого-натуралістичного центру учнівської молоді.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Міський конкурс </w:t>
            </w:r>
            <w:proofErr w:type="spellStart"/>
            <w:r w:rsidRPr="000C07D3">
              <w:rPr>
                <w:rFonts w:ascii="Times New Roman" w:hAnsi="Times New Roman"/>
                <w:bCs/>
                <w:sz w:val="24"/>
                <w:szCs w:val="24"/>
              </w:rPr>
              <w:t>шопок</w:t>
            </w:r>
            <w:proofErr w:type="spellEnd"/>
            <w:r w:rsidRPr="000C07D3">
              <w:rPr>
                <w:rFonts w:ascii="Times New Roman" w:hAnsi="Times New Roman"/>
                <w:bCs/>
                <w:sz w:val="24"/>
                <w:szCs w:val="24"/>
              </w:rPr>
              <w:t xml:space="preserve"> «Різдвяне диво», Міський конкурс «Феєрія новорічного міста».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«Для тих, хто в дорозі» (різдвяний концерт Муніципального Галицького камерного оркестру).</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Різдвяні концертні виступи місцевих колективів.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Концертні виступи Муніципального духовного оркестру «</w:t>
            </w:r>
            <w:proofErr w:type="spellStart"/>
            <w:r w:rsidRPr="000C07D3">
              <w:rPr>
                <w:rFonts w:ascii="Times New Roman" w:hAnsi="Times New Roman"/>
                <w:bCs/>
                <w:sz w:val="24"/>
                <w:szCs w:val="24"/>
              </w:rPr>
              <w:t>Оркестра</w:t>
            </w:r>
            <w:proofErr w:type="spellEnd"/>
            <w:r w:rsidRPr="000C07D3">
              <w:rPr>
                <w:rFonts w:ascii="Times New Roman" w:hAnsi="Times New Roman"/>
                <w:bCs/>
                <w:sz w:val="24"/>
                <w:szCs w:val="24"/>
              </w:rPr>
              <w:t xml:space="preserve"> Волі».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Свято зимового обрядового фольклору «Нова радість стала» (парад вертепів та новорічно-різдвяний концерт).</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Нагородження переможців конкурсів «Різдвяне диво» та «Феєрія новорічного міста».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Благодійна вистава для дітей в рамках фестивалю «Повір у себе».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Благодійна вистава для дітей «Ялинка міського голови».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Свято Богоявлення Господнього (Освячення води).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Фестиваль «Лемківський Йордан».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Фестиваль «</w:t>
            </w:r>
            <w:proofErr w:type="spellStart"/>
            <w:r w:rsidRPr="000C07D3">
              <w:rPr>
                <w:rFonts w:ascii="Times New Roman" w:hAnsi="Times New Roman"/>
                <w:bCs/>
                <w:sz w:val="24"/>
                <w:szCs w:val="24"/>
              </w:rPr>
              <w:t>Розколяди</w:t>
            </w:r>
            <w:proofErr w:type="spellEnd"/>
            <w:r w:rsidRPr="000C07D3">
              <w:rPr>
                <w:rFonts w:ascii="Times New Roman" w:hAnsi="Times New Roman"/>
                <w:bCs/>
                <w:sz w:val="24"/>
                <w:szCs w:val="24"/>
              </w:rPr>
              <w:t xml:space="preserve">-2020».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Мистецький вечір-портрет «Співець української землі на американському </w:t>
            </w:r>
            <w:r w:rsidRPr="000C07D3">
              <w:rPr>
                <w:rFonts w:ascii="Times New Roman" w:hAnsi="Times New Roman"/>
                <w:bCs/>
                <w:sz w:val="24"/>
                <w:szCs w:val="24"/>
              </w:rPr>
              <w:lastRenderedPageBreak/>
              <w:t xml:space="preserve">континенті» до 105-річчя від дня народження Я. </w:t>
            </w:r>
            <w:proofErr w:type="spellStart"/>
            <w:r w:rsidRPr="000C07D3">
              <w:rPr>
                <w:rFonts w:ascii="Times New Roman" w:hAnsi="Times New Roman"/>
                <w:bCs/>
                <w:sz w:val="24"/>
                <w:szCs w:val="24"/>
              </w:rPr>
              <w:t>Гніздовського</w:t>
            </w:r>
            <w:proofErr w:type="spellEnd"/>
            <w:r w:rsidRPr="000C07D3">
              <w:rPr>
                <w:rFonts w:ascii="Times New Roman" w:hAnsi="Times New Roman"/>
                <w:bCs/>
                <w:sz w:val="24"/>
                <w:szCs w:val="24"/>
              </w:rPr>
              <w:t>.</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Фестиваль «Родинне джерело»;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 травні проведено заходи до Дня Героїв України, у липні Свято Випускник, серпень – День Державного Прапора України, День міста, відкриття нових імен на алеї Зірок, локаційні концерти, низку онлайн заходів. У вересні проведено книжковий фестиваль «</w:t>
            </w:r>
            <w:proofErr w:type="spellStart"/>
            <w:r w:rsidRPr="000C07D3">
              <w:rPr>
                <w:rFonts w:ascii="Times New Roman" w:hAnsi="Times New Roman"/>
                <w:bCs/>
                <w:sz w:val="24"/>
                <w:szCs w:val="24"/>
              </w:rPr>
              <w:t>Бібліофест</w:t>
            </w:r>
            <w:proofErr w:type="spellEnd"/>
            <w:r w:rsidRPr="000C07D3">
              <w:rPr>
                <w:rFonts w:ascii="Times New Roman" w:hAnsi="Times New Roman"/>
                <w:bCs/>
                <w:sz w:val="24"/>
                <w:szCs w:val="24"/>
              </w:rPr>
              <w:t xml:space="preserve"> Х».</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Відзначення й заохочення найкращих діячів культури, творчих колективів і молодих талантів</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Відкрито 5 зірок на Алеї по вул. Гетьмана Сагайдачного: Євгену та Тамарі </w:t>
            </w:r>
            <w:proofErr w:type="spellStart"/>
            <w:r w:rsidRPr="000C07D3">
              <w:rPr>
                <w:rFonts w:ascii="Times New Roman" w:hAnsi="Times New Roman"/>
                <w:bCs/>
                <w:sz w:val="24"/>
                <w:szCs w:val="24"/>
              </w:rPr>
              <w:t>Удіним</w:t>
            </w:r>
            <w:proofErr w:type="spellEnd"/>
            <w:r w:rsidRPr="000C07D3">
              <w:rPr>
                <w:rFonts w:ascii="Times New Roman" w:hAnsi="Times New Roman"/>
                <w:bCs/>
                <w:sz w:val="24"/>
                <w:szCs w:val="24"/>
              </w:rPr>
              <w:t xml:space="preserve">, Оресту </w:t>
            </w:r>
            <w:proofErr w:type="spellStart"/>
            <w:r w:rsidRPr="000C07D3">
              <w:rPr>
                <w:rFonts w:ascii="Times New Roman" w:hAnsi="Times New Roman"/>
                <w:bCs/>
                <w:sz w:val="24"/>
                <w:szCs w:val="24"/>
              </w:rPr>
              <w:t>Савці</w:t>
            </w:r>
            <w:proofErr w:type="spellEnd"/>
            <w:r w:rsidRPr="000C07D3">
              <w:rPr>
                <w:rFonts w:ascii="Times New Roman" w:hAnsi="Times New Roman"/>
                <w:bCs/>
                <w:sz w:val="24"/>
                <w:szCs w:val="24"/>
              </w:rPr>
              <w:t>, Олександру Смику, Сергію Притулі, Медичній спільноті.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Учням таких навчальних закладів призначено іменні стипендії Тернопільської міської ради в галузі освіти для обдарованих дітей: Тернопільська музична школа №1 ім. В. Барвінського, Тернопільська музична школа №2 ім. М. Вербицького, </w:t>
            </w:r>
            <w:proofErr w:type="spellStart"/>
            <w:r w:rsidRPr="000C07D3">
              <w:rPr>
                <w:rFonts w:ascii="Times New Roman" w:hAnsi="Times New Roman"/>
                <w:bCs/>
                <w:sz w:val="24"/>
                <w:szCs w:val="24"/>
              </w:rPr>
              <w:t>КУ</w:t>
            </w:r>
            <w:proofErr w:type="spellEnd"/>
            <w:r w:rsidRPr="000C07D3">
              <w:rPr>
                <w:rFonts w:ascii="Times New Roman" w:hAnsi="Times New Roman"/>
                <w:bCs/>
                <w:sz w:val="24"/>
                <w:szCs w:val="24"/>
              </w:rPr>
              <w:t xml:space="preserve"> ПСМНЗ «Тернопільська художня школа імені Михайла Бойчука».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Також призначена стипендія міського голови в номінації «Кращий учень школи».</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Стратегічна ціль C.5. Розвиток фізичної культури та спорту</w:t>
            </w: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C.5.1. Створення нових об’єктів та модернізація спортивної інфраструктури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Створення сучасних багатофункціональних навчально-тренувальних, спортивних та оздоровчих комплексів (у т.ч. водної арени «Тернопіль», «Палацу спорту» тощо)</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 2020 році завершилися капітальні ремонт системи зовнішнього електроосвітлення футбольного поля,  трибун стадіону, встановлення підвісних платформ для телевізійної зйомки футбольних матчів на стадіоні </w:t>
            </w:r>
            <w:proofErr w:type="spellStart"/>
            <w:r w:rsidRPr="000C07D3">
              <w:rPr>
                <w:rFonts w:ascii="Times New Roman" w:hAnsi="Times New Roman"/>
                <w:bCs/>
                <w:sz w:val="24"/>
                <w:szCs w:val="24"/>
              </w:rPr>
              <w:t>КП</w:t>
            </w:r>
            <w:proofErr w:type="spellEnd"/>
            <w:r w:rsidRPr="000C07D3">
              <w:rPr>
                <w:rFonts w:ascii="Times New Roman" w:hAnsi="Times New Roman"/>
                <w:bCs/>
                <w:sz w:val="24"/>
                <w:szCs w:val="24"/>
              </w:rPr>
              <w:t xml:space="preserve"> «Тернопільський міський стадіон» за адресою просп. Бандери, 15 в                             м. Тернополі. Зазначені роботи проводилися в межах підготовки центрального стадіону до фіналу Кубка України з футболу сезону 2019-2010 років. Центральний стадіон внесений до переліку стадіонів України ІІІ категорії, що дозволяє проведення матчів.</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Розпочато будівництво трампліну для лижного фрістайлу по вул. Генерала М. Тарнавського в м. Тернополі. </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Триває будівництво багатофункціонального Палацу спорту за адресою проспект Злуки, 3а. та Центру веслування та водних видів спорту «Водна арена </w:t>
            </w:r>
            <w:r w:rsidRPr="000C07D3">
              <w:rPr>
                <w:rFonts w:ascii="Times New Roman" w:hAnsi="Times New Roman"/>
                <w:bCs/>
                <w:sz w:val="24"/>
                <w:szCs w:val="24"/>
              </w:rPr>
              <w:lastRenderedPageBreak/>
              <w:t>«Тернопіль».</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lastRenderedPageBreak/>
              <w:t>Управління розвитку спорту та фізичної культури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Оновлення матеріально-технічної бази закладів фізичної культури і спорту</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Придбання обладнання та інвентарю для комунальних ДЮСШ міста на суму 1530, 00 тис. грн.</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КЗ</w:t>
            </w:r>
            <w:proofErr w:type="spellEnd"/>
            <w:r w:rsidRPr="000C07D3">
              <w:rPr>
                <w:rFonts w:ascii="Times New Roman" w:hAnsi="Times New Roman"/>
                <w:bCs/>
                <w:sz w:val="24"/>
                <w:szCs w:val="24"/>
              </w:rPr>
              <w:t xml:space="preserve"> «СДЮСШ «</w:t>
            </w:r>
            <w:proofErr w:type="spellStart"/>
            <w:r w:rsidRPr="000C07D3">
              <w:rPr>
                <w:rFonts w:ascii="Times New Roman" w:hAnsi="Times New Roman"/>
                <w:bCs/>
                <w:sz w:val="24"/>
                <w:szCs w:val="24"/>
              </w:rPr>
              <w:t>Екстрім</w:t>
            </w:r>
            <w:proofErr w:type="spellEnd"/>
            <w:r w:rsidRPr="000C07D3">
              <w:rPr>
                <w:rFonts w:ascii="Times New Roman" w:hAnsi="Times New Roman"/>
                <w:bCs/>
                <w:sz w:val="24"/>
                <w:szCs w:val="24"/>
              </w:rPr>
              <w:t xml:space="preserve">» ( лижі, кріплення, </w:t>
            </w:r>
            <w:proofErr w:type="spellStart"/>
            <w:r w:rsidRPr="000C07D3">
              <w:rPr>
                <w:rFonts w:ascii="Times New Roman" w:hAnsi="Times New Roman"/>
                <w:bCs/>
                <w:sz w:val="24"/>
                <w:szCs w:val="24"/>
              </w:rPr>
              <w:t>сноуборд</w:t>
            </w:r>
            <w:proofErr w:type="spellEnd"/>
            <w:r w:rsidRPr="000C07D3">
              <w:rPr>
                <w:rFonts w:ascii="Times New Roman" w:hAnsi="Times New Roman"/>
                <w:bCs/>
                <w:sz w:val="24"/>
                <w:szCs w:val="24"/>
              </w:rPr>
              <w:t>).</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КЗ</w:t>
            </w:r>
            <w:proofErr w:type="spellEnd"/>
            <w:r w:rsidRPr="000C07D3">
              <w:rPr>
                <w:rFonts w:ascii="Times New Roman" w:hAnsi="Times New Roman"/>
                <w:bCs/>
                <w:sz w:val="24"/>
                <w:szCs w:val="24"/>
              </w:rPr>
              <w:t xml:space="preserve"> «ДЮСШ з </w:t>
            </w:r>
            <w:proofErr w:type="spellStart"/>
            <w:r w:rsidRPr="000C07D3">
              <w:rPr>
                <w:rFonts w:ascii="Times New Roman" w:hAnsi="Times New Roman"/>
                <w:bCs/>
                <w:sz w:val="24"/>
                <w:szCs w:val="24"/>
              </w:rPr>
              <w:t>греко-римської</w:t>
            </w:r>
            <w:proofErr w:type="spellEnd"/>
            <w:r w:rsidRPr="000C07D3">
              <w:rPr>
                <w:rFonts w:ascii="Times New Roman" w:hAnsi="Times New Roman"/>
                <w:bCs/>
                <w:sz w:val="24"/>
                <w:szCs w:val="24"/>
              </w:rPr>
              <w:t xml:space="preserve"> боротьби» (</w:t>
            </w:r>
            <w:proofErr w:type="spellStart"/>
            <w:r w:rsidRPr="000C07D3">
              <w:rPr>
                <w:rFonts w:ascii="Times New Roman" w:hAnsi="Times New Roman"/>
                <w:bCs/>
                <w:sz w:val="24"/>
                <w:szCs w:val="24"/>
              </w:rPr>
              <w:t>борцівський</w:t>
            </w:r>
            <w:proofErr w:type="spellEnd"/>
            <w:r w:rsidRPr="000C07D3">
              <w:rPr>
                <w:rFonts w:ascii="Times New Roman" w:hAnsi="Times New Roman"/>
                <w:bCs/>
                <w:sz w:val="24"/>
                <w:szCs w:val="24"/>
              </w:rPr>
              <w:t xml:space="preserve"> килим (килим, мати), тренажери.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КЗ</w:t>
            </w:r>
            <w:proofErr w:type="spellEnd"/>
            <w:r w:rsidRPr="000C07D3">
              <w:rPr>
                <w:rFonts w:ascii="Times New Roman" w:hAnsi="Times New Roman"/>
                <w:bCs/>
                <w:sz w:val="24"/>
                <w:szCs w:val="24"/>
              </w:rPr>
              <w:t xml:space="preserve"> «КДЮСШ з водних видів спорту» (човни,  весла).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КЗ</w:t>
            </w:r>
            <w:proofErr w:type="spellEnd"/>
            <w:r w:rsidRPr="000C07D3">
              <w:rPr>
                <w:rFonts w:ascii="Times New Roman" w:hAnsi="Times New Roman"/>
                <w:bCs/>
                <w:sz w:val="24"/>
                <w:szCs w:val="24"/>
              </w:rPr>
              <w:t xml:space="preserve"> «КДЮСШ №2 ім. Ю. </w:t>
            </w:r>
            <w:proofErr w:type="spellStart"/>
            <w:r w:rsidRPr="000C07D3">
              <w:rPr>
                <w:rFonts w:ascii="Times New Roman" w:hAnsi="Times New Roman"/>
                <w:bCs/>
                <w:sz w:val="24"/>
                <w:szCs w:val="24"/>
              </w:rPr>
              <w:t>Горацького</w:t>
            </w:r>
            <w:proofErr w:type="spellEnd"/>
            <w:r w:rsidRPr="000C07D3">
              <w:rPr>
                <w:rFonts w:ascii="Times New Roman" w:hAnsi="Times New Roman"/>
                <w:bCs/>
                <w:sz w:val="24"/>
                <w:szCs w:val="24"/>
              </w:rPr>
              <w:t>» (транспортний засіб).</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КЗ</w:t>
            </w:r>
            <w:proofErr w:type="spellEnd"/>
            <w:r w:rsidRPr="000C07D3">
              <w:rPr>
                <w:rFonts w:ascii="Times New Roman" w:hAnsi="Times New Roman"/>
                <w:bCs/>
                <w:sz w:val="24"/>
                <w:szCs w:val="24"/>
              </w:rPr>
              <w:t xml:space="preserve"> «КДЮСШ з ігрових видів порту» (</w:t>
            </w:r>
            <w:proofErr w:type="spellStart"/>
            <w:r w:rsidRPr="000C07D3">
              <w:rPr>
                <w:rFonts w:ascii="Times New Roman" w:hAnsi="Times New Roman"/>
                <w:bCs/>
                <w:sz w:val="24"/>
                <w:szCs w:val="24"/>
              </w:rPr>
              <w:t>підлогомийна</w:t>
            </w:r>
            <w:proofErr w:type="spellEnd"/>
            <w:r w:rsidRPr="000C07D3">
              <w:rPr>
                <w:rFonts w:ascii="Times New Roman" w:hAnsi="Times New Roman"/>
                <w:bCs/>
                <w:sz w:val="24"/>
                <w:szCs w:val="24"/>
              </w:rPr>
              <w:t xml:space="preserve"> машина).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 </w:t>
            </w:r>
            <w:proofErr w:type="spellStart"/>
            <w:r w:rsidRPr="000C07D3">
              <w:rPr>
                <w:rFonts w:ascii="Times New Roman" w:hAnsi="Times New Roman"/>
                <w:bCs/>
                <w:sz w:val="24"/>
                <w:szCs w:val="24"/>
              </w:rPr>
              <w:t>КЗ</w:t>
            </w:r>
            <w:proofErr w:type="spellEnd"/>
            <w:r w:rsidRPr="000C07D3">
              <w:rPr>
                <w:rFonts w:ascii="Times New Roman" w:hAnsi="Times New Roman"/>
                <w:bCs/>
                <w:sz w:val="24"/>
                <w:szCs w:val="24"/>
              </w:rPr>
              <w:t xml:space="preserve"> «ДЮСШ з футболу «ФАТ» (м’ячі).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ТМЦФЗН (</w:t>
            </w:r>
            <w:proofErr w:type="spellStart"/>
            <w:r w:rsidRPr="000C07D3">
              <w:rPr>
                <w:rFonts w:ascii="Times New Roman" w:hAnsi="Times New Roman"/>
                <w:bCs/>
                <w:sz w:val="24"/>
                <w:szCs w:val="24"/>
              </w:rPr>
              <w:t>квадрокоптер</w:t>
            </w:r>
            <w:proofErr w:type="spellEnd"/>
            <w:r w:rsidRPr="000C07D3">
              <w:rPr>
                <w:rFonts w:ascii="Times New Roman" w:hAnsi="Times New Roman"/>
                <w:bCs/>
                <w:sz w:val="24"/>
                <w:szCs w:val="24"/>
              </w:rPr>
              <w:t>, генератор, ноутбук).</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Підвищення ефективності роботи дитячо-юнацьких спортивних шкіл, створення нових спортивних груп та секцій</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Відповідно до рішення сесії ТМР від 07.02.2020 року № 7/46/134 створено комунальний заклад Тернопільської міської ради «Дитячо-юнацька спортивна школа «Футбольна академія «Тернопіль».</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16160" w:type="dxa"/>
            <w:gridSpan w:val="4"/>
            <w:vAlign w:val="center"/>
          </w:tcPr>
          <w:p w:rsidR="00D25DF3" w:rsidRPr="000C07D3" w:rsidRDefault="00D25DF3" w:rsidP="00CC6239">
            <w:pPr>
              <w:jc w:val="center"/>
              <w:rPr>
                <w:rFonts w:ascii="Times New Roman" w:hAnsi="Times New Roman"/>
                <w:b/>
                <w:bCs/>
                <w:sz w:val="24"/>
                <w:szCs w:val="24"/>
              </w:rPr>
            </w:pPr>
            <w:r w:rsidRPr="000C07D3">
              <w:rPr>
                <w:rFonts w:ascii="Times New Roman" w:hAnsi="Times New Roman"/>
                <w:b/>
                <w:bCs/>
                <w:sz w:val="24"/>
                <w:szCs w:val="24"/>
              </w:rPr>
              <w:t>C.5.2. Проведення широкого кола спортивних заходів та їх популяризація</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Проведення національних та міжнародних спортивних заходів</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 зв’язку з </w:t>
            </w:r>
            <w:proofErr w:type="spellStart"/>
            <w:r w:rsidRPr="000C07D3">
              <w:rPr>
                <w:rFonts w:ascii="Times New Roman" w:hAnsi="Times New Roman"/>
                <w:bCs/>
                <w:sz w:val="24"/>
                <w:szCs w:val="24"/>
              </w:rPr>
              <w:t>епідситуацією</w:t>
            </w:r>
            <w:proofErr w:type="spellEnd"/>
            <w:r w:rsidRPr="000C07D3">
              <w:rPr>
                <w:rFonts w:ascii="Times New Roman" w:hAnsi="Times New Roman"/>
                <w:bCs/>
                <w:sz w:val="24"/>
                <w:szCs w:val="24"/>
              </w:rPr>
              <w:t xml:space="preserve"> не проводились.</w:t>
            </w:r>
          </w:p>
        </w:tc>
        <w:tc>
          <w:tcPr>
            <w:tcW w:w="2976" w:type="dxa"/>
            <w:vMerge w:val="restart"/>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Управління розвитку спорту та фізичної культури</w:t>
            </w: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Популяризація здорового способу життя</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У  2020 році проведено  62 спортивно-масові заходи, з яких наймасовіші: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Спортивно-розважальний захід «Нумо, дівчата!».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Спортивні змагання «Веселі старти».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Змагання з легкої атлетики «Спортивна дітвора».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Чемпіонат міста з пляжного волейболу серед чоловічих та жіночих команд</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lastRenderedPageBreak/>
              <w:t>-</w:t>
            </w:r>
            <w:r w:rsidRPr="000C07D3">
              <w:rPr>
                <w:rFonts w:ascii="Times New Roman" w:hAnsi="Times New Roman"/>
                <w:bCs/>
                <w:sz w:val="24"/>
                <w:szCs w:val="24"/>
              </w:rPr>
              <w:tab/>
              <w:t>Змагання з велосипедного спорту крос-кантрі «LEMONRACE».</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Чемпіонат міста з пляжного волейболу серед аматорських чоловічих та жіночих команд в категоріях «18+» та «35+».</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Загальноміські змагання з легкої атлетики «Битва мікрорайонів».</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Змагання з велосипедного спорту «Круті віражі».</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Турнір з міні-футболу серед дітей віком 10-12 та 13-15 років.</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Інклюзивний захід «Активна дітвора».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Турнір серед дорослих «Слизький футбол».</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Змагання «Спортивна дітвора».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Спортивний захід «Свято школяра».</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Міні-фестиваль «Тернопіль 480».</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Спортивний захід «Спортивні забави».</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w:t>
            </w:r>
            <w:r w:rsidRPr="000C07D3">
              <w:rPr>
                <w:rFonts w:ascii="Times New Roman" w:hAnsi="Times New Roman"/>
                <w:bCs/>
                <w:sz w:val="24"/>
                <w:szCs w:val="24"/>
              </w:rPr>
              <w:tab/>
              <w:t xml:space="preserve">24-ий відкритий легкоатлетичний пробіг «Тернопільська </w:t>
            </w:r>
            <w:proofErr w:type="spellStart"/>
            <w:r w:rsidRPr="000C07D3">
              <w:rPr>
                <w:rFonts w:ascii="Times New Roman" w:hAnsi="Times New Roman"/>
                <w:bCs/>
                <w:sz w:val="24"/>
                <w:szCs w:val="24"/>
              </w:rPr>
              <w:t>Озеряна</w:t>
            </w:r>
            <w:proofErr w:type="spellEnd"/>
            <w:r w:rsidRPr="000C07D3">
              <w:rPr>
                <w:rFonts w:ascii="Times New Roman" w:hAnsi="Times New Roman"/>
                <w:bCs/>
                <w:sz w:val="24"/>
                <w:szCs w:val="24"/>
              </w:rPr>
              <w:t>-2020», присвячений Дню фізичної культури і спорту.</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lastRenderedPageBreak/>
              <w:t>3</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Організація спортивно-оздоровчих таборів</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У зв’язку з </w:t>
            </w:r>
            <w:proofErr w:type="spellStart"/>
            <w:r w:rsidRPr="000C07D3">
              <w:rPr>
                <w:rFonts w:ascii="Times New Roman" w:hAnsi="Times New Roman"/>
                <w:bCs/>
                <w:sz w:val="24"/>
                <w:szCs w:val="24"/>
              </w:rPr>
              <w:t>епідситуацією</w:t>
            </w:r>
            <w:proofErr w:type="spellEnd"/>
            <w:r w:rsidRPr="000C07D3">
              <w:rPr>
                <w:rFonts w:ascii="Times New Roman" w:hAnsi="Times New Roman"/>
                <w:bCs/>
                <w:sz w:val="24"/>
                <w:szCs w:val="24"/>
              </w:rPr>
              <w:t xml:space="preserve"> не проводилось.</w:t>
            </w:r>
          </w:p>
        </w:tc>
        <w:tc>
          <w:tcPr>
            <w:tcW w:w="2976" w:type="dxa"/>
            <w:vMerge/>
            <w:vAlign w:val="center"/>
          </w:tcPr>
          <w:p w:rsidR="00D25DF3" w:rsidRPr="000C07D3" w:rsidRDefault="00D25DF3" w:rsidP="00CC6239">
            <w:pPr>
              <w:rPr>
                <w:rFonts w:ascii="Times New Roman" w:hAnsi="Times New Roman"/>
                <w:bCs/>
                <w:sz w:val="24"/>
                <w:szCs w:val="24"/>
              </w:rPr>
            </w:pPr>
          </w:p>
        </w:tc>
      </w:tr>
      <w:tr w:rsidR="00D25DF3" w:rsidRPr="000C07D3" w:rsidTr="00CC6239">
        <w:trPr>
          <w:trHeight w:val="70"/>
          <w:jc w:val="center"/>
        </w:trPr>
        <w:tc>
          <w:tcPr>
            <w:tcW w:w="572" w:type="dxa"/>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968" w:type="dxa"/>
            <w:vAlign w:val="center"/>
          </w:tcPr>
          <w:p w:rsidR="00D25DF3" w:rsidRPr="000C07D3" w:rsidRDefault="00D25DF3" w:rsidP="00CC6239">
            <w:pPr>
              <w:rPr>
                <w:rFonts w:ascii="Times New Roman" w:hAnsi="Times New Roman"/>
                <w:sz w:val="24"/>
                <w:szCs w:val="24"/>
              </w:rPr>
            </w:pPr>
            <w:r w:rsidRPr="000C07D3">
              <w:rPr>
                <w:rFonts w:ascii="Times New Roman" w:hAnsi="Times New Roman"/>
                <w:sz w:val="24"/>
                <w:szCs w:val="24"/>
              </w:rPr>
              <w:t>Організаційна та фінансова підтримка розвитку й участі спортсменів громади у різноманітних спортивних турнірах, їх відзначення і заохочення</w:t>
            </w:r>
          </w:p>
        </w:tc>
        <w:tc>
          <w:tcPr>
            <w:tcW w:w="8644" w:type="dxa"/>
            <w:vAlign w:val="center"/>
          </w:tcPr>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20 спортсменів громади отримують стипендію за спортивні досягнення у розмірі 1700 грн. у місяць кожному.</w:t>
            </w:r>
          </w:p>
          <w:p w:rsidR="00D25DF3" w:rsidRPr="000C07D3" w:rsidRDefault="00D25DF3" w:rsidP="00CC6239">
            <w:pPr>
              <w:rPr>
                <w:rFonts w:ascii="Times New Roman" w:hAnsi="Times New Roman"/>
                <w:bCs/>
                <w:sz w:val="24"/>
                <w:szCs w:val="24"/>
              </w:rPr>
            </w:pPr>
            <w:r w:rsidRPr="000C07D3">
              <w:rPr>
                <w:rFonts w:ascii="Times New Roman" w:hAnsi="Times New Roman"/>
                <w:bCs/>
                <w:sz w:val="24"/>
                <w:szCs w:val="24"/>
              </w:rPr>
              <w:t xml:space="preserve">На проведення загальноміських, спортивно-масових заходів різного рівня, забезпечення участі спортсменів та команд міста у змаганнях цього року було виділено коштів на сумі – 2,4 млн. грн. У зв’язку із епідемічною ситуацією у місті, спортивні заходи, що були проведені, відбувалися у межах протиепідемічних заходів, що діяли та діють у період карантину у зв’язку з поширенням </w:t>
            </w:r>
            <w:proofErr w:type="spellStart"/>
            <w:r w:rsidRPr="000C07D3">
              <w:rPr>
                <w:rFonts w:ascii="Times New Roman" w:hAnsi="Times New Roman"/>
                <w:bCs/>
                <w:sz w:val="24"/>
                <w:szCs w:val="24"/>
              </w:rPr>
              <w:t>коронавірусної</w:t>
            </w:r>
            <w:proofErr w:type="spellEnd"/>
            <w:r w:rsidRPr="000C07D3">
              <w:rPr>
                <w:rFonts w:ascii="Times New Roman" w:hAnsi="Times New Roman"/>
                <w:bCs/>
                <w:sz w:val="24"/>
                <w:szCs w:val="24"/>
              </w:rPr>
              <w:t xml:space="preserve"> хвороби. Також, з цієї ж причини внесено зміни у </w:t>
            </w:r>
            <w:r w:rsidRPr="000C07D3">
              <w:rPr>
                <w:rFonts w:ascii="Times New Roman" w:hAnsi="Times New Roman"/>
                <w:bCs/>
                <w:sz w:val="24"/>
                <w:szCs w:val="24"/>
              </w:rPr>
              <w:lastRenderedPageBreak/>
              <w:t>план роботи управління розвитку спорту та фізичної культури в частині проведення спортивних  заходів та визначено пріоритетом спрямування роботи на підтримку та підготовку спортсменів та спортивних команд громади шляхом проведення навчально-тренувальних зборів. Загалом у 2020 році управлінням забезпечено та надано підтримку у проведені близько 35  навчально-тренувальних зборів (у 2019 – близько 50) та 20 змагань (2019 – близько 70), турнірів, Кубків з олімпійських та не олімпійських видів спорту.</w:t>
            </w:r>
          </w:p>
        </w:tc>
        <w:tc>
          <w:tcPr>
            <w:tcW w:w="2976" w:type="dxa"/>
            <w:vMerge/>
            <w:vAlign w:val="center"/>
          </w:tcPr>
          <w:p w:rsidR="00D25DF3" w:rsidRPr="000C07D3" w:rsidRDefault="00D25DF3" w:rsidP="00CC6239">
            <w:pPr>
              <w:rPr>
                <w:rFonts w:ascii="Times New Roman" w:hAnsi="Times New Roman"/>
                <w:bCs/>
                <w:sz w:val="24"/>
                <w:szCs w:val="24"/>
              </w:rPr>
            </w:pPr>
          </w:p>
        </w:tc>
      </w:tr>
    </w:tbl>
    <w:p w:rsidR="00D25DF3" w:rsidRPr="000C07D3" w:rsidRDefault="00D25DF3" w:rsidP="00D25DF3">
      <w:pPr>
        <w:tabs>
          <w:tab w:val="left" w:pos="2910"/>
        </w:tabs>
        <w:ind w:right="1"/>
        <w:rPr>
          <w:rFonts w:ascii="Times New Roman" w:hAnsi="Times New Roman"/>
          <w:sz w:val="24"/>
          <w:szCs w:val="24"/>
        </w:rPr>
      </w:pPr>
      <w:r w:rsidRPr="000C07D3">
        <w:rPr>
          <w:rFonts w:ascii="Times New Roman" w:hAnsi="Times New Roman"/>
          <w:sz w:val="24"/>
          <w:szCs w:val="24"/>
        </w:rPr>
        <w:lastRenderedPageBreak/>
        <w:tab/>
      </w:r>
    </w:p>
    <w:p w:rsidR="00D25DF3" w:rsidRPr="000C07D3" w:rsidRDefault="00D25DF3" w:rsidP="00D25DF3">
      <w:pPr>
        <w:tabs>
          <w:tab w:val="left" w:pos="2910"/>
        </w:tabs>
        <w:ind w:right="1"/>
        <w:rPr>
          <w:rFonts w:ascii="Times New Roman" w:hAnsi="Times New Roman"/>
          <w:sz w:val="24"/>
          <w:szCs w:val="24"/>
        </w:rPr>
      </w:pPr>
    </w:p>
    <w:p w:rsidR="00D25DF3" w:rsidRPr="000C07D3" w:rsidRDefault="00D25DF3" w:rsidP="00D25DF3">
      <w:pPr>
        <w:tabs>
          <w:tab w:val="left" w:pos="2910"/>
        </w:tabs>
        <w:ind w:right="1"/>
        <w:rPr>
          <w:rFonts w:ascii="Times New Roman" w:hAnsi="Times New Roman"/>
          <w:sz w:val="24"/>
          <w:szCs w:val="24"/>
        </w:rPr>
      </w:pPr>
    </w:p>
    <w:p w:rsidR="00D25DF3" w:rsidRPr="000C07D3" w:rsidRDefault="00D25DF3" w:rsidP="00D25DF3">
      <w:pPr>
        <w:tabs>
          <w:tab w:val="left" w:pos="2910"/>
        </w:tabs>
        <w:ind w:right="1"/>
        <w:rPr>
          <w:rFonts w:ascii="Times New Roman" w:hAnsi="Times New Roman"/>
          <w:sz w:val="24"/>
          <w:szCs w:val="24"/>
        </w:rPr>
      </w:pPr>
    </w:p>
    <w:p w:rsidR="00D25DF3" w:rsidRPr="000C07D3" w:rsidRDefault="00D25DF3" w:rsidP="00D25DF3">
      <w:pPr>
        <w:tabs>
          <w:tab w:val="left" w:pos="2910"/>
        </w:tabs>
        <w:ind w:right="1"/>
        <w:rPr>
          <w:rFonts w:ascii="Times New Roman" w:hAnsi="Times New Roman"/>
          <w:sz w:val="24"/>
          <w:szCs w:val="24"/>
        </w:rPr>
        <w:sectPr w:rsidR="00D25DF3" w:rsidRPr="000C07D3" w:rsidSect="00CA35B5">
          <w:pgSz w:w="16838" w:h="11906" w:orient="landscape"/>
          <w:pgMar w:top="567" w:right="567" w:bottom="567" w:left="567" w:header="709" w:footer="709" w:gutter="0"/>
          <w:cols w:space="708"/>
          <w:docGrid w:linePitch="360"/>
        </w:sectPr>
      </w:pP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lastRenderedPageBreak/>
        <w:t>Основні індикатори оцінки ефективності впровадження Стратегічного плану розвитку Тернопільської міської територіальної громади до 2029 року за 2020 рік</w:t>
      </w:r>
    </w:p>
    <w:p w:rsidR="00D25DF3" w:rsidRPr="000C07D3" w:rsidRDefault="00D25DF3" w:rsidP="00D25DF3">
      <w:pPr>
        <w:spacing w:line="360" w:lineRule="auto"/>
        <w:jc w:val="right"/>
        <w:rPr>
          <w:rFonts w:ascii="Times New Roman" w:hAnsi="Times New Roman"/>
          <w:sz w:val="24"/>
          <w:szCs w:val="24"/>
        </w:rPr>
      </w:pPr>
    </w:p>
    <w:p w:rsidR="00D25DF3" w:rsidRPr="000C07D3" w:rsidRDefault="00D25DF3" w:rsidP="00D25DF3">
      <w:pPr>
        <w:spacing w:line="360" w:lineRule="auto"/>
        <w:jc w:val="right"/>
        <w:rPr>
          <w:rFonts w:ascii="Times New Roman" w:hAnsi="Times New Roman"/>
          <w:sz w:val="24"/>
          <w:szCs w:val="24"/>
        </w:rPr>
      </w:pPr>
      <w:r w:rsidRPr="000C07D3">
        <w:rPr>
          <w:rFonts w:ascii="Times New Roman" w:hAnsi="Times New Roman"/>
          <w:sz w:val="24"/>
          <w:szCs w:val="24"/>
        </w:rPr>
        <w:t>Таблиця 1</w:t>
      </w: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t>Місце Тернопільської МТГ у рейтингових оцінюваннях за 2020 рік</w:t>
      </w:r>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889"/>
        <w:gridCol w:w="7314"/>
        <w:gridCol w:w="1466"/>
      </w:tblGrid>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 п/п</w:t>
            </w:r>
          </w:p>
        </w:tc>
        <w:tc>
          <w:tcPr>
            <w:tcW w:w="3782" w:type="pct"/>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Назва рейтингу</w:t>
            </w:r>
          </w:p>
        </w:tc>
        <w:tc>
          <w:tcPr>
            <w:tcW w:w="758" w:type="pct"/>
            <w:vAlign w:val="center"/>
          </w:tcPr>
          <w:p w:rsidR="00D25DF3" w:rsidRPr="000C07D3" w:rsidRDefault="00D25DF3" w:rsidP="00CC6239">
            <w:pPr>
              <w:jc w:val="center"/>
              <w:rPr>
                <w:rFonts w:ascii="Times New Roman" w:hAnsi="Times New Roman"/>
                <w:b/>
                <w:sz w:val="24"/>
                <w:szCs w:val="24"/>
              </w:rPr>
            </w:pPr>
            <w:r w:rsidRPr="000C07D3">
              <w:rPr>
                <w:rFonts w:ascii="Times New Roman" w:hAnsi="Times New Roman"/>
                <w:b/>
                <w:sz w:val="24"/>
                <w:szCs w:val="24"/>
              </w:rPr>
              <w:t>Місце</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 xml:space="preserve">Переможець в номінації «Найкраще </w:t>
            </w:r>
            <w:proofErr w:type="spellStart"/>
            <w:r w:rsidRPr="000C07D3">
              <w:rPr>
                <w:rFonts w:ascii="Times New Roman" w:hAnsi="Times New Roman"/>
                <w:sz w:val="24"/>
                <w:szCs w:val="24"/>
              </w:rPr>
              <w:t>енергоефективне</w:t>
            </w:r>
            <w:proofErr w:type="spellEnd"/>
            <w:r w:rsidRPr="000C07D3">
              <w:rPr>
                <w:rFonts w:ascii="Times New Roman" w:hAnsi="Times New Roman"/>
                <w:sz w:val="24"/>
                <w:szCs w:val="24"/>
              </w:rPr>
              <w:t xml:space="preserve"> місто» (</w:t>
            </w:r>
            <w:proofErr w:type="spellStart"/>
            <w:r w:rsidRPr="000C07D3">
              <w:rPr>
                <w:rFonts w:ascii="Times New Roman" w:hAnsi="Times New Roman"/>
                <w:sz w:val="24"/>
                <w:szCs w:val="24"/>
              </w:rPr>
              <w:t>Kyiv</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Smart</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City</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Forum</w:t>
            </w:r>
            <w:proofErr w:type="spellEnd"/>
            <w:r w:rsidRPr="000C07D3">
              <w:rPr>
                <w:rFonts w:ascii="Times New Roman" w:hAnsi="Times New Roman"/>
                <w:sz w:val="24"/>
                <w:szCs w:val="24"/>
              </w:rPr>
              <w:t xml:space="preserve"> 2020)</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Міста України з найрозвинутішими інструментами е-демократії за підсумками Третього Індексу е-демократії (ГО «Центр Розвитку Інновацій»)</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Рейтинг фінансової успішності територіальних громад (оцінювання експертів Програми «U-LEAD з Європою»)</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2</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Рейтинг прозорості 100 найбільших міст України за результатами 2019 року («</w:t>
            </w:r>
            <w:proofErr w:type="spellStart"/>
            <w:r w:rsidRPr="000C07D3">
              <w:rPr>
                <w:rFonts w:ascii="Times New Roman" w:hAnsi="Times New Roman"/>
                <w:sz w:val="24"/>
                <w:szCs w:val="24"/>
              </w:rPr>
              <w:t>Трансперенсі</w:t>
            </w:r>
            <w:proofErr w:type="spellEnd"/>
            <w:r w:rsidRPr="000C07D3">
              <w:rPr>
                <w:rFonts w:ascii="Times New Roman" w:hAnsi="Times New Roman"/>
                <w:sz w:val="24"/>
                <w:szCs w:val="24"/>
              </w:rPr>
              <w:t xml:space="preserve"> Інтернешнл Україна»)</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3</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 xml:space="preserve">Рейтинг міст України за результатами ЗНО-2020 </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4</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6</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Міста з найбільш сприятливим бізнес-кліматом та ефективним економічним врядуванням (індекс конкурентоспроможності міст України (ІКМ) 2019/2020)</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7</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Міста України найкращі для ведення бізнесу (журнал «</w:t>
            </w:r>
            <w:proofErr w:type="spellStart"/>
            <w:r w:rsidRPr="000C07D3">
              <w:rPr>
                <w:rFonts w:ascii="Times New Roman" w:hAnsi="Times New Roman"/>
                <w:sz w:val="24"/>
                <w:szCs w:val="24"/>
              </w:rPr>
              <w:t>Forbes</w:t>
            </w:r>
            <w:proofErr w:type="spellEnd"/>
            <w:r w:rsidRPr="000C07D3">
              <w:rPr>
                <w:rFonts w:ascii="Times New Roman" w:hAnsi="Times New Roman"/>
                <w:sz w:val="24"/>
                <w:szCs w:val="24"/>
              </w:rPr>
              <w:t>»)</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8</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Рейтинг найкомфортніших міст України (журнал «Фокус»)</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9</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 xml:space="preserve">Рейтинг міст України за зручністю для роботи і проживання </w:t>
            </w:r>
            <w:proofErr w:type="spellStart"/>
            <w:r w:rsidRPr="000C07D3">
              <w:rPr>
                <w:rFonts w:ascii="Times New Roman" w:hAnsi="Times New Roman"/>
                <w:sz w:val="24"/>
                <w:szCs w:val="24"/>
              </w:rPr>
              <w:t>ІТ-спеціалістів</w:t>
            </w:r>
            <w:proofErr w:type="spellEnd"/>
            <w:r w:rsidRPr="000C07D3">
              <w:rPr>
                <w:rFonts w:ascii="Times New Roman" w:hAnsi="Times New Roman"/>
                <w:sz w:val="24"/>
                <w:szCs w:val="24"/>
              </w:rPr>
              <w:t xml:space="preserve"> (провідний сайт для ІТ </w:t>
            </w:r>
            <w:proofErr w:type="spellStart"/>
            <w:r w:rsidRPr="000C07D3">
              <w:rPr>
                <w:rFonts w:ascii="Times New Roman" w:hAnsi="Times New Roman"/>
                <w:sz w:val="24"/>
                <w:szCs w:val="24"/>
              </w:rPr>
              <w:t>dou.ua</w:t>
            </w:r>
            <w:proofErr w:type="spellEnd"/>
            <w:r w:rsidRPr="000C07D3">
              <w:rPr>
                <w:rFonts w:ascii="Times New Roman" w:hAnsi="Times New Roman"/>
                <w:sz w:val="24"/>
                <w:szCs w:val="24"/>
              </w:rPr>
              <w:t>)</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5</w:t>
            </w:r>
          </w:p>
        </w:tc>
      </w:tr>
      <w:tr w:rsidR="00D25DF3" w:rsidRPr="000C07D3" w:rsidTr="00CC6239">
        <w:trPr>
          <w:trHeight w:val="480"/>
          <w:tblCellSpacing w:w="0" w:type="dxa"/>
          <w:jc w:val="center"/>
        </w:trPr>
        <w:tc>
          <w:tcPr>
            <w:tcW w:w="460"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10</w:t>
            </w:r>
          </w:p>
        </w:tc>
        <w:tc>
          <w:tcPr>
            <w:tcW w:w="3782"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Конкурс «Дієва громада» (Міністерство цифрової трансформації України)</w:t>
            </w:r>
          </w:p>
        </w:tc>
        <w:tc>
          <w:tcPr>
            <w:tcW w:w="758" w:type="pct"/>
            <w:vAlign w:val="center"/>
          </w:tcPr>
          <w:p w:rsidR="00D25DF3" w:rsidRPr="000C07D3" w:rsidRDefault="00D25DF3" w:rsidP="00CC6239">
            <w:pPr>
              <w:jc w:val="center"/>
              <w:rPr>
                <w:rFonts w:ascii="Times New Roman" w:hAnsi="Times New Roman"/>
                <w:sz w:val="24"/>
                <w:szCs w:val="24"/>
              </w:rPr>
            </w:pPr>
            <w:r w:rsidRPr="000C07D3">
              <w:rPr>
                <w:rFonts w:ascii="Times New Roman" w:hAnsi="Times New Roman"/>
                <w:sz w:val="24"/>
                <w:szCs w:val="24"/>
              </w:rPr>
              <w:t>Відзнака</w:t>
            </w:r>
          </w:p>
        </w:tc>
      </w:tr>
    </w:tbl>
    <w:p w:rsidR="00D25DF3" w:rsidRPr="000C07D3" w:rsidRDefault="00D25DF3" w:rsidP="00D25DF3">
      <w:pPr>
        <w:jc w:val="center"/>
        <w:rPr>
          <w:rFonts w:ascii="Times New Roman" w:hAnsi="Times New Roman"/>
          <w:sz w:val="24"/>
          <w:szCs w:val="24"/>
        </w:rPr>
      </w:pPr>
      <w:r w:rsidRPr="000C07D3">
        <w:rPr>
          <w:rFonts w:ascii="Times New Roman" w:hAnsi="Times New Roman"/>
          <w:noProof/>
          <w:sz w:val="24"/>
          <w:szCs w:val="24"/>
        </w:rPr>
        <w:lastRenderedPageBreak/>
        <w:drawing>
          <wp:inline distT="0" distB="0" distL="0" distR="0">
            <wp:extent cx="6105525" cy="353377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Рис. 1. Динаміка бюджету громади, млн. грн.</w:t>
      </w:r>
    </w:p>
    <w:p w:rsidR="00D25DF3" w:rsidRPr="000C07D3" w:rsidRDefault="00D25DF3" w:rsidP="00D25DF3">
      <w:pPr>
        <w:jc w:val="center"/>
        <w:rPr>
          <w:rFonts w:ascii="Times New Roman" w:hAnsi="Times New Roman"/>
          <w:b/>
          <w:sz w:val="24"/>
          <w:szCs w:val="24"/>
        </w:rPr>
      </w:pPr>
    </w:p>
    <w:p w:rsidR="00D25DF3" w:rsidRPr="000C07D3" w:rsidRDefault="00D25DF3" w:rsidP="00D25DF3">
      <w:pPr>
        <w:widowControl w:val="0"/>
        <w:spacing w:line="360" w:lineRule="auto"/>
        <w:jc w:val="center"/>
        <w:rPr>
          <w:rFonts w:ascii="Times New Roman" w:hAnsi="Times New Roman"/>
          <w:b/>
          <w:bCs/>
          <w:sz w:val="24"/>
          <w:szCs w:val="24"/>
        </w:rPr>
      </w:pPr>
      <w:r w:rsidRPr="000C07D3">
        <w:rPr>
          <w:rFonts w:ascii="Times New Roman" w:hAnsi="Times New Roman"/>
          <w:b/>
          <w:noProof/>
          <w:sz w:val="24"/>
          <w:szCs w:val="24"/>
        </w:rPr>
        <w:drawing>
          <wp:inline distT="0" distB="0" distL="0" distR="0">
            <wp:extent cx="6048375" cy="3838575"/>
            <wp:effectExtent l="0" t="0" r="0" b="0"/>
            <wp:docPr id="6"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5DF3" w:rsidRPr="000C07D3" w:rsidRDefault="00D25DF3" w:rsidP="00D25DF3">
      <w:pPr>
        <w:widowControl w:val="0"/>
        <w:spacing w:line="360" w:lineRule="auto"/>
        <w:ind w:firstLine="709"/>
        <w:jc w:val="center"/>
        <w:rPr>
          <w:rFonts w:ascii="Times New Roman" w:hAnsi="Times New Roman"/>
          <w:b/>
          <w:bCs/>
          <w:sz w:val="24"/>
          <w:szCs w:val="24"/>
        </w:rPr>
      </w:pPr>
      <w:r w:rsidRPr="000C07D3">
        <w:rPr>
          <w:rFonts w:ascii="Times New Roman" w:hAnsi="Times New Roman"/>
          <w:b/>
          <w:bCs/>
          <w:sz w:val="24"/>
          <w:szCs w:val="24"/>
        </w:rPr>
        <w:t>Рис. 2. Динаміка діяльності громади у сфері міжнародного співробітництва, од.</w:t>
      </w:r>
    </w:p>
    <w:p w:rsidR="00D25DF3" w:rsidRPr="000C07D3" w:rsidRDefault="00D25DF3" w:rsidP="00D25DF3">
      <w:pPr>
        <w:jc w:val="center"/>
        <w:rPr>
          <w:rFonts w:ascii="Times New Roman" w:hAnsi="Times New Roman"/>
          <w:b/>
          <w:bCs/>
          <w:sz w:val="24"/>
          <w:szCs w:val="24"/>
        </w:rPr>
      </w:pPr>
      <w:r w:rsidRPr="000C07D3">
        <w:rPr>
          <w:rFonts w:ascii="Times New Roman" w:hAnsi="Times New Roman"/>
          <w:b/>
          <w:noProof/>
          <w:sz w:val="24"/>
          <w:szCs w:val="24"/>
        </w:rPr>
        <w:lastRenderedPageBreak/>
        <w:drawing>
          <wp:inline distT="0" distB="0" distL="0" distR="0">
            <wp:extent cx="6048375" cy="3324225"/>
            <wp:effectExtent l="0" t="0" r="0" b="0"/>
            <wp:docPr id="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DF3" w:rsidRPr="000C07D3" w:rsidRDefault="00D25DF3" w:rsidP="00D25DF3">
      <w:pPr>
        <w:jc w:val="center"/>
        <w:rPr>
          <w:rFonts w:ascii="Times New Roman" w:hAnsi="Times New Roman"/>
          <w:b/>
          <w:bCs/>
          <w:sz w:val="24"/>
          <w:szCs w:val="24"/>
        </w:rPr>
      </w:pPr>
      <w:r w:rsidRPr="000C07D3">
        <w:rPr>
          <w:rFonts w:ascii="Times New Roman" w:hAnsi="Times New Roman"/>
          <w:b/>
          <w:bCs/>
          <w:sz w:val="24"/>
          <w:szCs w:val="24"/>
        </w:rPr>
        <w:t>Рис. 3. Динаміка зовнішньоторговельного обороту, млн. дол. США</w:t>
      </w:r>
    </w:p>
    <w:p w:rsidR="00D25DF3" w:rsidRPr="000C07D3" w:rsidRDefault="00D25DF3" w:rsidP="00D25DF3">
      <w:pPr>
        <w:jc w:val="center"/>
        <w:rPr>
          <w:rFonts w:ascii="Times New Roman" w:hAnsi="Times New Roman"/>
          <w:b/>
          <w:bCs/>
          <w:sz w:val="24"/>
          <w:szCs w:val="24"/>
        </w:rPr>
      </w:pPr>
      <w:r w:rsidRPr="000C07D3">
        <w:rPr>
          <w:rFonts w:ascii="Times New Roman" w:hAnsi="Times New Roman"/>
          <w:b/>
          <w:noProof/>
          <w:sz w:val="24"/>
          <w:szCs w:val="24"/>
        </w:rPr>
        <w:drawing>
          <wp:inline distT="0" distB="0" distL="0" distR="0">
            <wp:extent cx="6048375" cy="3524250"/>
            <wp:effectExtent l="0" t="0" r="0" b="0"/>
            <wp:docPr id="8"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5DF3" w:rsidRPr="000C07D3" w:rsidRDefault="00D25DF3" w:rsidP="00D25DF3">
      <w:pPr>
        <w:jc w:val="center"/>
        <w:rPr>
          <w:rFonts w:ascii="Times New Roman" w:hAnsi="Times New Roman"/>
          <w:b/>
          <w:bCs/>
          <w:sz w:val="24"/>
          <w:szCs w:val="24"/>
        </w:rPr>
      </w:pPr>
      <w:r w:rsidRPr="000C07D3">
        <w:rPr>
          <w:rFonts w:ascii="Times New Roman" w:hAnsi="Times New Roman"/>
          <w:b/>
          <w:bCs/>
          <w:sz w:val="24"/>
          <w:szCs w:val="24"/>
        </w:rPr>
        <w:t>Рис. 4. Динаміка капітальних інвестицій, млн. грн.</w:t>
      </w:r>
    </w:p>
    <w:p w:rsidR="00D25DF3" w:rsidRPr="000C07D3" w:rsidRDefault="00D25DF3" w:rsidP="00D25DF3">
      <w:pPr>
        <w:jc w:val="center"/>
        <w:rPr>
          <w:rFonts w:ascii="Times New Roman" w:hAnsi="Times New Roman"/>
          <w:b/>
          <w:bCs/>
          <w:sz w:val="24"/>
          <w:szCs w:val="24"/>
        </w:rPr>
      </w:pPr>
      <w:r w:rsidRPr="000C07D3">
        <w:rPr>
          <w:rFonts w:ascii="Times New Roman" w:hAnsi="Times New Roman"/>
          <w:b/>
          <w:noProof/>
          <w:sz w:val="24"/>
          <w:szCs w:val="24"/>
        </w:rPr>
        <w:lastRenderedPageBreak/>
        <w:drawing>
          <wp:inline distT="0" distB="0" distL="0" distR="0">
            <wp:extent cx="6038850" cy="3524250"/>
            <wp:effectExtent l="0" t="0" r="0" b="0"/>
            <wp:docPr id="9"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5DF3" w:rsidRPr="000C07D3" w:rsidRDefault="00D25DF3" w:rsidP="00D25DF3">
      <w:pPr>
        <w:spacing w:line="360" w:lineRule="auto"/>
        <w:jc w:val="center"/>
        <w:rPr>
          <w:rFonts w:ascii="Times New Roman" w:hAnsi="Times New Roman"/>
          <w:b/>
          <w:bCs/>
          <w:sz w:val="24"/>
          <w:szCs w:val="24"/>
        </w:rPr>
      </w:pPr>
      <w:r w:rsidRPr="000C07D3">
        <w:rPr>
          <w:rFonts w:ascii="Times New Roman" w:hAnsi="Times New Roman"/>
          <w:b/>
          <w:bCs/>
          <w:sz w:val="24"/>
          <w:szCs w:val="24"/>
        </w:rPr>
        <w:t>Рис. 5. Динаміка кількості різноформатних подій та заходів (фестивалів, ярмарків, конференцій тощо), од.</w:t>
      </w:r>
    </w:p>
    <w:p w:rsidR="00D25DF3" w:rsidRPr="000C07D3" w:rsidRDefault="00D25DF3" w:rsidP="00D25DF3">
      <w:pPr>
        <w:widowControl w:val="0"/>
        <w:spacing w:line="360" w:lineRule="auto"/>
        <w:jc w:val="center"/>
        <w:rPr>
          <w:rFonts w:ascii="Times New Roman" w:hAnsi="Times New Roman"/>
          <w:b/>
          <w:bCs/>
          <w:sz w:val="24"/>
          <w:szCs w:val="24"/>
        </w:rPr>
      </w:pPr>
      <w:r w:rsidRPr="000C07D3">
        <w:rPr>
          <w:rFonts w:ascii="Times New Roman" w:hAnsi="Times New Roman"/>
          <w:b/>
          <w:noProof/>
          <w:sz w:val="24"/>
          <w:szCs w:val="24"/>
        </w:rPr>
        <w:drawing>
          <wp:inline distT="0" distB="0" distL="0" distR="0">
            <wp:extent cx="6105525" cy="3200400"/>
            <wp:effectExtent l="0" t="0" r="0" b="0"/>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 xml:space="preserve">             Рис. 6. Динаміка кількості ОСББ у житловому фонді громади, од.</w:t>
      </w:r>
    </w:p>
    <w:p w:rsidR="00D25DF3" w:rsidRPr="000C07D3" w:rsidRDefault="00D25DF3" w:rsidP="00D25DF3">
      <w:pPr>
        <w:jc w:val="center"/>
        <w:rPr>
          <w:rFonts w:ascii="Times New Roman" w:hAnsi="Times New Roman"/>
          <w:b/>
          <w:bCs/>
          <w:sz w:val="24"/>
          <w:szCs w:val="24"/>
        </w:rPr>
      </w:pPr>
      <w:r w:rsidRPr="000C07D3">
        <w:rPr>
          <w:rFonts w:ascii="Times New Roman" w:hAnsi="Times New Roman"/>
          <w:b/>
          <w:noProof/>
          <w:sz w:val="24"/>
          <w:szCs w:val="24"/>
        </w:rPr>
        <w:lastRenderedPageBreak/>
        <w:drawing>
          <wp:inline distT="0" distB="0" distL="0" distR="0">
            <wp:extent cx="5991225" cy="3524250"/>
            <wp:effectExtent l="0" t="0" r="0" b="0"/>
            <wp:docPr id="11"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5DF3" w:rsidRPr="000C07D3" w:rsidRDefault="00D25DF3" w:rsidP="00D25DF3">
      <w:pPr>
        <w:spacing w:line="360" w:lineRule="auto"/>
        <w:jc w:val="center"/>
        <w:rPr>
          <w:rFonts w:ascii="Times New Roman" w:hAnsi="Times New Roman"/>
          <w:b/>
          <w:bCs/>
          <w:sz w:val="24"/>
          <w:szCs w:val="24"/>
        </w:rPr>
      </w:pPr>
      <w:r w:rsidRPr="000C07D3">
        <w:rPr>
          <w:rFonts w:ascii="Times New Roman" w:hAnsi="Times New Roman"/>
          <w:b/>
          <w:bCs/>
          <w:sz w:val="24"/>
          <w:szCs w:val="24"/>
        </w:rPr>
        <w:t>Рис. 7. Динаміка коштів, витрачених на модернізацію житлово-комунального фонду, млн. грн.</w:t>
      </w:r>
    </w:p>
    <w:p w:rsidR="00D25DF3" w:rsidRPr="000C07D3" w:rsidRDefault="00D25DF3" w:rsidP="00D25DF3">
      <w:pPr>
        <w:widowControl w:val="0"/>
        <w:spacing w:line="360" w:lineRule="auto"/>
        <w:jc w:val="center"/>
        <w:rPr>
          <w:rFonts w:ascii="Times New Roman" w:hAnsi="Times New Roman"/>
          <w:sz w:val="24"/>
          <w:szCs w:val="24"/>
        </w:rPr>
      </w:pPr>
      <w:r w:rsidRPr="000C07D3">
        <w:rPr>
          <w:rFonts w:ascii="Times New Roman" w:hAnsi="Times New Roman"/>
          <w:noProof/>
          <w:sz w:val="24"/>
          <w:szCs w:val="24"/>
        </w:rPr>
        <w:drawing>
          <wp:inline distT="0" distB="0" distL="0" distR="0">
            <wp:extent cx="6105525" cy="3086100"/>
            <wp:effectExtent l="0" t="0" r="0" b="0"/>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 xml:space="preserve">Рис. 8. Динаміка кількості партнерських міст громади </w:t>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з муніципалітетами Європи та світу, од.</w:t>
      </w:r>
    </w:p>
    <w:p w:rsidR="00D25DF3" w:rsidRPr="000C07D3" w:rsidRDefault="00D25DF3" w:rsidP="00D25DF3">
      <w:pPr>
        <w:widowControl w:val="0"/>
        <w:spacing w:line="360" w:lineRule="auto"/>
        <w:jc w:val="center"/>
        <w:rPr>
          <w:rFonts w:ascii="Times New Roman" w:hAnsi="Times New Roman"/>
          <w:sz w:val="24"/>
          <w:szCs w:val="24"/>
        </w:rPr>
      </w:pPr>
      <w:r w:rsidRPr="000C07D3">
        <w:rPr>
          <w:rFonts w:ascii="Times New Roman" w:hAnsi="Times New Roman"/>
          <w:noProof/>
          <w:sz w:val="24"/>
          <w:szCs w:val="24"/>
        </w:rPr>
        <w:lastRenderedPageBreak/>
        <w:drawing>
          <wp:inline distT="0" distB="0" distL="0" distR="0">
            <wp:extent cx="6105525" cy="2857500"/>
            <wp:effectExtent l="0" t="0" r="0"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Рис. 9. Динаміка кількості туристів, тис. осіб</w:t>
      </w:r>
    </w:p>
    <w:p w:rsidR="00D25DF3" w:rsidRPr="000C07D3" w:rsidRDefault="00D25DF3" w:rsidP="00D25DF3">
      <w:pPr>
        <w:widowControl w:val="0"/>
        <w:spacing w:line="360" w:lineRule="auto"/>
        <w:jc w:val="center"/>
        <w:rPr>
          <w:rFonts w:ascii="Times New Roman" w:hAnsi="Times New Roman"/>
          <w:b/>
          <w:bCs/>
          <w:sz w:val="24"/>
          <w:szCs w:val="24"/>
        </w:rPr>
      </w:pPr>
      <w:r w:rsidRPr="000C07D3">
        <w:rPr>
          <w:rFonts w:ascii="Times New Roman" w:hAnsi="Times New Roman"/>
          <w:b/>
          <w:noProof/>
          <w:sz w:val="24"/>
          <w:szCs w:val="24"/>
        </w:rPr>
        <w:drawing>
          <wp:inline distT="0" distB="0" distL="0" distR="0">
            <wp:extent cx="6029325" cy="2143125"/>
            <wp:effectExtent l="19050" t="0" r="9525" b="0"/>
            <wp:docPr id="14" name="Рисунок 27" descr="C:\Users\d02-Zaharchuk\Desktop\Кредитний рей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Users\d02-Zaharchuk\Desktop\Кредитний рейтинг.jpg"/>
                    <pic:cNvPicPr>
                      <a:picLocks noChangeAspect="1" noChangeArrowheads="1"/>
                    </pic:cNvPicPr>
                  </pic:nvPicPr>
                  <pic:blipFill>
                    <a:blip r:embed="rId19"/>
                    <a:srcRect/>
                    <a:stretch>
                      <a:fillRect/>
                    </a:stretch>
                  </pic:blipFill>
                  <pic:spPr bwMode="auto">
                    <a:xfrm>
                      <a:off x="0" y="0"/>
                      <a:ext cx="6029325" cy="2143125"/>
                    </a:xfrm>
                    <a:prstGeom prst="rect">
                      <a:avLst/>
                    </a:prstGeom>
                    <a:noFill/>
                    <a:ln w="9525">
                      <a:noFill/>
                      <a:miter lim="800000"/>
                      <a:headEnd/>
                      <a:tailEnd/>
                    </a:ln>
                  </pic:spPr>
                </pic:pic>
              </a:graphicData>
            </a:graphic>
          </wp:inline>
        </w:drawing>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Рис. 10. Динаміка кредитного рейтингу</w:t>
      </w:r>
    </w:p>
    <w:p w:rsidR="00D25DF3" w:rsidRPr="000C07D3" w:rsidRDefault="00D25DF3" w:rsidP="00D25DF3">
      <w:pPr>
        <w:jc w:val="center"/>
        <w:rPr>
          <w:rFonts w:ascii="Times New Roman" w:hAnsi="Times New Roman"/>
          <w:sz w:val="24"/>
          <w:szCs w:val="24"/>
        </w:rPr>
      </w:pPr>
      <w:r w:rsidRPr="000C07D3">
        <w:rPr>
          <w:rFonts w:ascii="Times New Roman" w:hAnsi="Times New Roman"/>
          <w:noProof/>
          <w:sz w:val="24"/>
          <w:szCs w:val="24"/>
        </w:rPr>
        <w:lastRenderedPageBreak/>
        <w:drawing>
          <wp:inline distT="0" distB="0" distL="0" distR="0">
            <wp:extent cx="6048375" cy="3524250"/>
            <wp:effectExtent l="0" t="0" r="0" b="0"/>
            <wp:docPr id="1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t xml:space="preserve">Рис. 11. Динаміка обсягів реалізації промислової продукції </w:t>
      </w: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t>підприємствами громади, млн. грн.</w:t>
      </w:r>
    </w:p>
    <w:p w:rsidR="00D25DF3" w:rsidRPr="000C07D3" w:rsidRDefault="00D25DF3" w:rsidP="00D25DF3">
      <w:pPr>
        <w:jc w:val="center"/>
        <w:rPr>
          <w:rFonts w:ascii="Times New Roman" w:hAnsi="Times New Roman"/>
          <w:b/>
          <w:bCs/>
          <w:sz w:val="24"/>
          <w:szCs w:val="24"/>
        </w:rPr>
      </w:pPr>
      <w:r w:rsidRPr="000C07D3">
        <w:rPr>
          <w:rFonts w:ascii="Times New Roman" w:hAnsi="Times New Roman"/>
          <w:b/>
          <w:noProof/>
          <w:sz w:val="24"/>
          <w:szCs w:val="24"/>
        </w:rPr>
        <w:drawing>
          <wp:inline distT="0" distB="0" distL="0" distR="0">
            <wp:extent cx="5981700" cy="3524250"/>
            <wp:effectExtent l="0" t="0" r="0" b="0"/>
            <wp:docPr id="1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5DF3" w:rsidRPr="000C07D3" w:rsidRDefault="00D25DF3" w:rsidP="00D25DF3">
      <w:pPr>
        <w:jc w:val="center"/>
        <w:rPr>
          <w:rFonts w:ascii="Times New Roman" w:hAnsi="Times New Roman"/>
          <w:b/>
          <w:bCs/>
          <w:sz w:val="24"/>
          <w:szCs w:val="24"/>
        </w:rPr>
      </w:pPr>
      <w:r w:rsidRPr="000C07D3">
        <w:rPr>
          <w:rFonts w:ascii="Times New Roman" w:hAnsi="Times New Roman"/>
          <w:b/>
          <w:bCs/>
          <w:sz w:val="24"/>
          <w:szCs w:val="24"/>
        </w:rPr>
        <w:t>Рис. 12. Динаміка обсягів роздрібного товарообороту громади, млн. грн.</w:t>
      </w:r>
    </w:p>
    <w:p w:rsidR="00D25DF3" w:rsidRPr="000C07D3" w:rsidRDefault="00D25DF3" w:rsidP="00D25DF3">
      <w:pPr>
        <w:jc w:val="center"/>
        <w:rPr>
          <w:rFonts w:ascii="Times New Roman" w:hAnsi="Times New Roman"/>
          <w:sz w:val="24"/>
          <w:szCs w:val="24"/>
        </w:rPr>
      </w:pPr>
      <w:r w:rsidRPr="000C07D3">
        <w:rPr>
          <w:rFonts w:ascii="Times New Roman" w:hAnsi="Times New Roman"/>
          <w:noProof/>
          <w:sz w:val="24"/>
          <w:szCs w:val="24"/>
        </w:rPr>
        <w:lastRenderedPageBreak/>
        <w:drawing>
          <wp:inline distT="0" distB="0" distL="0" distR="0">
            <wp:extent cx="6105525" cy="3400425"/>
            <wp:effectExtent l="0" t="0" r="0" b="0"/>
            <wp:docPr id="1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t xml:space="preserve">      Рис. 13. Динаміка обсягів споживання природного газу в громаді,</w:t>
      </w: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t xml:space="preserve">    млн. м. куб.</w:t>
      </w:r>
    </w:p>
    <w:p w:rsidR="00D25DF3" w:rsidRPr="000C07D3" w:rsidRDefault="00D25DF3" w:rsidP="00D25DF3">
      <w:pPr>
        <w:jc w:val="center"/>
        <w:rPr>
          <w:rFonts w:ascii="Times New Roman" w:hAnsi="Times New Roman"/>
          <w:sz w:val="24"/>
          <w:szCs w:val="24"/>
        </w:rPr>
      </w:pPr>
      <w:r w:rsidRPr="000C07D3">
        <w:rPr>
          <w:rFonts w:ascii="Times New Roman" w:hAnsi="Times New Roman"/>
          <w:noProof/>
          <w:sz w:val="24"/>
          <w:szCs w:val="24"/>
        </w:rPr>
        <w:drawing>
          <wp:inline distT="0" distB="0" distL="0" distR="0">
            <wp:extent cx="6105525" cy="3400425"/>
            <wp:effectExtent l="0" t="0" r="0" b="0"/>
            <wp:docPr id="1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5DF3" w:rsidRPr="000C07D3" w:rsidRDefault="00D25DF3" w:rsidP="00D25DF3">
      <w:pPr>
        <w:spacing w:line="360" w:lineRule="auto"/>
        <w:jc w:val="center"/>
        <w:rPr>
          <w:rFonts w:ascii="Times New Roman" w:hAnsi="Times New Roman"/>
          <w:b/>
          <w:sz w:val="24"/>
          <w:szCs w:val="24"/>
        </w:rPr>
      </w:pPr>
      <w:r w:rsidRPr="000C07D3">
        <w:rPr>
          <w:rFonts w:ascii="Times New Roman" w:hAnsi="Times New Roman"/>
          <w:b/>
          <w:sz w:val="24"/>
          <w:szCs w:val="24"/>
        </w:rPr>
        <w:t>Рис. 14. Динаміка кількості комунального громадського транспорту, од.</w:t>
      </w:r>
    </w:p>
    <w:p w:rsidR="00D25DF3" w:rsidRPr="000C07D3" w:rsidRDefault="00D25DF3" w:rsidP="00D25DF3">
      <w:pPr>
        <w:jc w:val="center"/>
        <w:rPr>
          <w:rFonts w:ascii="Times New Roman" w:hAnsi="Times New Roman"/>
          <w:b/>
          <w:bCs/>
          <w:sz w:val="24"/>
          <w:szCs w:val="24"/>
        </w:rPr>
      </w:pPr>
      <w:r w:rsidRPr="000C07D3">
        <w:rPr>
          <w:rFonts w:ascii="Times New Roman" w:hAnsi="Times New Roman"/>
          <w:b/>
          <w:noProof/>
          <w:sz w:val="24"/>
          <w:szCs w:val="24"/>
        </w:rPr>
        <w:lastRenderedPageBreak/>
        <w:drawing>
          <wp:inline distT="0" distB="0" distL="0" distR="0">
            <wp:extent cx="6105525" cy="3533775"/>
            <wp:effectExtent l="0" t="0" r="0" b="0"/>
            <wp:docPr id="19"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5DF3" w:rsidRPr="000C07D3" w:rsidRDefault="00D25DF3" w:rsidP="00D25DF3">
      <w:pPr>
        <w:jc w:val="center"/>
        <w:rPr>
          <w:rFonts w:ascii="Times New Roman" w:hAnsi="Times New Roman"/>
          <w:b/>
          <w:bCs/>
          <w:sz w:val="24"/>
          <w:szCs w:val="24"/>
        </w:rPr>
      </w:pPr>
      <w:r w:rsidRPr="000C07D3">
        <w:rPr>
          <w:rFonts w:ascii="Times New Roman" w:hAnsi="Times New Roman"/>
          <w:b/>
          <w:bCs/>
          <w:sz w:val="24"/>
          <w:szCs w:val="24"/>
        </w:rPr>
        <w:t>Рис. 15. Динаміка прямих іноземних інвестицій в громаді, млн. дол. США</w:t>
      </w:r>
    </w:p>
    <w:p w:rsidR="00D25DF3" w:rsidRPr="000C07D3" w:rsidRDefault="00D25DF3" w:rsidP="00D25DF3">
      <w:pPr>
        <w:widowControl w:val="0"/>
        <w:spacing w:line="360" w:lineRule="auto"/>
        <w:jc w:val="center"/>
        <w:rPr>
          <w:rFonts w:ascii="Times New Roman" w:hAnsi="Times New Roman"/>
          <w:sz w:val="24"/>
          <w:szCs w:val="24"/>
        </w:rPr>
      </w:pPr>
      <w:r w:rsidRPr="000C07D3">
        <w:rPr>
          <w:rFonts w:ascii="Times New Roman" w:hAnsi="Times New Roman"/>
          <w:noProof/>
          <w:sz w:val="24"/>
          <w:szCs w:val="24"/>
        </w:rPr>
        <w:drawing>
          <wp:inline distT="0" distB="0" distL="0" distR="0">
            <wp:extent cx="6019800" cy="2543175"/>
            <wp:effectExtent l="19050" t="0" r="0" b="0"/>
            <wp:docPr id="20" name="Рисунок 20" descr="C:\Users\d02-Zaharchuk\Desktop\Інвестиційний рей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d02-Zaharchuk\Desktop\Інвестиційний рейтинг.jpg"/>
                    <pic:cNvPicPr>
                      <a:picLocks noChangeAspect="1" noChangeArrowheads="1"/>
                    </pic:cNvPicPr>
                  </pic:nvPicPr>
                  <pic:blipFill>
                    <a:blip r:embed="rId25"/>
                    <a:srcRect/>
                    <a:stretch>
                      <a:fillRect/>
                    </a:stretch>
                  </pic:blipFill>
                  <pic:spPr bwMode="auto">
                    <a:xfrm>
                      <a:off x="0" y="0"/>
                      <a:ext cx="6019800" cy="2543175"/>
                    </a:xfrm>
                    <a:prstGeom prst="rect">
                      <a:avLst/>
                    </a:prstGeom>
                    <a:noFill/>
                    <a:ln w="9525">
                      <a:noFill/>
                      <a:miter lim="800000"/>
                      <a:headEnd/>
                      <a:tailEnd/>
                    </a:ln>
                  </pic:spPr>
                </pic:pic>
              </a:graphicData>
            </a:graphic>
          </wp:inline>
        </w:drawing>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 xml:space="preserve">Рис. 16. Динаміка рейтингу інвестиційної привабливості </w:t>
      </w:r>
    </w:p>
    <w:p w:rsidR="00D25DF3" w:rsidRPr="000C07D3" w:rsidRDefault="00D25DF3" w:rsidP="00D25DF3">
      <w:pPr>
        <w:widowControl w:val="0"/>
        <w:spacing w:line="360" w:lineRule="auto"/>
        <w:jc w:val="center"/>
        <w:rPr>
          <w:rFonts w:ascii="Times New Roman" w:hAnsi="Times New Roman"/>
          <w:noProof/>
          <w:sz w:val="24"/>
          <w:szCs w:val="24"/>
        </w:rPr>
      </w:pPr>
      <w:r w:rsidRPr="000C07D3">
        <w:rPr>
          <w:rFonts w:ascii="Times New Roman" w:hAnsi="Times New Roman"/>
          <w:noProof/>
          <w:sz w:val="24"/>
          <w:szCs w:val="24"/>
        </w:rPr>
        <w:lastRenderedPageBreak/>
        <w:drawing>
          <wp:inline distT="0" distB="0" distL="0" distR="0">
            <wp:extent cx="6048375" cy="2676525"/>
            <wp:effectExtent l="0" t="0" r="0" b="0"/>
            <wp:docPr id="2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Рис. 17. Динаміка туристичного збору, тис. грн.</w:t>
      </w:r>
    </w:p>
    <w:p w:rsidR="00D25DF3" w:rsidRPr="000C07D3" w:rsidRDefault="00D25DF3" w:rsidP="00D25DF3">
      <w:pPr>
        <w:widowControl w:val="0"/>
        <w:spacing w:line="360" w:lineRule="auto"/>
        <w:jc w:val="center"/>
        <w:rPr>
          <w:rFonts w:ascii="Times New Roman" w:hAnsi="Times New Roman"/>
          <w:noProof/>
          <w:sz w:val="24"/>
          <w:szCs w:val="24"/>
        </w:rPr>
      </w:pPr>
      <w:r w:rsidRPr="000C07D3">
        <w:rPr>
          <w:rFonts w:ascii="Times New Roman" w:hAnsi="Times New Roman"/>
          <w:noProof/>
          <w:sz w:val="24"/>
          <w:szCs w:val="24"/>
        </w:rPr>
        <w:drawing>
          <wp:inline distT="0" distB="0" distL="0" distR="0">
            <wp:extent cx="6257925" cy="2771775"/>
            <wp:effectExtent l="0"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5DF3" w:rsidRPr="000C07D3" w:rsidRDefault="00D25DF3" w:rsidP="00D25DF3">
      <w:pPr>
        <w:widowControl w:val="0"/>
        <w:spacing w:line="360" w:lineRule="auto"/>
        <w:ind w:firstLine="720"/>
        <w:jc w:val="center"/>
        <w:rPr>
          <w:rFonts w:ascii="Times New Roman" w:hAnsi="Times New Roman"/>
          <w:b/>
          <w:bCs/>
          <w:sz w:val="24"/>
          <w:szCs w:val="24"/>
        </w:rPr>
      </w:pPr>
      <w:r w:rsidRPr="000C07D3">
        <w:rPr>
          <w:rFonts w:ascii="Times New Roman" w:hAnsi="Times New Roman"/>
          <w:b/>
          <w:bCs/>
          <w:sz w:val="24"/>
          <w:szCs w:val="24"/>
        </w:rPr>
        <w:t xml:space="preserve">Рис. 18. Динаміка чисельності населення громади, тис. осіб </w:t>
      </w:r>
    </w:p>
    <w:p w:rsidR="00D25DF3" w:rsidRPr="000C07D3" w:rsidRDefault="00D25DF3" w:rsidP="00D25DF3">
      <w:pPr>
        <w:jc w:val="center"/>
        <w:rPr>
          <w:rFonts w:ascii="Times New Roman" w:hAnsi="Times New Roman"/>
          <w:sz w:val="24"/>
          <w:szCs w:val="24"/>
        </w:rPr>
      </w:pPr>
      <w:r w:rsidRPr="000C07D3">
        <w:rPr>
          <w:rFonts w:ascii="Times New Roman" w:hAnsi="Times New Roman"/>
          <w:noProof/>
          <w:sz w:val="24"/>
          <w:szCs w:val="24"/>
        </w:rPr>
        <w:lastRenderedPageBreak/>
        <w:drawing>
          <wp:inline distT="0" distB="0" distL="0" distR="0">
            <wp:extent cx="6105525" cy="3533775"/>
            <wp:effectExtent l="0" t="0" r="0" b="0"/>
            <wp:docPr id="2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Рис. 19. Динаміка кількості зареєстрованих безробітних в громаді, тис. осіб</w:t>
      </w:r>
    </w:p>
    <w:p w:rsidR="00D25DF3" w:rsidRPr="000C07D3" w:rsidRDefault="00D25DF3" w:rsidP="00D25DF3">
      <w:pPr>
        <w:jc w:val="center"/>
        <w:rPr>
          <w:rFonts w:ascii="Times New Roman" w:hAnsi="Times New Roman"/>
          <w:b/>
          <w:sz w:val="24"/>
          <w:szCs w:val="24"/>
        </w:rPr>
      </w:pPr>
      <w:r w:rsidRPr="000C07D3">
        <w:rPr>
          <w:rFonts w:ascii="Times New Roman" w:hAnsi="Times New Roman"/>
          <w:b/>
          <w:noProof/>
          <w:sz w:val="24"/>
          <w:szCs w:val="24"/>
        </w:rPr>
        <w:drawing>
          <wp:inline distT="0" distB="0" distL="0" distR="0">
            <wp:extent cx="6105525" cy="3533775"/>
            <wp:effectExtent l="0" t="0" r="0" b="0"/>
            <wp:docPr id="24"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Рис. 20. Динаміка середньомісячної заробітної плати, грн.</w:t>
      </w:r>
    </w:p>
    <w:p w:rsidR="00D25DF3" w:rsidRPr="000C07D3" w:rsidRDefault="00D25DF3" w:rsidP="00D25DF3">
      <w:pPr>
        <w:jc w:val="center"/>
        <w:rPr>
          <w:rFonts w:ascii="Times New Roman" w:hAnsi="Times New Roman"/>
          <w:b/>
          <w:sz w:val="24"/>
          <w:szCs w:val="24"/>
        </w:rPr>
      </w:pPr>
      <w:r w:rsidRPr="000C07D3">
        <w:rPr>
          <w:rFonts w:ascii="Times New Roman" w:hAnsi="Times New Roman"/>
          <w:b/>
          <w:noProof/>
          <w:sz w:val="24"/>
          <w:szCs w:val="24"/>
        </w:rPr>
        <w:lastRenderedPageBreak/>
        <w:drawing>
          <wp:inline distT="0" distB="0" distL="0" distR="0">
            <wp:extent cx="6324600" cy="3619500"/>
            <wp:effectExtent l="0" t="0" r="0" b="0"/>
            <wp:docPr id="2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 xml:space="preserve">Рис. 21. Динаміка кількості </w:t>
      </w:r>
      <w:proofErr w:type="spellStart"/>
      <w:r w:rsidRPr="000C07D3">
        <w:rPr>
          <w:rFonts w:ascii="Times New Roman" w:hAnsi="Times New Roman"/>
          <w:b/>
          <w:sz w:val="24"/>
          <w:szCs w:val="24"/>
        </w:rPr>
        <w:t>онлайн-сервісів</w:t>
      </w:r>
      <w:proofErr w:type="spellEnd"/>
      <w:r w:rsidRPr="000C07D3">
        <w:rPr>
          <w:rFonts w:ascii="Times New Roman" w:hAnsi="Times New Roman"/>
          <w:b/>
          <w:sz w:val="24"/>
          <w:szCs w:val="24"/>
        </w:rPr>
        <w:t xml:space="preserve"> та електронних ресурсів, од.</w:t>
      </w:r>
    </w:p>
    <w:p w:rsidR="00D25DF3" w:rsidRPr="000C07D3" w:rsidRDefault="00D25DF3" w:rsidP="00D25DF3">
      <w:pPr>
        <w:jc w:val="center"/>
        <w:rPr>
          <w:rFonts w:ascii="Times New Roman" w:hAnsi="Times New Roman"/>
          <w:b/>
          <w:sz w:val="24"/>
          <w:szCs w:val="24"/>
        </w:rPr>
      </w:pPr>
      <w:r w:rsidRPr="000C07D3">
        <w:rPr>
          <w:rFonts w:ascii="Times New Roman" w:hAnsi="Times New Roman"/>
          <w:b/>
          <w:noProof/>
          <w:sz w:val="24"/>
          <w:szCs w:val="24"/>
        </w:rPr>
        <w:drawing>
          <wp:inline distT="0" distB="0" distL="0" distR="0">
            <wp:extent cx="6105525" cy="3533775"/>
            <wp:effectExtent l="0" t="0" r="0" b="0"/>
            <wp:docPr id="2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 xml:space="preserve">Рис. 22. Динаміка кількості встановлених камер </w:t>
      </w:r>
      <w:proofErr w:type="spellStart"/>
      <w:r w:rsidRPr="000C07D3">
        <w:rPr>
          <w:rFonts w:ascii="Times New Roman" w:hAnsi="Times New Roman"/>
          <w:b/>
          <w:sz w:val="24"/>
          <w:szCs w:val="24"/>
        </w:rPr>
        <w:t>відеоспостереження</w:t>
      </w:r>
      <w:proofErr w:type="spellEnd"/>
      <w:r w:rsidRPr="000C07D3">
        <w:rPr>
          <w:rFonts w:ascii="Times New Roman" w:hAnsi="Times New Roman"/>
          <w:b/>
          <w:sz w:val="24"/>
          <w:szCs w:val="24"/>
        </w:rPr>
        <w:t>, од.</w:t>
      </w:r>
    </w:p>
    <w:p w:rsidR="00D25DF3" w:rsidRPr="000C07D3" w:rsidRDefault="00D25DF3" w:rsidP="00D25DF3">
      <w:pPr>
        <w:jc w:val="center"/>
        <w:rPr>
          <w:rFonts w:ascii="Times New Roman" w:hAnsi="Times New Roman"/>
          <w:b/>
          <w:sz w:val="24"/>
          <w:szCs w:val="24"/>
        </w:rPr>
      </w:pPr>
      <w:r w:rsidRPr="000C07D3">
        <w:rPr>
          <w:rFonts w:ascii="Times New Roman" w:hAnsi="Times New Roman"/>
          <w:b/>
          <w:noProof/>
          <w:sz w:val="24"/>
          <w:szCs w:val="24"/>
        </w:rPr>
        <w:lastRenderedPageBreak/>
        <w:drawing>
          <wp:inline distT="0" distB="0" distL="0" distR="0">
            <wp:extent cx="6105525" cy="3533775"/>
            <wp:effectExtent l="0" t="0" r="0" b="0"/>
            <wp:docPr id="27"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25DF3" w:rsidRPr="000C07D3" w:rsidRDefault="00D25DF3" w:rsidP="00D25DF3">
      <w:pPr>
        <w:jc w:val="center"/>
        <w:rPr>
          <w:rFonts w:ascii="Times New Roman" w:hAnsi="Times New Roman"/>
          <w:b/>
          <w:sz w:val="24"/>
          <w:szCs w:val="24"/>
        </w:rPr>
      </w:pPr>
      <w:r w:rsidRPr="000C07D3">
        <w:rPr>
          <w:rFonts w:ascii="Times New Roman" w:hAnsi="Times New Roman"/>
          <w:b/>
          <w:sz w:val="24"/>
          <w:szCs w:val="24"/>
        </w:rPr>
        <w:t>Рис. 23. Динаміка кількості об’єктів спортивної інфраструктури, од.</w:t>
      </w:r>
    </w:p>
    <w:p w:rsidR="00D25DF3" w:rsidRPr="000C07D3" w:rsidRDefault="00D25DF3" w:rsidP="00D25DF3">
      <w:pPr>
        <w:tabs>
          <w:tab w:val="left" w:pos="284"/>
        </w:tabs>
        <w:ind w:left="284" w:firstLine="1276"/>
        <w:jc w:val="both"/>
        <w:rPr>
          <w:rFonts w:ascii="Times New Roman" w:hAnsi="Times New Roman"/>
          <w:sz w:val="24"/>
          <w:szCs w:val="24"/>
        </w:rPr>
      </w:pPr>
      <w:r w:rsidRPr="000C07D3">
        <w:rPr>
          <w:rFonts w:ascii="Times New Roman" w:hAnsi="Times New Roman"/>
          <w:sz w:val="24"/>
          <w:szCs w:val="24"/>
        </w:rPr>
        <w:t>Начальник управління                                                        Юрій ДЕЙНЕКА</w:t>
      </w:r>
    </w:p>
    <w:p w:rsidR="00496834" w:rsidRDefault="00496834"/>
    <w:sectPr w:rsidR="004968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25DF3"/>
    <w:rsid w:val="00496834"/>
    <w:rsid w:val="00D25D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DF3"/>
    <w:rPr>
      <w:rFonts w:cs="Times New Roman"/>
      <w:color w:val="0000FF"/>
      <w:u w:val="single"/>
    </w:rPr>
  </w:style>
  <w:style w:type="paragraph" w:customStyle="1" w:styleId="1">
    <w:name w:val="Без інтервалів1"/>
    <w:qFormat/>
    <w:rsid w:val="00D25DF3"/>
    <w:pPr>
      <w:suppressAutoHyphens/>
      <w:spacing w:after="0" w:line="240" w:lineRule="auto"/>
    </w:pPr>
    <w:rPr>
      <w:rFonts w:ascii="Calibri" w:eastAsia="Times New Roman" w:hAnsi="Calibri" w:cs="Times New Roman"/>
      <w:lang w:eastAsia="ar-SA"/>
    </w:rPr>
  </w:style>
  <w:style w:type="paragraph" w:customStyle="1" w:styleId="ms-rteelement-p">
    <w:name w:val="ms-rteelement-p"/>
    <w:basedOn w:val="a"/>
    <w:rsid w:val="00D25D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25D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nannia.ua/"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webSettings" Target="webSetting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hyperlink" Target="https://www.facebook.com/centerforeducationalinitiatives/"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styles" Target="styles.xml"/><Relationship Id="rId6" Type="http://schemas.openxmlformats.org/officeDocument/2006/relationships/hyperlink" Target="https://www.coe.int/en/web/portal/home/" TargetMode="Externa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1.xml"/><Relationship Id="rId5" Type="http://schemas.openxmlformats.org/officeDocument/2006/relationships/hyperlink" Target="https://mon.gov.ua/ua" TargetMode="Externa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image" Target="media/image1.jpeg"/><Relationship Id="rId31" Type="http://schemas.openxmlformats.org/officeDocument/2006/relationships/chart" Target="charts/chart20.xml"/><Relationship Id="rId4" Type="http://schemas.openxmlformats.org/officeDocument/2006/relationships/hyperlink" Target="http://www.theewc.org/" TargetMode="External"/><Relationship Id="rId9" Type="http://schemas.openxmlformats.org/officeDocument/2006/relationships/hyperlink" Target="https://ternopilcity.gov.ua/gromadyanam/sotsialni-poslugi/17596.html" TargetMode="Externa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chart" Target="charts/chart1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7463556851311575E-2"/>
          <c:y val="3.2911392405063487E-2"/>
          <c:w val="0.89795918367346961"/>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879">
              <a:solidFill>
                <a:srgbClr val="000000"/>
              </a:solidFill>
              <a:prstDash val="solid"/>
            </a:ln>
          </c:spPr>
          <c:dLbls>
            <c:dLbl>
              <c:idx val="0"/>
              <c:layout>
                <c:manualLayout>
                  <c:x val="-1.5220930918849321E-3"/>
                  <c:y val="6.5526128118714722E-2"/>
                </c:manualLayout>
              </c:layout>
              <c:showVal val="1"/>
            </c:dLbl>
            <c:dLbl>
              <c:idx val="1"/>
              <c:layout>
                <c:manualLayout>
                  <c:x val="1.9876764062810633E-3"/>
                  <c:y val="6.1908856405846882E-2"/>
                </c:manualLayout>
              </c:layout>
              <c:showVal val="1"/>
            </c:dLbl>
            <c:dLbl>
              <c:idx val="2"/>
              <c:layout>
                <c:manualLayout>
                  <c:x val="-9.3437347540257999E-4"/>
                  <c:y val="6.6864359681867366E-2"/>
                </c:manualLayout>
              </c:layout>
              <c:showVal val="1"/>
            </c:dLbl>
            <c:dLbl>
              <c:idx val="3"/>
              <c:layout>
                <c:manualLayout>
                  <c:x val="-1.9876764062810633E-3"/>
                  <c:y val="6.5348237317282912E-2"/>
                </c:manualLayout>
              </c:layout>
              <c:showVal val="1"/>
            </c:dLbl>
            <c:spPr>
              <a:noFill/>
              <a:ln w="35760">
                <a:noFill/>
              </a:ln>
            </c:spPr>
            <c:txPr>
              <a:bodyPr/>
              <a:lstStyle/>
              <a:p>
                <a:pPr>
                  <a:defRPr sz="140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2341</c:v>
                </c:pt>
                <c:pt idx="1">
                  <c:v>2450</c:v>
                </c:pt>
                <c:pt idx="2">
                  <c:v>2613</c:v>
                </c:pt>
                <c:pt idx="3">
                  <c:v>2442</c:v>
                </c:pt>
              </c:numCache>
            </c:numRef>
          </c:val>
        </c:ser>
        <c:gapDepth val="0"/>
        <c:shape val="box"/>
        <c:axId val="386459136"/>
        <c:axId val="386460672"/>
        <c:axId val="0"/>
      </c:bar3DChart>
      <c:catAx>
        <c:axId val="386459136"/>
        <c:scaling>
          <c:orientation val="minMax"/>
        </c:scaling>
        <c:axPos val="b"/>
        <c:numFmt formatCode="General" sourceLinked="1"/>
        <c:tickLblPos val="low"/>
        <c:spPr>
          <a:ln w="4470">
            <a:solidFill>
              <a:srgbClr val="000000"/>
            </a:solidFill>
            <a:prstDash val="solid"/>
          </a:ln>
        </c:spPr>
        <c:txPr>
          <a:bodyPr rot="0" vert="horz"/>
          <a:lstStyle/>
          <a:p>
            <a:pPr>
              <a:defRPr sz="1400"/>
            </a:pPr>
            <a:endParaRPr lang="uk-UA"/>
          </a:p>
        </c:txPr>
        <c:crossAx val="386460672"/>
        <c:crosses val="autoZero"/>
        <c:auto val="1"/>
        <c:lblAlgn val="ctr"/>
        <c:lblOffset val="100"/>
        <c:tickLblSkip val="1"/>
        <c:tickMarkSkip val="1"/>
      </c:catAx>
      <c:valAx>
        <c:axId val="386460672"/>
        <c:scaling>
          <c:orientation val="minMax"/>
          <c:min val="0"/>
        </c:scaling>
        <c:axPos val="l"/>
        <c:majorGridlines>
          <c:spPr>
            <a:ln w="4470">
              <a:solidFill>
                <a:srgbClr val="000000"/>
              </a:solidFill>
              <a:prstDash val="solid"/>
            </a:ln>
          </c:spPr>
        </c:majorGridlines>
        <c:numFmt formatCode="General" sourceLinked="1"/>
        <c:tickLblPos val="nextTo"/>
        <c:spPr>
          <a:ln w="4470">
            <a:solidFill>
              <a:srgbClr val="000000"/>
            </a:solidFill>
            <a:prstDash val="solid"/>
          </a:ln>
        </c:spPr>
        <c:txPr>
          <a:bodyPr rot="0" vert="horz"/>
          <a:lstStyle/>
          <a:p>
            <a:pPr>
              <a:defRPr sz="1400"/>
            </a:pPr>
            <a:endParaRPr lang="uk-UA"/>
          </a:p>
        </c:txPr>
        <c:crossAx val="386459136"/>
        <c:crosses val="autoZero"/>
        <c:crossBetween val="between"/>
      </c:valAx>
      <c:spPr>
        <a:noFill/>
        <a:ln w="25399">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385756676557845"/>
          <c:y val="3.5714285714285712E-2"/>
          <c:w val="0.88130563798219663"/>
          <c:h val="0.78826530612244849"/>
        </c:manualLayout>
      </c:layout>
      <c:bar3DChart>
        <c:barDir val="col"/>
        <c:grouping val="clustered"/>
        <c:ser>
          <c:idx val="0"/>
          <c:order val="0"/>
          <c:tx>
            <c:strRef>
              <c:f>Sheet1!$A$2</c:f>
              <c:strCache>
                <c:ptCount val="1"/>
                <c:pt idx="0">
                  <c:v>Восток</c:v>
                </c:pt>
              </c:strCache>
            </c:strRef>
          </c:tx>
          <c:spPr>
            <a:solidFill>
              <a:srgbClr val="3366FF"/>
            </a:solidFill>
            <a:ln w="17862">
              <a:solidFill>
                <a:srgbClr val="000000"/>
              </a:solidFill>
              <a:prstDash val="solid"/>
            </a:ln>
          </c:spPr>
          <c:dLbls>
            <c:dLbl>
              <c:idx val="0"/>
              <c:layout>
                <c:manualLayout>
                  <c:x val="-2.0944161943979556E-3"/>
                  <c:y val="6.7907688760559679E-2"/>
                </c:manualLayout>
              </c:layout>
              <c:showVal val="1"/>
            </c:dLbl>
            <c:dLbl>
              <c:idx val="1"/>
              <c:layout>
                <c:manualLayout>
                  <c:x val="0"/>
                  <c:y val="6.46918624446714E-2"/>
                </c:manualLayout>
              </c:layout>
              <c:showVal val="1"/>
            </c:dLbl>
            <c:dLbl>
              <c:idx val="2"/>
              <c:layout>
                <c:manualLayout>
                  <c:x val="2.494442330631329E-4"/>
                  <c:y val="7.1669623580107936E-2"/>
                </c:manualLayout>
              </c:layout>
              <c:showVal val="1"/>
            </c:dLbl>
            <c:dLbl>
              <c:idx val="3"/>
              <c:layout>
                <c:manualLayout>
                  <c:x val="1.9876764062810633E-3"/>
                  <c:y val="7.4906367041198796E-2"/>
                </c:manualLayout>
              </c:layout>
              <c:showVal val="1"/>
            </c:dLbl>
            <c:spPr>
              <a:noFill/>
              <a:ln w="35725">
                <a:noFill/>
              </a:ln>
            </c:spPr>
            <c:txPr>
              <a:bodyPr/>
              <a:lstStyle/>
              <a:p>
                <a:pPr>
                  <a:defRPr sz="1371">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10470</c:v>
                </c:pt>
                <c:pt idx="1">
                  <c:v>12875</c:v>
                </c:pt>
                <c:pt idx="2">
                  <c:v>10148</c:v>
                </c:pt>
                <c:pt idx="3">
                  <c:v>10972</c:v>
                </c:pt>
              </c:numCache>
            </c:numRef>
          </c:val>
        </c:ser>
        <c:gapWidth val="100"/>
        <c:gapDepth val="0"/>
        <c:shape val="box"/>
        <c:axId val="406961536"/>
        <c:axId val="406975616"/>
        <c:axId val="0"/>
      </c:bar3DChart>
      <c:catAx>
        <c:axId val="406961536"/>
        <c:scaling>
          <c:orientation val="minMax"/>
        </c:scaling>
        <c:axPos val="b"/>
        <c:numFmt formatCode="General" sourceLinked="1"/>
        <c:tickLblPos val="low"/>
        <c:spPr>
          <a:ln w="4465">
            <a:solidFill>
              <a:srgbClr val="000000"/>
            </a:solidFill>
            <a:prstDash val="solid"/>
          </a:ln>
        </c:spPr>
        <c:txPr>
          <a:bodyPr rot="0" vert="horz"/>
          <a:lstStyle/>
          <a:p>
            <a:pPr>
              <a:defRPr sz="1371"/>
            </a:pPr>
            <a:endParaRPr lang="uk-UA"/>
          </a:p>
        </c:txPr>
        <c:crossAx val="406975616"/>
        <c:crosses val="autoZero"/>
        <c:auto val="1"/>
        <c:lblAlgn val="ctr"/>
        <c:lblOffset val="100"/>
        <c:tickLblSkip val="1"/>
        <c:tickMarkSkip val="1"/>
      </c:catAx>
      <c:valAx>
        <c:axId val="406975616"/>
        <c:scaling>
          <c:orientation val="minMax"/>
        </c:scaling>
        <c:axPos val="l"/>
        <c:majorGridlines>
          <c:spPr>
            <a:ln w="4465">
              <a:solidFill>
                <a:srgbClr val="000000"/>
              </a:solidFill>
              <a:prstDash val="solid"/>
            </a:ln>
          </c:spPr>
        </c:majorGridlines>
        <c:numFmt formatCode="General" sourceLinked="1"/>
        <c:tickLblPos val="nextTo"/>
        <c:spPr>
          <a:ln w="4465">
            <a:solidFill>
              <a:srgbClr val="000000"/>
            </a:solidFill>
            <a:prstDash val="solid"/>
          </a:ln>
        </c:spPr>
        <c:txPr>
          <a:bodyPr rot="0" vert="horz"/>
          <a:lstStyle/>
          <a:p>
            <a:pPr>
              <a:defRPr sz="1371"/>
            </a:pPr>
            <a:endParaRPr lang="uk-UA"/>
          </a:p>
        </c:txPr>
        <c:crossAx val="406961536"/>
        <c:crosses val="autoZero"/>
        <c:crossBetween val="between"/>
        <c:majorUnit val="2500"/>
      </c:valAx>
      <c:spPr>
        <a:noFill/>
        <a:ln w="25160">
          <a:noFill/>
        </a:ln>
      </c:spPr>
    </c:plotArea>
    <c:plotVisOnly val="1"/>
    <c:dispBlanksAs val="gap"/>
  </c:chart>
  <c:spPr>
    <a:noFill/>
    <a:ln>
      <a:noFill/>
    </a:ln>
  </c:spPr>
  <c:txPr>
    <a:bodyPr/>
    <a:lstStyle/>
    <a:p>
      <a:pPr>
        <a:defRPr sz="1372" b="1" i="0" u="none" strike="noStrike" baseline="0">
          <a:solidFill>
            <a:srgbClr val="000000"/>
          </a:solidFill>
          <a:latin typeface="Arial"/>
          <a:ea typeface="Arial"/>
          <a:cs typeface="Arial"/>
        </a:defRPr>
      </a:pPr>
      <a:endParaRPr lang="uk-UA"/>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385756676557845"/>
          <c:y val="3.5714285714285712E-2"/>
          <c:w val="0.88130563798219663"/>
          <c:h val="0.78826530612244849"/>
        </c:manualLayout>
      </c:layout>
      <c:bar3DChart>
        <c:barDir val="col"/>
        <c:grouping val="clustered"/>
        <c:ser>
          <c:idx val="0"/>
          <c:order val="0"/>
          <c:tx>
            <c:strRef>
              <c:f>Sheet1!$A$2</c:f>
              <c:strCache>
                <c:ptCount val="1"/>
                <c:pt idx="0">
                  <c:v>Восток</c:v>
                </c:pt>
              </c:strCache>
            </c:strRef>
          </c:tx>
          <c:spPr>
            <a:solidFill>
              <a:srgbClr val="3366FF"/>
            </a:solidFill>
            <a:ln w="17859">
              <a:solidFill>
                <a:srgbClr val="000000"/>
              </a:solidFill>
              <a:prstDash val="solid"/>
            </a:ln>
          </c:spPr>
          <c:dLbls>
            <c:dLbl>
              <c:idx val="0"/>
              <c:layout>
                <c:manualLayout>
                  <c:x val="5.8562678346144982E-3"/>
                  <c:y val="7.1312499491144626E-2"/>
                </c:manualLayout>
              </c:layout>
              <c:showVal val="1"/>
            </c:dLbl>
            <c:dLbl>
              <c:idx val="1"/>
              <c:layout>
                <c:manualLayout>
                  <c:x val="0"/>
                  <c:y val="7.150153217568947E-2"/>
                </c:manualLayout>
              </c:layout>
              <c:showVal val="1"/>
            </c:dLbl>
            <c:dLbl>
              <c:idx val="2"/>
              <c:layout>
                <c:manualLayout>
                  <c:x val="2.494442330631329E-4"/>
                  <c:y val="7.1669623580107936E-2"/>
                </c:manualLayout>
              </c:layout>
              <c:showVal val="1"/>
            </c:dLbl>
            <c:dLbl>
              <c:idx val="3"/>
              <c:layout>
                <c:manualLayout>
                  <c:x val="-1.4576125261418463E-16"/>
                  <c:y val="7.4906367041198796E-2"/>
                </c:manualLayout>
              </c:layout>
              <c:showVal val="1"/>
            </c:dLbl>
            <c:spPr>
              <a:noFill/>
              <a:ln w="35718">
                <a:noFill/>
              </a:ln>
            </c:spPr>
            <c:txPr>
              <a:bodyPr/>
              <a:lstStyle/>
              <a:p>
                <a:pPr>
                  <a:defRPr sz="1371">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6544</c:v>
                </c:pt>
                <c:pt idx="1">
                  <c:v>7510</c:v>
                </c:pt>
                <c:pt idx="2">
                  <c:v>8000</c:v>
                </c:pt>
                <c:pt idx="3">
                  <c:v>8810</c:v>
                </c:pt>
              </c:numCache>
            </c:numRef>
          </c:val>
        </c:ser>
        <c:gapWidth val="100"/>
        <c:gapDepth val="0"/>
        <c:shape val="box"/>
        <c:axId val="407114496"/>
        <c:axId val="407116032"/>
        <c:axId val="0"/>
      </c:bar3DChart>
      <c:catAx>
        <c:axId val="407114496"/>
        <c:scaling>
          <c:orientation val="minMax"/>
        </c:scaling>
        <c:axPos val="b"/>
        <c:numFmt formatCode="General" sourceLinked="1"/>
        <c:tickLblPos val="low"/>
        <c:spPr>
          <a:ln w="4465">
            <a:solidFill>
              <a:srgbClr val="000000"/>
            </a:solidFill>
            <a:prstDash val="solid"/>
          </a:ln>
        </c:spPr>
        <c:txPr>
          <a:bodyPr rot="0" vert="horz"/>
          <a:lstStyle/>
          <a:p>
            <a:pPr>
              <a:defRPr sz="1371"/>
            </a:pPr>
            <a:endParaRPr lang="uk-UA"/>
          </a:p>
        </c:txPr>
        <c:crossAx val="407116032"/>
        <c:crosses val="autoZero"/>
        <c:auto val="1"/>
        <c:lblAlgn val="ctr"/>
        <c:lblOffset val="100"/>
        <c:tickLblSkip val="1"/>
        <c:tickMarkSkip val="1"/>
      </c:catAx>
      <c:valAx>
        <c:axId val="407116032"/>
        <c:scaling>
          <c:orientation val="minMax"/>
        </c:scaling>
        <c:axPos val="l"/>
        <c:majorGridlines>
          <c:spPr>
            <a:ln w="4465">
              <a:solidFill>
                <a:srgbClr val="000000"/>
              </a:solidFill>
              <a:prstDash val="solid"/>
            </a:ln>
          </c:spPr>
        </c:majorGridlines>
        <c:numFmt formatCode="General" sourceLinked="1"/>
        <c:tickLblPos val="nextTo"/>
        <c:spPr>
          <a:ln w="4465">
            <a:solidFill>
              <a:srgbClr val="000000"/>
            </a:solidFill>
            <a:prstDash val="solid"/>
          </a:ln>
        </c:spPr>
        <c:txPr>
          <a:bodyPr rot="0" vert="horz"/>
          <a:lstStyle/>
          <a:p>
            <a:pPr>
              <a:defRPr sz="1371"/>
            </a:pPr>
            <a:endParaRPr lang="uk-UA"/>
          </a:p>
        </c:txPr>
        <c:crossAx val="407114496"/>
        <c:crosses val="autoZero"/>
        <c:crossBetween val="between"/>
        <c:majorUnit val="2000"/>
      </c:valAx>
      <c:spPr>
        <a:noFill/>
        <a:ln w="25156">
          <a:noFill/>
        </a:ln>
      </c:spPr>
    </c:plotArea>
    <c:plotVisOnly val="1"/>
    <c:dispBlanksAs val="gap"/>
  </c:chart>
  <c:spPr>
    <a:noFill/>
    <a:ln>
      <a:noFill/>
    </a:ln>
  </c:spPr>
  <c:txPr>
    <a:bodyPr/>
    <a:lstStyle/>
    <a:p>
      <a:pPr>
        <a:defRPr sz="1372" b="1" i="0" u="none" strike="noStrike" baseline="0">
          <a:solidFill>
            <a:srgbClr val="000000"/>
          </a:solidFill>
          <a:latin typeface="Arial"/>
          <a:ea typeface="Arial"/>
          <a:cs typeface="Arial"/>
        </a:defRPr>
      </a:pPr>
      <a:endParaRPr lang="uk-UA"/>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092198581560287E-2"/>
          <c:y val="3.500000000000001E-2"/>
          <c:w val="0.91489361702127858"/>
          <c:h val="0.84139977612823036"/>
        </c:manualLayout>
      </c:layout>
      <c:bar3DChart>
        <c:barDir val="col"/>
        <c:grouping val="clustered"/>
        <c:ser>
          <c:idx val="0"/>
          <c:order val="0"/>
          <c:tx>
            <c:strRef>
              <c:f>Sheet1!$A$2</c:f>
              <c:strCache>
                <c:ptCount val="1"/>
                <c:pt idx="0">
                  <c:v>Восток</c:v>
                </c:pt>
              </c:strCache>
            </c:strRef>
          </c:tx>
          <c:spPr>
            <a:solidFill>
              <a:srgbClr val="3366FF"/>
            </a:solidFill>
            <a:ln w="16820">
              <a:solidFill>
                <a:srgbClr val="000000"/>
              </a:solidFill>
              <a:prstDash val="solid"/>
            </a:ln>
          </c:spPr>
          <c:dLbls>
            <c:dLbl>
              <c:idx val="0"/>
              <c:layout>
                <c:manualLayout>
                  <c:x val="2.1293179139726692E-3"/>
                  <c:y val="7.2582583656260594E-2"/>
                </c:manualLayout>
              </c:layout>
              <c:showVal val="1"/>
            </c:dLbl>
            <c:dLbl>
              <c:idx val="1"/>
              <c:layout>
                <c:manualLayout>
                  <c:x val="0"/>
                  <c:y val="6.6363953894516506E-2"/>
                </c:manualLayout>
              </c:layout>
              <c:showVal val="1"/>
            </c:dLbl>
            <c:dLbl>
              <c:idx val="2"/>
              <c:layout>
                <c:manualLayout>
                  <c:x val="-4.171187647491857E-4"/>
                  <c:y val="6.2086424626924597E-2"/>
                </c:manualLayout>
              </c:layout>
              <c:showVal val="1"/>
            </c:dLbl>
            <c:dLbl>
              <c:idx val="3"/>
              <c:layout>
                <c:manualLayout>
                  <c:x val="0"/>
                  <c:y val="7.3349633251833968E-2"/>
                </c:manualLayout>
              </c:layout>
              <c:showVal val="1"/>
            </c:dLbl>
            <c:spPr>
              <a:noFill/>
              <a:ln w="33640">
                <a:noFill/>
              </a:ln>
            </c:spPr>
            <c:txPr>
              <a:bodyPr/>
              <a:lstStyle/>
              <a:p>
                <a:pPr>
                  <a:defRPr sz="137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136.1</c:v>
                </c:pt>
                <c:pt idx="1">
                  <c:v>137.1</c:v>
                </c:pt>
                <c:pt idx="2">
                  <c:v>124.1</c:v>
                </c:pt>
                <c:pt idx="3">
                  <c:v>117.5</c:v>
                </c:pt>
              </c:numCache>
            </c:numRef>
          </c:val>
        </c:ser>
        <c:gapDepth val="0"/>
        <c:shape val="box"/>
        <c:axId val="407160704"/>
        <c:axId val="407162240"/>
        <c:axId val="0"/>
      </c:bar3DChart>
      <c:catAx>
        <c:axId val="407160704"/>
        <c:scaling>
          <c:orientation val="minMax"/>
        </c:scaling>
        <c:axPos val="b"/>
        <c:numFmt formatCode="General" sourceLinked="1"/>
        <c:tickLblPos val="low"/>
        <c:spPr>
          <a:ln w="4205">
            <a:solidFill>
              <a:srgbClr val="000000"/>
            </a:solidFill>
            <a:prstDash val="solid"/>
          </a:ln>
        </c:spPr>
        <c:txPr>
          <a:bodyPr rot="0" vert="horz"/>
          <a:lstStyle/>
          <a:p>
            <a:pPr>
              <a:defRPr sz="1370"/>
            </a:pPr>
            <a:endParaRPr lang="uk-UA"/>
          </a:p>
        </c:txPr>
        <c:crossAx val="407162240"/>
        <c:crosses val="autoZero"/>
        <c:auto val="1"/>
        <c:lblAlgn val="ctr"/>
        <c:lblOffset val="100"/>
        <c:tickLblSkip val="1"/>
        <c:tickMarkSkip val="1"/>
      </c:catAx>
      <c:valAx>
        <c:axId val="407162240"/>
        <c:scaling>
          <c:orientation val="minMax"/>
          <c:min val="0"/>
        </c:scaling>
        <c:axPos val="l"/>
        <c:majorGridlines>
          <c:spPr>
            <a:ln w="4205">
              <a:solidFill>
                <a:srgbClr val="000000"/>
              </a:solidFill>
              <a:prstDash val="solid"/>
            </a:ln>
          </c:spPr>
        </c:majorGridlines>
        <c:numFmt formatCode="General" sourceLinked="1"/>
        <c:tickLblPos val="nextTo"/>
        <c:spPr>
          <a:ln w="4205">
            <a:solidFill>
              <a:srgbClr val="000000"/>
            </a:solidFill>
            <a:prstDash val="solid"/>
          </a:ln>
        </c:spPr>
        <c:txPr>
          <a:bodyPr rot="0" vert="horz"/>
          <a:lstStyle/>
          <a:p>
            <a:pPr>
              <a:defRPr sz="1370"/>
            </a:pPr>
            <a:endParaRPr lang="uk-UA"/>
          </a:p>
        </c:txPr>
        <c:crossAx val="407160704"/>
        <c:crosses val="autoZero"/>
        <c:crossBetween val="between"/>
      </c:valAx>
      <c:spPr>
        <a:noFill/>
        <a:ln w="25115">
          <a:noFill/>
        </a:ln>
      </c:spPr>
    </c:plotArea>
    <c:plotVisOnly val="1"/>
    <c:dispBlanksAs val="gap"/>
  </c:chart>
  <c:spPr>
    <a:noFill/>
    <a:ln>
      <a:noFill/>
    </a:ln>
  </c:spPr>
  <c:txPr>
    <a:bodyPr/>
    <a:lstStyle/>
    <a:p>
      <a:pPr>
        <a:defRPr sz="1369" b="1" i="0" u="none" strike="noStrike" baseline="0">
          <a:solidFill>
            <a:srgbClr val="000000"/>
          </a:solidFill>
          <a:latin typeface="Arial"/>
          <a:ea typeface="Arial"/>
          <a:cs typeface="Arial"/>
        </a:defRPr>
      </a:pPr>
      <a:endParaRPr lang="uk-UA"/>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092198581560287E-2"/>
          <c:y val="3.500000000000001E-2"/>
          <c:w val="0.91489361702127858"/>
          <c:h val="0.84139977612823036"/>
        </c:manualLayout>
      </c:layout>
      <c:bar3DChart>
        <c:barDir val="col"/>
        <c:grouping val="clustered"/>
        <c:ser>
          <c:idx val="0"/>
          <c:order val="0"/>
          <c:tx>
            <c:strRef>
              <c:f>Sheet1!$A$2</c:f>
              <c:strCache>
                <c:ptCount val="1"/>
                <c:pt idx="0">
                  <c:v>Восток</c:v>
                </c:pt>
              </c:strCache>
            </c:strRef>
          </c:tx>
          <c:spPr>
            <a:solidFill>
              <a:srgbClr val="3366FF"/>
            </a:solidFill>
            <a:ln w="16820">
              <a:solidFill>
                <a:srgbClr val="000000"/>
              </a:solidFill>
              <a:prstDash val="solid"/>
            </a:ln>
          </c:spPr>
          <c:dLbls>
            <c:dLbl>
              <c:idx val="0"/>
              <c:layout>
                <c:manualLayout>
                  <c:x val="2.1293179139726692E-3"/>
                  <c:y val="7.2582583656260594E-2"/>
                </c:manualLayout>
              </c:layout>
              <c:showVal val="1"/>
            </c:dLbl>
            <c:dLbl>
              <c:idx val="1"/>
              <c:layout>
                <c:manualLayout>
                  <c:x val="0"/>
                  <c:y val="7.3349633251833912E-2"/>
                </c:manualLayout>
              </c:layout>
              <c:showVal val="1"/>
            </c:dLbl>
            <c:dLbl>
              <c:idx val="2"/>
              <c:layout>
                <c:manualLayout>
                  <c:x val="-4.171187647491857E-4"/>
                  <c:y val="6.2086424626924597E-2"/>
                </c:manualLayout>
              </c:layout>
              <c:showVal val="1"/>
            </c:dLbl>
            <c:dLbl>
              <c:idx val="3"/>
              <c:layout>
                <c:manualLayout>
                  <c:x val="0"/>
                  <c:y val="6.9856793573174994E-2"/>
                </c:manualLayout>
              </c:layout>
              <c:showVal val="1"/>
            </c:dLbl>
            <c:spPr>
              <a:noFill/>
              <a:ln w="33640">
                <a:noFill/>
              </a:ln>
            </c:spPr>
            <c:txPr>
              <a:bodyPr/>
              <a:lstStyle/>
              <a:p>
                <a:pPr>
                  <a:defRPr sz="137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54</c:v>
                </c:pt>
                <c:pt idx="1">
                  <c:v>60</c:v>
                </c:pt>
                <c:pt idx="2">
                  <c:v>78</c:v>
                </c:pt>
                <c:pt idx="3">
                  <c:v>103</c:v>
                </c:pt>
              </c:numCache>
            </c:numRef>
          </c:val>
        </c:ser>
        <c:gapDepth val="0"/>
        <c:shape val="box"/>
        <c:axId val="407182336"/>
        <c:axId val="386630400"/>
        <c:axId val="0"/>
      </c:bar3DChart>
      <c:catAx>
        <c:axId val="407182336"/>
        <c:scaling>
          <c:orientation val="minMax"/>
        </c:scaling>
        <c:axPos val="b"/>
        <c:numFmt formatCode="General" sourceLinked="1"/>
        <c:tickLblPos val="low"/>
        <c:spPr>
          <a:ln w="4205">
            <a:solidFill>
              <a:srgbClr val="000000"/>
            </a:solidFill>
            <a:prstDash val="solid"/>
          </a:ln>
        </c:spPr>
        <c:txPr>
          <a:bodyPr rot="0" vert="horz"/>
          <a:lstStyle/>
          <a:p>
            <a:pPr>
              <a:defRPr sz="1370"/>
            </a:pPr>
            <a:endParaRPr lang="uk-UA"/>
          </a:p>
        </c:txPr>
        <c:crossAx val="386630400"/>
        <c:crosses val="autoZero"/>
        <c:auto val="1"/>
        <c:lblAlgn val="ctr"/>
        <c:lblOffset val="100"/>
        <c:tickLblSkip val="1"/>
        <c:tickMarkSkip val="1"/>
      </c:catAx>
      <c:valAx>
        <c:axId val="386630400"/>
        <c:scaling>
          <c:orientation val="minMax"/>
        </c:scaling>
        <c:axPos val="l"/>
        <c:majorGridlines>
          <c:spPr>
            <a:ln w="4205">
              <a:solidFill>
                <a:srgbClr val="000000"/>
              </a:solidFill>
              <a:prstDash val="solid"/>
            </a:ln>
          </c:spPr>
        </c:majorGridlines>
        <c:numFmt formatCode="General" sourceLinked="1"/>
        <c:tickLblPos val="nextTo"/>
        <c:spPr>
          <a:ln w="4205">
            <a:solidFill>
              <a:srgbClr val="000000"/>
            </a:solidFill>
            <a:prstDash val="solid"/>
          </a:ln>
        </c:spPr>
        <c:txPr>
          <a:bodyPr rot="0" vert="horz"/>
          <a:lstStyle/>
          <a:p>
            <a:pPr>
              <a:defRPr sz="1370"/>
            </a:pPr>
            <a:endParaRPr lang="uk-UA"/>
          </a:p>
        </c:txPr>
        <c:crossAx val="407182336"/>
        <c:crosses val="autoZero"/>
        <c:crossBetween val="between"/>
      </c:valAx>
      <c:spPr>
        <a:noFill/>
        <a:ln w="25115">
          <a:noFill/>
        </a:ln>
      </c:spPr>
    </c:plotArea>
    <c:plotVisOnly val="1"/>
    <c:dispBlanksAs val="gap"/>
  </c:chart>
  <c:spPr>
    <a:noFill/>
    <a:ln>
      <a:noFill/>
    </a:ln>
  </c:spPr>
  <c:txPr>
    <a:bodyPr/>
    <a:lstStyle/>
    <a:p>
      <a:pPr>
        <a:defRPr sz="1369" b="1" i="0" u="none" strike="noStrike" baseline="0">
          <a:solidFill>
            <a:srgbClr val="000000"/>
          </a:solidFill>
          <a:latin typeface="Arial"/>
          <a:ea typeface="Arial"/>
          <a:cs typeface="Arial"/>
        </a:defRPr>
      </a:pPr>
      <a:endParaRPr lang="uk-UA"/>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7463556851311575E-2"/>
          <c:y val="3.2911392405063487E-2"/>
          <c:w val="0.89795918367346961"/>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878">
              <a:solidFill>
                <a:srgbClr val="000000"/>
              </a:solidFill>
              <a:prstDash val="solid"/>
            </a:ln>
          </c:spPr>
          <c:dLbls>
            <c:dLbl>
              <c:idx val="0"/>
              <c:layout>
                <c:manualLayout>
                  <c:x val="-1.5220930918849321E-3"/>
                  <c:y val="6.5526128118714722E-2"/>
                </c:manualLayout>
              </c:layout>
              <c:showVal val="1"/>
            </c:dLbl>
            <c:dLbl>
              <c:idx val="1"/>
              <c:layout>
                <c:manualLayout>
                  <c:x val="0"/>
                  <c:y val="6.5348237317282884E-2"/>
                </c:manualLayout>
              </c:layout>
              <c:showVal val="1"/>
            </c:dLbl>
            <c:dLbl>
              <c:idx val="2"/>
              <c:layout>
                <c:manualLayout>
                  <c:x val="-9.3437347540257999E-4"/>
                  <c:y val="6.6864359681867366E-2"/>
                </c:manualLayout>
              </c:layout>
              <c:showVal val="1"/>
            </c:dLbl>
            <c:dLbl>
              <c:idx val="3"/>
              <c:layout>
                <c:manualLayout>
                  <c:x val="-1.9876764062810633E-3"/>
                  <c:y val="7.2226999140154791E-2"/>
                </c:manualLayout>
              </c:layout>
              <c:showVal val="1"/>
            </c:dLbl>
            <c:spPr>
              <a:noFill/>
              <a:ln w="35754">
                <a:noFill/>
              </a:ln>
            </c:spPr>
            <c:txPr>
              <a:bodyPr/>
              <a:lstStyle/>
              <a:p>
                <a:pPr>
                  <a:defRPr sz="140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17.8</c:v>
                </c:pt>
                <c:pt idx="1">
                  <c:v>20.100000000000001</c:v>
                </c:pt>
                <c:pt idx="2">
                  <c:v>21.1</c:v>
                </c:pt>
                <c:pt idx="3">
                  <c:v>22.3</c:v>
                </c:pt>
              </c:numCache>
            </c:numRef>
          </c:val>
        </c:ser>
        <c:gapDepth val="0"/>
        <c:shape val="box"/>
        <c:axId val="407298432"/>
        <c:axId val="407299968"/>
        <c:axId val="0"/>
      </c:bar3DChart>
      <c:catAx>
        <c:axId val="407298432"/>
        <c:scaling>
          <c:orientation val="minMax"/>
        </c:scaling>
        <c:axPos val="b"/>
        <c:numFmt formatCode="General" sourceLinked="1"/>
        <c:tickLblPos val="low"/>
        <c:spPr>
          <a:ln w="4468">
            <a:solidFill>
              <a:srgbClr val="000000"/>
            </a:solidFill>
            <a:prstDash val="solid"/>
          </a:ln>
        </c:spPr>
        <c:txPr>
          <a:bodyPr rot="0" vert="horz"/>
          <a:lstStyle/>
          <a:p>
            <a:pPr>
              <a:defRPr sz="1400"/>
            </a:pPr>
            <a:endParaRPr lang="uk-UA"/>
          </a:p>
        </c:txPr>
        <c:crossAx val="407299968"/>
        <c:crosses val="autoZero"/>
        <c:auto val="1"/>
        <c:lblAlgn val="ctr"/>
        <c:lblOffset val="100"/>
        <c:tickLblSkip val="1"/>
        <c:tickMarkSkip val="1"/>
      </c:catAx>
      <c:valAx>
        <c:axId val="407299968"/>
        <c:scaling>
          <c:orientation val="minMax"/>
        </c:scaling>
        <c:axPos val="l"/>
        <c:majorGridlines>
          <c:spPr>
            <a:ln w="4468">
              <a:solidFill>
                <a:srgbClr val="000000"/>
              </a:solidFill>
              <a:prstDash val="solid"/>
            </a:ln>
          </c:spPr>
        </c:majorGridlines>
        <c:numFmt formatCode="General" sourceLinked="1"/>
        <c:tickLblPos val="nextTo"/>
        <c:spPr>
          <a:ln w="4468">
            <a:solidFill>
              <a:srgbClr val="000000"/>
            </a:solidFill>
            <a:prstDash val="solid"/>
          </a:ln>
        </c:spPr>
        <c:txPr>
          <a:bodyPr rot="0" vert="horz"/>
          <a:lstStyle/>
          <a:p>
            <a:pPr>
              <a:defRPr sz="1400"/>
            </a:pPr>
            <a:endParaRPr lang="uk-UA"/>
          </a:p>
        </c:txPr>
        <c:crossAx val="407298432"/>
        <c:crosses val="autoZero"/>
        <c:crossBetween val="between"/>
      </c:valAx>
      <c:spPr>
        <a:noFill/>
        <a:ln w="25397">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41"/>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4344023323615366E-2"/>
          <c:y val="5.1724137931034524E-2"/>
          <c:w val="0.91107871720116662"/>
          <c:h val="0.81033722269864761"/>
        </c:manualLayout>
      </c:layout>
      <c:bar3DChart>
        <c:barDir val="col"/>
        <c:grouping val="clustered"/>
        <c:ser>
          <c:idx val="0"/>
          <c:order val="0"/>
          <c:tx>
            <c:strRef>
              <c:f>Sheet1!$A$2</c:f>
              <c:strCache>
                <c:ptCount val="1"/>
                <c:pt idx="0">
                  <c:v>Восток</c:v>
                </c:pt>
              </c:strCache>
            </c:strRef>
          </c:tx>
          <c:spPr>
            <a:solidFill>
              <a:srgbClr val="3366FF"/>
            </a:solidFill>
            <a:ln w="16067">
              <a:solidFill>
                <a:srgbClr val="000000"/>
              </a:solidFill>
              <a:prstDash val="solid"/>
            </a:ln>
          </c:spPr>
          <c:dLbls>
            <c:dLbl>
              <c:idx val="0"/>
              <c:layout>
                <c:manualLayout>
                  <c:x val="5.925466830062348E-4"/>
                  <c:y val="8.8097068674497139E-2"/>
                </c:manualLayout>
              </c:layout>
              <c:showVal val="1"/>
            </c:dLbl>
            <c:dLbl>
              <c:idx val="1"/>
              <c:layout>
                <c:manualLayout>
                  <c:x val="3.9753528125621206E-3"/>
                  <c:y val="9.4276094276094277E-2"/>
                </c:manualLayout>
              </c:layout>
              <c:showVal val="1"/>
            </c:dLbl>
            <c:dLbl>
              <c:idx val="2"/>
              <c:layout>
                <c:manualLayout>
                  <c:x val="4.4269023835457194E-3"/>
                  <c:y val="8.4202468643495565E-2"/>
                </c:manualLayout>
              </c:layout>
              <c:showVal val="1"/>
            </c:dLbl>
            <c:dLbl>
              <c:idx val="3"/>
              <c:layout>
                <c:manualLayout>
                  <c:x val="1.9876764062810633E-3"/>
                  <c:y val="8.9786756453423128E-2"/>
                </c:manualLayout>
              </c:layout>
              <c:showVal val="1"/>
            </c:dLbl>
            <c:spPr>
              <a:noFill/>
              <a:ln w="32134">
                <a:noFill/>
              </a:ln>
            </c:spPr>
            <c:txPr>
              <a:bodyPr/>
              <a:lstStyle/>
              <a:p>
                <a:pPr>
                  <a:defRPr sz="1372">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119</c:v>
                </c:pt>
                <c:pt idx="1">
                  <c:v>204</c:v>
                </c:pt>
                <c:pt idx="2">
                  <c:v>464</c:v>
                </c:pt>
                <c:pt idx="3">
                  <c:v>290</c:v>
                </c:pt>
              </c:numCache>
            </c:numRef>
          </c:val>
        </c:ser>
        <c:gapDepth val="0"/>
        <c:shape val="box"/>
        <c:axId val="407221760"/>
        <c:axId val="407223296"/>
        <c:axId val="0"/>
      </c:bar3DChart>
      <c:catAx>
        <c:axId val="407221760"/>
        <c:scaling>
          <c:orientation val="minMax"/>
        </c:scaling>
        <c:axPos val="b"/>
        <c:numFmt formatCode="General" sourceLinked="1"/>
        <c:tickLblPos val="low"/>
        <c:spPr>
          <a:ln w="4016">
            <a:solidFill>
              <a:srgbClr val="000000"/>
            </a:solidFill>
            <a:prstDash val="solid"/>
          </a:ln>
        </c:spPr>
        <c:txPr>
          <a:bodyPr rot="0" vert="horz"/>
          <a:lstStyle/>
          <a:p>
            <a:pPr>
              <a:defRPr sz="1372"/>
            </a:pPr>
            <a:endParaRPr lang="uk-UA"/>
          </a:p>
        </c:txPr>
        <c:crossAx val="407223296"/>
        <c:crosses val="autoZero"/>
        <c:auto val="1"/>
        <c:lblAlgn val="ctr"/>
        <c:lblOffset val="100"/>
        <c:tickLblSkip val="1"/>
        <c:tickMarkSkip val="1"/>
      </c:catAx>
      <c:valAx>
        <c:axId val="407223296"/>
        <c:scaling>
          <c:orientation val="minMax"/>
        </c:scaling>
        <c:axPos val="l"/>
        <c:majorGridlines>
          <c:spPr>
            <a:ln w="4016">
              <a:solidFill>
                <a:srgbClr val="000000"/>
              </a:solidFill>
              <a:prstDash val="solid"/>
            </a:ln>
          </c:spPr>
        </c:majorGridlines>
        <c:numFmt formatCode="General" sourceLinked="1"/>
        <c:tickLblPos val="nextTo"/>
        <c:spPr>
          <a:ln w="4016">
            <a:solidFill>
              <a:srgbClr val="000000"/>
            </a:solidFill>
            <a:prstDash val="solid"/>
          </a:ln>
        </c:spPr>
        <c:txPr>
          <a:bodyPr rot="0" vert="horz"/>
          <a:lstStyle/>
          <a:p>
            <a:pPr>
              <a:defRPr sz="1372"/>
            </a:pPr>
            <a:endParaRPr lang="uk-UA"/>
          </a:p>
        </c:txPr>
        <c:crossAx val="407221760"/>
        <c:crosses val="autoZero"/>
        <c:crossBetween val="between"/>
      </c:valAx>
      <c:spPr>
        <a:noFill/>
        <a:ln w="25127">
          <a:noFill/>
        </a:ln>
      </c:spPr>
    </c:plotArea>
    <c:plotVisOnly val="1"/>
    <c:dispBlanksAs val="gap"/>
  </c:chart>
  <c:spPr>
    <a:noFill/>
    <a:ln>
      <a:noFill/>
    </a:ln>
  </c:spPr>
  <c:txPr>
    <a:bodyPr/>
    <a:lstStyle/>
    <a:p>
      <a:pPr>
        <a:defRPr sz="1370" b="1" i="0" u="none" strike="noStrike" baseline="0">
          <a:solidFill>
            <a:srgbClr val="000000"/>
          </a:solidFill>
          <a:latin typeface="Arial"/>
          <a:ea typeface="Arial"/>
          <a:cs typeface="Arial"/>
        </a:defRPr>
      </a:pPr>
      <a:endParaRPr lang="uk-UA"/>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41"/>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4344023323615366E-2"/>
          <c:y val="5.1724137931034524E-2"/>
          <c:w val="0.91107871720116662"/>
          <c:h val="0.81033722269864761"/>
        </c:manualLayout>
      </c:layout>
      <c:bar3DChart>
        <c:barDir val="col"/>
        <c:grouping val="clustered"/>
        <c:ser>
          <c:idx val="0"/>
          <c:order val="0"/>
          <c:tx>
            <c:strRef>
              <c:f>Sheet1!$A$2</c:f>
              <c:strCache>
                <c:ptCount val="1"/>
                <c:pt idx="0">
                  <c:v>Восток</c:v>
                </c:pt>
              </c:strCache>
            </c:strRef>
          </c:tx>
          <c:spPr>
            <a:solidFill>
              <a:srgbClr val="3366FF"/>
            </a:solidFill>
            <a:ln w="16059">
              <a:solidFill>
                <a:srgbClr val="000000"/>
              </a:solidFill>
              <a:prstDash val="solid"/>
            </a:ln>
          </c:spPr>
          <c:dLbls>
            <c:dLbl>
              <c:idx val="0"/>
              <c:layout>
                <c:manualLayout>
                  <c:x val="5.925466830062348E-4"/>
                  <c:y val="8.8097068674497139E-2"/>
                </c:manualLayout>
              </c:layout>
              <c:showVal val="1"/>
            </c:dLbl>
            <c:dLbl>
              <c:idx val="1"/>
              <c:layout>
                <c:manualLayout>
                  <c:x val="3.9753528125621206E-3"/>
                  <c:y val="9.4276094276094277E-2"/>
                </c:manualLayout>
              </c:layout>
              <c:showVal val="1"/>
            </c:dLbl>
            <c:dLbl>
              <c:idx val="2"/>
              <c:layout>
                <c:manualLayout>
                  <c:x val="4.4269023835457194E-3"/>
                  <c:y val="8.4202468643495565E-2"/>
                </c:manualLayout>
              </c:layout>
              <c:showVal val="1"/>
            </c:dLbl>
            <c:dLbl>
              <c:idx val="3"/>
              <c:layout>
                <c:manualLayout>
                  <c:x val="1.9876764062810633E-3"/>
                  <c:y val="8.9786756453423128E-2"/>
                </c:manualLayout>
              </c:layout>
              <c:showVal val="1"/>
            </c:dLbl>
            <c:spPr>
              <a:noFill/>
              <a:ln w="32117">
                <a:noFill/>
              </a:ln>
            </c:spPr>
            <c:txPr>
              <a:bodyPr/>
              <a:lstStyle/>
              <a:p>
                <a:pPr>
                  <a:defRPr sz="1371">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218</c:v>
                </c:pt>
                <c:pt idx="1">
                  <c:v>221</c:v>
                </c:pt>
                <c:pt idx="2">
                  <c:v>223</c:v>
                </c:pt>
                <c:pt idx="3">
                  <c:v>223</c:v>
                </c:pt>
              </c:numCache>
            </c:numRef>
          </c:val>
        </c:ser>
        <c:gapDepth val="0"/>
        <c:shape val="box"/>
        <c:axId val="407345792"/>
        <c:axId val="409072000"/>
        <c:axId val="0"/>
      </c:bar3DChart>
      <c:catAx>
        <c:axId val="407345792"/>
        <c:scaling>
          <c:orientation val="minMax"/>
        </c:scaling>
        <c:axPos val="b"/>
        <c:numFmt formatCode="General" sourceLinked="1"/>
        <c:tickLblPos val="low"/>
        <c:spPr>
          <a:ln w="4014">
            <a:solidFill>
              <a:srgbClr val="000000"/>
            </a:solidFill>
            <a:prstDash val="solid"/>
          </a:ln>
        </c:spPr>
        <c:txPr>
          <a:bodyPr rot="0" vert="horz"/>
          <a:lstStyle/>
          <a:p>
            <a:pPr>
              <a:defRPr sz="1371"/>
            </a:pPr>
            <a:endParaRPr lang="uk-UA"/>
          </a:p>
        </c:txPr>
        <c:crossAx val="409072000"/>
        <c:crosses val="autoZero"/>
        <c:auto val="1"/>
        <c:lblAlgn val="ctr"/>
        <c:lblOffset val="100"/>
        <c:tickLblSkip val="1"/>
        <c:tickMarkSkip val="1"/>
      </c:catAx>
      <c:valAx>
        <c:axId val="409072000"/>
        <c:scaling>
          <c:orientation val="minMax"/>
          <c:min val="0"/>
        </c:scaling>
        <c:axPos val="l"/>
        <c:majorGridlines>
          <c:spPr>
            <a:ln w="4014">
              <a:solidFill>
                <a:srgbClr val="000000"/>
              </a:solidFill>
              <a:prstDash val="solid"/>
            </a:ln>
          </c:spPr>
        </c:majorGridlines>
        <c:numFmt formatCode="General" sourceLinked="1"/>
        <c:tickLblPos val="nextTo"/>
        <c:spPr>
          <a:ln w="4014">
            <a:solidFill>
              <a:srgbClr val="000000"/>
            </a:solidFill>
            <a:prstDash val="solid"/>
          </a:ln>
        </c:spPr>
        <c:txPr>
          <a:bodyPr rot="0" vert="horz"/>
          <a:lstStyle/>
          <a:p>
            <a:pPr>
              <a:defRPr sz="1371"/>
            </a:pPr>
            <a:endParaRPr lang="uk-UA"/>
          </a:p>
        </c:txPr>
        <c:crossAx val="407345792"/>
        <c:crosses val="autoZero"/>
        <c:crossBetween val="between"/>
      </c:valAx>
      <c:spPr>
        <a:noFill/>
        <a:ln w="25132">
          <a:noFill/>
        </a:ln>
      </c:spPr>
    </c:plotArea>
    <c:plotVisOnly val="1"/>
    <c:dispBlanksAs val="gap"/>
  </c:chart>
  <c:spPr>
    <a:noFill/>
    <a:ln>
      <a:noFill/>
    </a:ln>
  </c:spPr>
  <c:txPr>
    <a:bodyPr/>
    <a:lstStyle/>
    <a:p>
      <a:pPr>
        <a:defRPr sz="1370" b="1" i="0" u="none" strike="noStrike" baseline="0">
          <a:solidFill>
            <a:srgbClr val="000000"/>
          </a:solidFill>
          <a:latin typeface="Arial"/>
          <a:ea typeface="Arial"/>
          <a:cs typeface="Arial"/>
        </a:defRPr>
      </a:pPr>
      <a:endParaRPr lang="uk-UA"/>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7463556851311575E-2"/>
          <c:y val="3.2911392405063487E-2"/>
          <c:w val="0.89795918367346961"/>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876">
              <a:solidFill>
                <a:srgbClr val="000000"/>
              </a:solidFill>
              <a:prstDash val="solid"/>
            </a:ln>
          </c:spPr>
          <c:dLbls>
            <c:dLbl>
              <c:idx val="0"/>
              <c:layout>
                <c:manualLayout>
                  <c:x val="-1.5220930918849321E-3"/>
                  <c:y val="6.5526128118714722E-2"/>
                </c:manualLayout>
              </c:layout>
              <c:showVal val="1"/>
            </c:dLbl>
            <c:dLbl>
              <c:idx val="1"/>
              <c:layout>
                <c:manualLayout>
                  <c:x val="-7.2880626307092266E-17"/>
                  <c:y val="7.2226999140154804E-2"/>
                </c:manualLayout>
              </c:layout>
              <c:showVal val="1"/>
            </c:dLbl>
            <c:dLbl>
              <c:idx val="2"/>
              <c:layout>
                <c:manualLayout>
                  <c:x val="-9.3437347540257999E-4"/>
                  <c:y val="6.6864359681867366E-2"/>
                </c:manualLayout>
              </c:layout>
              <c:showVal val="1"/>
            </c:dLbl>
            <c:dLbl>
              <c:idx val="3"/>
              <c:layout>
                <c:manualLayout>
                  <c:x val="0"/>
                  <c:y val="7.5666380051590834E-2"/>
                </c:manualLayout>
              </c:layout>
              <c:showVal val="1"/>
            </c:dLbl>
            <c:spPr>
              <a:noFill/>
              <a:ln w="35752">
                <a:noFill/>
              </a:ln>
            </c:spPr>
            <c:txPr>
              <a:bodyPr/>
              <a:lstStyle/>
              <a:p>
                <a:pPr>
                  <a:defRPr sz="140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1.2</c:v>
                </c:pt>
                <c:pt idx="1">
                  <c:v>1.2</c:v>
                </c:pt>
                <c:pt idx="2">
                  <c:v>1.3</c:v>
                </c:pt>
                <c:pt idx="3">
                  <c:v>2.5</c:v>
                </c:pt>
              </c:numCache>
            </c:numRef>
          </c:val>
        </c:ser>
        <c:gapDepth val="0"/>
        <c:shape val="box"/>
        <c:axId val="407470080"/>
        <c:axId val="407471616"/>
        <c:axId val="0"/>
      </c:bar3DChart>
      <c:catAx>
        <c:axId val="407470080"/>
        <c:scaling>
          <c:orientation val="minMax"/>
        </c:scaling>
        <c:axPos val="b"/>
        <c:numFmt formatCode="General" sourceLinked="1"/>
        <c:tickLblPos val="low"/>
        <c:spPr>
          <a:ln w="4468">
            <a:solidFill>
              <a:srgbClr val="000000"/>
            </a:solidFill>
            <a:prstDash val="solid"/>
          </a:ln>
        </c:spPr>
        <c:txPr>
          <a:bodyPr rot="0" vert="horz"/>
          <a:lstStyle/>
          <a:p>
            <a:pPr>
              <a:defRPr sz="1400"/>
            </a:pPr>
            <a:endParaRPr lang="uk-UA"/>
          </a:p>
        </c:txPr>
        <c:crossAx val="407471616"/>
        <c:crosses val="autoZero"/>
        <c:auto val="1"/>
        <c:lblAlgn val="ctr"/>
        <c:lblOffset val="100"/>
        <c:tickLblSkip val="1"/>
        <c:tickMarkSkip val="1"/>
      </c:catAx>
      <c:valAx>
        <c:axId val="407471616"/>
        <c:scaling>
          <c:orientation val="minMax"/>
          <c:min val="0"/>
        </c:scaling>
        <c:axPos val="l"/>
        <c:majorGridlines>
          <c:spPr>
            <a:ln w="4468">
              <a:solidFill>
                <a:srgbClr val="000000"/>
              </a:solidFill>
              <a:prstDash val="solid"/>
            </a:ln>
          </c:spPr>
        </c:majorGridlines>
        <c:numFmt formatCode="General" sourceLinked="1"/>
        <c:tickLblPos val="nextTo"/>
        <c:spPr>
          <a:ln w="4468">
            <a:solidFill>
              <a:srgbClr val="000000"/>
            </a:solidFill>
            <a:prstDash val="solid"/>
          </a:ln>
        </c:spPr>
        <c:txPr>
          <a:bodyPr rot="0" vert="horz"/>
          <a:lstStyle/>
          <a:p>
            <a:pPr>
              <a:defRPr sz="1400"/>
            </a:pPr>
            <a:endParaRPr lang="uk-UA"/>
          </a:p>
        </c:txPr>
        <c:crossAx val="407470080"/>
        <c:crosses val="autoZero"/>
        <c:crossBetween val="between"/>
      </c:valAx>
      <c:spPr>
        <a:noFill/>
        <a:ln w="25396">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7463556851311575E-2"/>
          <c:y val="3.2911392405063487E-2"/>
          <c:w val="0.89795918367346961"/>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878">
              <a:solidFill>
                <a:srgbClr val="000000"/>
              </a:solidFill>
              <a:prstDash val="solid"/>
            </a:ln>
          </c:spPr>
          <c:dLbls>
            <c:dLbl>
              <c:idx val="0"/>
              <c:layout>
                <c:manualLayout>
                  <c:x val="-1.5220930918849321E-3"/>
                  <c:y val="6.5526128118714722E-2"/>
                </c:manualLayout>
              </c:layout>
              <c:showVal val="1"/>
            </c:dLbl>
            <c:dLbl>
              <c:idx val="1"/>
              <c:layout>
                <c:manualLayout>
                  <c:x val="-7.2880626307092266E-17"/>
                  <c:y val="6.5348237317282884E-2"/>
                </c:manualLayout>
              </c:layout>
              <c:showVal val="1"/>
            </c:dLbl>
            <c:dLbl>
              <c:idx val="2"/>
              <c:layout>
                <c:manualLayout>
                  <c:x val="-9.3437347540257999E-4"/>
                  <c:y val="6.6864359681867366E-2"/>
                </c:manualLayout>
              </c:layout>
              <c:showVal val="1"/>
            </c:dLbl>
            <c:dLbl>
              <c:idx val="3"/>
              <c:layout>
                <c:manualLayout>
                  <c:x val="0"/>
                  <c:y val="6.5348237317282884E-2"/>
                </c:manualLayout>
              </c:layout>
              <c:showVal val="1"/>
            </c:dLbl>
            <c:spPr>
              <a:noFill/>
              <a:ln w="35757">
                <a:noFill/>
              </a:ln>
            </c:spPr>
            <c:txPr>
              <a:bodyPr/>
              <a:lstStyle/>
              <a:p>
                <a:pPr>
                  <a:defRPr sz="140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6106</c:v>
                </c:pt>
                <c:pt idx="1">
                  <c:v>8078</c:v>
                </c:pt>
                <c:pt idx="2">
                  <c:v>8659</c:v>
                </c:pt>
                <c:pt idx="3">
                  <c:v>9755</c:v>
                </c:pt>
              </c:numCache>
            </c:numRef>
          </c:val>
        </c:ser>
        <c:gapDepth val="0"/>
        <c:shape val="box"/>
        <c:axId val="409199744"/>
        <c:axId val="409201280"/>
        <c:axId val="0"/>
      </c:bar3DChart>
      <c:catAx>
        <c:axId val="409199744"/>
        <c:scaling>
          <c:orientation val="minMax"/>
        </c:scaling>
        <c:axPos val="b"/>
        <c:numFmt formatCode="General" sourceLinked="1"/>
        <c:tickLblPos val="low"/>
        <c:spPr>
          <a:ln w="4470">
            <a:solidFill>
              <a:srgbClr val="000000"/>
            </a:solidFill>
            <a:prstDash val="solid"/>
          </a:ln>
        </c:spPr>
        <c:txPr>
          <a:bodyPr rot="0" vert="horz"/>
          <a:lstStyle/>
          <a:p>
            <a:pPr>
              <a:defRPr sz="1400"/>
            </a:pPr>
            <a:endParaRPr lang="uk-UA"/>
          </a:p>
        </c:txPr>
        <c:crossAx val="409201280"/>
        <c:crosses val="autoZero"/>
        <c:auto val="1"/>
        <c:lblAlgn val="ctr"/>
        <c:lblOffset val="100"/>
        <c:tickLblSkip val="1"/>
        <c:tickMarkSkip val="1"/>
      </c:catAx>
      <c:valAx>
        <c:axId val="409201280"/>
        <c:scaling>
          <c:orientation val="minMax"/>
        </c:scaling>
        <c:axPos val="l"/>
        <c:majorGridlines>
          <c:spPr>
            <a:ln w="4470">
              <a:solidFill>
                <a:srgbClr val="000000"/>
              </a:solidFill>
              <a:prstDash val="solid"/>
            </a:ln>
          </c:spPr>
        </c:majorGridlines>
        <c:numFmt formatCode="General" sourceLinked="1"/>
        <c:tickLblPos val="nextTo"/>
        <c:spPr>
          <a:ln w="4470">
            <a:solidFill>
              <a:srgbClr val="000000"/>
            </a:solidFill>
            <a:prstDash val="solid"/>
          </a:ln>
        </c:spPr>
        <c:txPr>
          <a:bodyPr rot="0" vert="horz"/>
          <a:lstStyle/>
          <a:p>
            <a:pPr>
              <a:defRPr sz="1400"/>
            </a:pPr>
            <a:endParaRPr lang="uk-UA"/>
          </a:p>
        </c:txPr>
        <c:crossAx val="409199744"/>
        <c:crosses val="autoZero"/>
        <c:crossBetween val="between"/>
        <c:majorUnit val="2000"/>
      </c:valAx>
      <c:spPr>
        <a:noFill/>
        <a:ln w="25397">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7463556851311575E-2"/>
          <c:y val="3.2911392405063487E-2"/>
          <c:w val="0.89795918367346961"/>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510">
              <a:solidFill>
                <a:srgbClr val="000000"/>
              </a:solidFill>
              <a:prstDash val="solid"/>
            </a:ln>
          </c:spPr>
          <c:dLbls>
            <c:dLbl>
              <c:idx val="0"/>
              <c:layout>
                <c:manualLayout>
                  <c:x val="4.4409699234823031E-3"/>
                  <c:y val="6.5526164345535834E-2"/>
                </c:manualLayout>
              </c:layout>
              <c:showVal val="1"/>
            </c:dLbl>
            <c:dLbl>
              <c:idx val="1"/>
              <c:layout>
                <c:manualLayout>
                  <c:x val="1.9876764062809861E-3"/>
                  <c:y val="7.5666380051590834E-2"/>
                </c:manualLayout>
              </c:layout>
              <c:showVal val="1"/>
            </c:dLbl>
            <c:dLbl>
              <c:idx val="2"/>
              <c:layout>
                <c:manualLayout>
                  <c:x val="3.0409883916567692E-3"/>
                  <c:y val="7.7182415826568776E-2"/>
                </c:manualLayout>
              </c:layout>
              <c:showVal val="1"/>
            </c:dLbl>
            <c:dLbl>
              <c:idx val="3"/>
              <c:layout>
                <c:manualLayout>
                  <c:x val="5.9630292188431943E-3"/>
                  <c:y val="7.5666380051590834E-2"/>
                </c:manualLayout>
              </c:layout>
              <c:showVal val="1"/>
            </c:dLbl>
            <c:spPr>
              <a:noFill/>
              <a:ln w="35020">
                <a:noFill/>
              </a:ln>
            </c:spPr>
            <c:txPr>
              <a:bodyPr/>
              <a:lstStyle/>
              <a:p>
                <a:pPr>
                  <a:defRPr sz="1371">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8</c:v>
                </c:pt>
                <c:pt idx="1">
                  <c:v>12</c:v>
                </c:pt>
                <c:pt idx="2">
                  <c:v>23</c:v>
                </c:pt>
                <c:pt idx="3">
                  <c:v>29</c:v>
                </c:pt>
              </c:numCache>
            </c:numRef>
          </c:val>
        </c:ser>
        <c:gapDepth val="0"/>
        <c:shape val="box"/>
        <c:axId val="409172224"/>
        <c:axId val="409235456"/>
        <c:axId val="0"/>
      </c:bar3DChart>
      <c:catAx>
        <c:axId val="409172224"/>
        <c:scaling>
          <c:orientation val="minMax"/>
        </c:scaling>
        <c:axPos val="b"/>
        <c:numFmt formatCode="General" sourceLinked="1"/>
        <c:tickLblPos val="low"/>
        <c:spPr>
          <a:ln w="4377">
            <a:solidFill>
              <a:srgbClr val="000000"/>
            </a:solidFill>
            <a:prstDash val="solid"/>
          </a:ln>
        </c:spPr>
        <c:txPr>
          <a:bodyPr rot="0" vert="horz"/>
          <a:lstStyle/>
          <a:p>
            <a:pPr>
              <a:defRPr sz="1371"/>
            </a:pPr>
            <a:endParaRPr lang="uk-UA"/>
          </a:p>
        </c:txPr>
        <c:crossAx val="409235456"/>
        <c:crosses val="autoZero"/>
        <c:auto val="1"/>
        <c:lblAlgn val="ctr"/>
        <c:lblOffset val="100"/>
        <c:tickLblSkip val="1"/>
        <c:tickMarkSkip val="1"/>
      </c:catAx>
      <c:valAx>
        <c:axId val="409235456"/>
        <c:scaling>
          <c:orientation val="minMax"/>
        </c:scaling>
        <c:axPos val="l"/>
        <c:majorGridlines>
          <c:spPr>
            <a:ln w="4377">
              <a:solidFill>
                <a:srgbClr val="000000"/>
              </a:solidFill>
              <a:prstDash val="solid"/>
            </a:ln>
          </c:spPr>
        </c:majorGridlines>
        <c:numFmt formatCode="General" sourceLinked="1"/>
        <c:tickLblPos val="nextTo"/>
        <c:spPr>
          <a:ln w="4377">
            <a:solidFill>
              <a:srgbClr val="000000"/>
            </a:solidFill>
            <a:prstDash val="solid"/>
          </a:ln>
        </c:spPr>
        <c:txPr>
          <a:bodyPr rot="0" vert="horz"/>
          <a:lstStyle/>
          <a:p>
            <a:pPr>
              <a:defRPr sz="1371"/>
            </a:pPr>
            <a:endParaRPr lang="uk-UA"/>
          </a:p>
        </c:txPr>
        <c:crossAx val="409172224"/>
        <c:crosses val="autoZero"/>
        <c:crossBetween val="between"/>
      </c:valAx>
      <c:spPr>
        <a:noFill/>
        <a:ln w="25128">
          <a:noFill/>
        </a:ln>
      </c:spPr>
    </c:plotArea>
    <c:plotVisOnly val="1"/>
    <c:dispBlanksAs val="gap"/>
  </c:chart>
  <c:spPr>
    <a:noFill/>
    <a:ln>
      <a:noFill/>
    </a:ln>
  </c:spPr>
  <c:txPr>
    <a:bodyPr/>
    <a:lstStyle/>
    <a:p>
      <a:pPr>
        <a:defRPr sz="1370" b="1" i="0" u="none" strike="noStrike" baseline="0">
          <a:solidFill>
            <a:srgbClr val="000000"/>
          </a:solidFill>
          <a:latin typeface="Arial"/>
          <a:ea typeface="Arial"/>
          <a:cs typeface="Arial"/>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hPercent val="40"/>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0368550368550369E-2"/>
          <c:y val="4.5346062052505964E-2"/>
          <c:w val="0.93734643734643763"/>
          <c:h val="0.59904534606205251"/>
        </c:manualLayout>
      </c:layout>
      <c:bar3DChart>
        <c:barDir val="col"/>
        <c:grouping val="clustered"/>
        <c:ser>
          <c:idx val="0"/>
          <c:order val="0"/>
          <c:tx>
            <c:strRef>
              <c:f>Sheet1!$A$2</c:f>
              <c:strCache>
                <c:ptCount val="1"/>
                <c:pt idx="0">
                  <c:v>Організація міжнародних заходів у місті </c:v>
                </c:pt>
              </c:strCache>
            </c:strRef>
          </c:tx>
          <c:spPr>
            <a:solidFill>
              <a:srgbClr val="FFFF00"/>
            </a:solidFill>
            <a:ln w="15868">
              <a:solidFill>
                <a:srgbClr val="000000"/>
              </a:solidFill>
              <a:prstDash val="solid"/>
            </a:ln>
          </c:spPr>
          <c:dLbls>
            <c:dLbl>
              <c:idx val="0"/>
              <c:layout>
                <c:manualLayout>
                  <c:x val="1.2574009644143501E-3"/>
                  <c:y val="-1.4968861540122403E-2"/>
                </c:manualLayout>
              </c:layout>
              <c:showVal val="1"/>
            </c:dLbl>
            <c:dLbl>
              <c:idx val="2"/>
              <c:layout>
                <c:manualLayout>
                  <c:x val="1.8953355338632847E-3"/>
                  <c:y val="-2.5574695193949092E-3"/>
                </c:manualLayout>
              </c:layout>
              <c:showVal val="1"/>
            </c:dLbl>
            <c:spPr>
              <a:noFill/>
              <a:ln w="31735">
                <a:noFill/>
              </a:ln>
            </c:spPr>
            <c:txPr>
              <a:bodyPr wrap="square" lIns="38100" tIns="19050" rIns="38100" bIns="19050" anchor="ctr">
                <a:spAutoFit/>
              </a:bodyPr>
              <a:lstStyle/>
              <a:p>
                <a:pPr>
                  <a:defRPr sz="1372"/>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11</c:v>
                </c:pt>
                <c:pt idx="1">
                  <c:v>11</c:v>
                </c:pt>
                <c:pt idx="2">
                  <c:v>12</c:v>
                </c:pt>
                <c:pt idx="3">
                  <c:v>4</c:v>
                </c:pt>
              </c:numCache>
            </c:numRef>
          </c:val>
        </c:ser>
        <c:ser>
          <c:idx val="1"/>
          <c:order val="1"/>
          <c:tx>
            <c:strRef>
              <c:f>Sheet1!$A$3</c:f>
              <c:strCache>
                <c:ptCount val="1"/>
                <c:pt idx="0">
                  <c:v>Організація міжнародних візитів представників міської ради </c:v>
                </c:pt>
              </c:strCache>
            </c:strRef>
          </c:tx>
          <c:spPr>
            <a:solidFill>
              <a:srgbClr val="3366FF"/>
            </a:solidFill>
            <a:ln w="15868">
              <a:solidFill>
                <a:srgbClr val="000000"/>
              </a:solidFill>
              <a:prstDash val="solid"/>
            </a:ln>
          </c:spPr>
          <c:dLbls>
            <c:dLbl>
              <c:idx val="0"/>
              <c:layout>
                <c:manualLayout>
                  <c:x val="-1.56196933343976E-3"/>
                  <c:y val="-1.954240295798506E-2"/>
                </c:manualLayout>
              </c:layout>
              <c:showVal val="1"/>
            </c:dLbl>
            <c:dLbl>
              <c:idx val="2"/>
              <c:layout>
                <c:manualLayout>
                  <c:x val="1.4054593801892832E-3"/>
                  <c:y val="-2.5933377865042073E-2"/>
                </c:manualLayout>
              </c:layout>
              <c:showVal val="1"/>
            </c:dLbl>
            <c:spPr>
              <a:noFill/>
              <a:ln w="31735">
                <a:noFill/>
              </a:ln>
            </c:spPr>
            <c:txPr>
              <a:bodyPr/>
              <a:lstStyle/>
              <a:p>
                <a:pPr>
                  <a:defRPr sz="1372">
                    <a:solidFill>
                      <a:sysClr val="windowText" lastClr="000000"/>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Sheet1!$B$3:$E$3</c:f>
              <c:numCache>
                <c:formatCode>General</c:formatCode>
                <c:ptCount val="4"/>
                <c:pt idx="0">
                  <c:v>29</c:v>
                </c:pt>
                <c:pt idx="1">
                  <c:v>30</c:v>
                </c:pt>
                <c:pt idx="2">
                  <c:v>28</c:v>
                </c:pt>
                <c:pt idx="3">
                  <c:v>6</c:v>
                </c:pt>
              </c:numCache>
            </c:numRef>
          </c:val>
        </c:ser>
        <c:ser>
          <c:idx val="2"/>
          <c:order val="2"/>
          <c:tx>
            <c:strRef>
              <c:f>Sheet1!$A$4</c:f>
              <c:strCache>
                <c:ptCount val="1"/>
                <c:pt idx="0">
                  <c:v>Організація міжнародних візитів до міської ради </c:v>
                </c:pt>
              </c:strCache>
            </c:strRef>
          </c:tx>
          <c:spPr>
            <a:solidFill>
              <a:srgbClr val="993366"/>
            </a:solidFill>
            <a:ln w="15868">
              <a:solidFill>
                <a:srgbClr val="000000"/>
              </a:solidFill>
              <a:prstDash val="solid"/>
            </a:ln>
          </c:spPr>
          <c:dLbls>
            <c:dLbl>
              <c:idx val="0"/>
              <c:layout>
                <c:manualLayout>
                  <c:x val="1.8693548816237017E-3"/>
                  <c:y val="-1.7140119695834961E-2"/>
                </c:manualLayout>
              </c:layout>
              <c:showVal val="1"/>
            </c:dLbl>
            <c:dLbl>
              <c:idx val="2"/>
              <c:layout>
                <c:manualLayout>
                  <c:x val="6.9520156134328789E-3"/>
                  <c:y val="-1.0485193206890269E-2"/>
                </c:manualLayout>
              </c:layout>
              <c:showVal val="1"/>
            </c:dLbl>
            <c:spPr>
              <a:noFill/>
              <a:ln w="31735">
                <a:noFill/>
              </a:ln>
            </c:spPr>
            <c:txPr>
              <a:bodyPr/>
              <a:lstStyle/>
              <a:p>
                <a:pPr>
                  <a:defRPr sz="1372">
                    <a:solidFill>
                      <a:sysClr val="windowText" lastClr="000000"/>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Sheet1!$B$4:$E$4</c:f>
              <c:numCache>
                <c:formatCode>General</c:formatCode>
                <c:ptCount val="4"/>
                <c:pt idx="0">
                  <c:v>49</c:v>
                </c:pt>
                <c:pt idx="1">
                  <c:v>54</c:v>
                </c:pt>
                <c:pt idx="2">
                  <c:v>53</c:v>
                </c:pt>
                <c:pt idx="3">
                  <c:v>13</c:v>
                </c:pt>
              </c:numCache>
            </c:numRef>
          </c:val>
        </c:ser>
        <c:gapDepth val="0"/>
        <c:shape val="box"/>
        <c:axId val="386581632"/>
        <c:axId val="386583168"/>
        <c:axId val="0"/>
      </c:bar3DChart>
      <c:catAx>
        <c:axId val="386581632"/>
        <c:scaling>
          <c:orientation val="minMax"/>
        </c:scaling>
        <c:axPos val="b"/>
        <c:numFmt formatCode="General" sourceLinked="1"/>
        <c:tickLblPos val="low"/>
        <c:spPr>
          <a:ln w="3967">
            <a:solidFill>
              <a:srgbClr val="000000"/>
            </a:solidFill>
            <a:prstDash val="solid"/>
          </a:ln>
        </c:spPr>
        <c:txPr>
          <a:bodyPr rot="0" vert="horz"/>
          <a:lstStyle/>
          <a:p>
            <a:pPr>
              <a:defRPr sz="1372"/>
            </a:pPr>
            <a:endParaRPr lang="uk-UA"/>
          </a:p>
        </c:txPr>
        <c:crossAx val="386583168"/>
        <c:crosses val="autoZero"/>
        <c:auto val="1"/>
        <c:lblAlgn val="ctr"/>
        <c:lblOffset val="100"/>
        <c:tickLblSkip val="1"/>
        <c:tickMarkSkip val="1"/>
      </c:catAx>
      <c:valAx>
        <c:axId val="386583168"/>
        <c:scaling>
          <c:orientation val="minMax"/>
        </c:scaling>
        <c:axPos val="l"/>
        <c:majorGridlines>
          <c:spPr>
            <a:ln w="3967">
              <a:solidFill>
                <a:srgbClr val="000000"/>
              </a:solidFill>
              <a:prstDash val="solid"/>
            </a:ln>
          </c:spPr>
        </c:majorGridlines>
        <c:numFmt formatCode="General" sourceLinked="1"/>
        <c:tickLblPos val="nextTo"/>
        <c:spPr>
          <a:ln w="3967">
            <a:solidFill>
              <a:srgbClr val="000000"/>
            </a:solidFill>
            <a:prstDash val="solid"/>
          </a:ln>
        </c:spPr>
        <c:txPr>
          <a:bodyPr rot="0" vert="horz"/>
          <a:lstStyle/>
          <a:p>
            <a:pPr>
              <a:defRPr sz="1372"/>
            </a:pPr>
            <a:endParaRPr lang="uk-UA"/>
          </a:p>
        </c:txPr>
        <c:crossAx val="386581632"/>
        <c:crosses val="autoZero"/>
        <c:crossBetween val="between"/>
        <c:majorUnit val="10"/>
      </c:valAx>
      <c:spPr>
        <a:noFill/>
        <a:ln w="25147">
          <a:noFill/>
        </a:ln>
      </c:spPr>
    </c:plotArea>
    <c:legend>
      <c:legendPos val="b"/>
      <c:layout>
        <c:manualLayout>
          <c:xMode val="edge"/>
          <c:yMode val="edge"/>
          <c:x val="0.10216768503937008"/>
          <c:y val="0.7651382745922507"/>
          <c:w val="0.81806059842519685"/>
          <c:h val="0.17634145857712394"/>
        </c:manualLayout>
      </c:layout>
      <c:spPr>
        <a:solidFill>
          <a:srgbClr val="FFFFFF"/>
        </a:solidFill>
        <a:ln w="3967">
          <a:solidFill>
            <a:srgbClr val="000000"/>
          </a:solidFill>
          <a:prstDash val="solid"/>
        </a:ln>
      </c:spPr>
    </c:legend>
    <c:plotVisOnly val="1"/>
    <c:dispBlanksAs val="gap"/>
  </c:chart>
  <c:spPr>
    <a:noFill/>
    <a:ln>
      <a:noFill/>
    </a:ln>
  </c:spPr>
  <c:txPr>
    <a:bodyPr/>
    <a:lstStyle/>
    <a:p>
      <a:pPr>
        <a:defRPr sz="1178" b="1" i="0" u="none" strike="noStrike" baseline="0">
          <a:solidFill>
            <a:srgbClr val="000000"/>
          </a:solidFill>
          <a:latin typeface="Arial"/>
          <a:ea typeface="Arial"/>
          <a:cs typeface="Arial"/>
        </a:defRPr>
      </a:pPr>
      <a:endParaRPr lang="uk-UA"/>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7463556851311575E-2"/>
          <c:y val="3.2911392405063487E-2"/>
          <c:w val="0.89795918367346961"/>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877">
              <a:solidFill>
                <a:srgbClr val="000000"/>
              </a:solidFill>
              <a:prstDash val="solid"/>
            </a:ln>
          </c:spPr>
          <c:dLbls>
            <c:dLbl>
              <c:idx val="0"/>
              <c:layout>
                <c:manualLayout>
                  <c:x val="-3.5097357016419641E-3"/>
                  <c:y val="7.9283687991279897E-2"/>
                </c:manualLayout>
              </c:layout>
              <c:showVal val="1"/>
            </c:dLbl>
            <c:dLbl>
              <c:idx val="1"/>
              <c:layout>
                <c:manualLayout>
                  <c:x val="-1.9876764062810633E-3"/>
                  <c:y val="7.5666380051590834E-2"/>
                </c:manualLayout>
              </c:layout>
              <c:showVal val="1"/>
            </c:dLbl>
            <c:dLbl>
              <c:idx val="2"/>
              <c:layout>
                <c:manualLayout>
                  <c:x val="-2.9220408271864052E-3"/>
                  <c:y val="7.0303654003696953E-2"/>
                </c:manualLayout>
              </c:layout>
              <c:showVal val="1"/>
            </c:dLbl>
            <c:dLbl>
              <c:idx val="3"/>
              <c:layout>
                <c:manualLayout>
                  <c:x val="-4.1601664066562667E-3"/>
                  <c:y val="7.6307659166794203E-2"/>
                </c:manualLayout>
              </c:layout>
              <c:showVal val="1"/>
            </c:dLbl>
            <c:spPr>
              <a:noFill/>
              <a:ln w="35755">
                <a:noFill/>
              </a:ln>
            </c:spPr>
            <c:txPr>
              <a:bodyPr/>
              <a:lstStyle/>
              <a:p>
                <a:pPr>
                  <a:defRPr sz="140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335</c:v>
                </c:pt>
                <c:pt idx="1">
                  <c:v>390</c:v>
                </c:pt>
                <c:pt idx="2">
                  <c:v>430</c:v>
                </c:pt>
                <c:pt idx="3">
                  <c:v>662</c:v>
                </c:pt>
              </c:numCache>
            </c:numRef>
          </c:val>
        </c:ser>
        <c:gapDepth val="0"/>
        <c:shape val="box"/>
        <c:axId val="409251200"/>
        <c:axId val="409318528"/>
        <c:axId val="0"/>
      </c:bar3DChart>
      <c:catAx>
        <c:axId val="409251200"/>
        <c:scaling>
          <c:orientation val="minMax"/>
        </c:scaling>
        <c:axPos val="b"/>
        <c:numFmt formatCode="General" sourceLinked="1"/>
        <c:tickLblPos val="low"/>
        <c:spPr>
          <a:ln w="4469">
            <a:solidFill>
              <a:srgbClr val="000000"/>
            </a:solidFill>
            <a:prstDash val="solid"/>
          </a:ln>
        </c:spPr>
        <c:txPr>
          <a:bodyPr rot="0" vert="horz"/>
          <a:lstStyle/>
          <a:p>
            <a:pPr>
              <a:defRPr sz="1400"/>
            </a:pPr>
            <a:endParaRPr lang="uk-UA"/>
          </a:p>
        </c:txPr>
        <c:crossAx val="409318528"/>
        <c:crosses val="autoZero"/>
        <c:auto val="1"/>
        <c:lblAlgn val="ctr"/>
        <c:lblOffset val="100"/>
        <c:tickLblSkip val="1"/>
        <c:tickMarkSkip val="1"/>
      </c:catAx>
      <c:valAx>
        <c:axId val="409318528"/>
        <c:scaling>
          <c:orientation val="minMax"/>
        </c:scaling>
        <c:axPos val="l"/>
        <c:majorGridlines>
          <c:spPr>
            <a:ln w="4469">
              <a:solidFill>
                <a:srgbClr val="000000"/>
              </a:solidFill>
              <a:prstDash val="solid"/>
            </a:ln>
          </c:spPr>
        </c:majorGridlines>
        <c:numFmt formatCode="General" sourceLinked="1"/>
        <c:tickLblPos val="nextTo"/>
        <c:spPr>
          <a:ln w="4469">
            <a:solidFill>
              <a:srgbClr val="000000"/>
            </a:solidFill>
            <a:prstDash val="solid"/>
          </a:ln>
        </c:spPr>
        <c:txPr>
          <a:bodyPr rot="0" vert="horz"/>
          <a:lstStyle/>
          <a:p>
            <a:pPr>
              <a:defRPr sz="1400"/>
            </a:pPr>
            <a:endParaRPr lang="uk-UA"/>
          </a:p>
        </c:txPr>
        <c:crossAx val="409251200"/>
        <c:crosses val="autoZero"/>
        <c:crossBetween val="between"/>
      </c:valAx>
      <c:spPr>
        <a:noFill/>
        <a:ln w="25396">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7463556851311575E-2"/>
          <c:y val="3.2911392405063487E-2"/>
          <c:w val="0.89795918367346983"/>
          <c:h val="0.79240506329113924"/>
        </c:manualLayout>
      </c:layout>
      <c:bar3DChart>
        <c:barDir val="col"/>
        <c:grouping val="clustered"/>
        <c:ser>
          <c:idx val="0"/>
          <c:order val="0"/>
          <c:tx>
            <c:strRef>
              <c:f>Sheet1!$A$2</c:f>
              <c:strCache>
                <c:ptCount val="1"/>
                <c:pt idx="0">
                  <c:v>Восток</c:v>
                </c:pt>
              </c:strCache>
            </c:strRef>
          </c:tx>
          <c:spPr>
            <a:solidFill>
              <a:srgbClr val="3366FF"/>
            </a:solidFill>
            <a:ln w="17877">
              <a:solidFill>
                <a:srgbClr val="000000"/>
              </a:solidFill>
              <a:prstDash val="solid"/>
            </a:ln>
          </c:spPr>
          <c:dLbls>
            <c:dLbl>
              <c:idx val="0"/>
              <c:layout>
                <c:manualLayout>
                  <c:x val="4.4409699234823049E-3"/>
                  <c:y val="7.2404926168407838E-2"/>
                </c:manualLayout>
              </c:layout>
              <c:showVal val="1"/>
            </c:dLbl>
            <c:dLbl>
              <c:idx val="1"/>
              <c:layout>
                <c:manualLayout>
                  <c:x val="1.9876764062810633E-3"/>
                  <c:y val="7.2226999140154804E-2"/>
                </c:manualLayout>
              </c:layout>
              <c:showVal val="1"/>
            </c:dLbl>
            <c:dLbl>
              <c:idx val="2"/>
              <c:layout>
                <c:manualLayout>
                  <c:x val="1.0533119853756371E-3"/>
                  <c:y val="7.3743034915132927E-2"/>
                </c:manualLayout>
              </c:layout>
              <c:showVal val="1"/>
            </c:dLbl>
            <c:dLbl>
              <c:idx val="3"/>
              <c:layout>
                <c:manualLayout>
                  <c:x val="3.9753528125621232E-3"/>
                  <c:y val="6.8787618228719025E-2"/>
                </c:manualLayout>
              </c:layout>
              <c:showVal val="1"/>
            </c:dLbl>
            <c:spPr>
              <a:noFill/>
              <a:ln w="35752">
                <a:noFill/>
              </a:ln>
            </c:spPr>
            <c:txPr>
              <a:bodyPr/>
              <a:lstStyle/>
              <a:p>
                <a:pPr>
                  <a:defRPr sz="1400">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89</c:v>
                </c:pt>
                <c:pt idx="1">
                  <c:v>96</c:v>
                </c:pt>
                <c:pt idx="2">
                  <c:v>108</c:v>
                </c:pt>
                <c:pt idx="3">
                  <c:v>135</c:v>
                </c:pt>
              </c:numCache>
            </c:numRef>
          </c:val>
        </c:ser>
        <c:gapDepth val="0"/>
        <c:shape val="box"/>
        <c:axId val="409506560"/>
        <c:axId val="409508096"/>
        <c:axId val="0"/>
      </c:bar3DChart>
      <c:catAx>
        <c:axId val="409506560"/>
        <c:scaling>
          <c:orientation val="minMax"/>
        </c:scaling>
        <c:axPos val="b"/>
        <c:numFmt formatCode="General" sourceLinked="1"/>
        <c:tickLblPos val="low"/>
        <c:spPr>
          <a:ln w="4468">
            <a:solidFill>
              <a:srgbClr val="000000"/>
            </a:solidFill>
            <a:prstDash val="solid"/>
          </a:ln>
        </c:spPr>
        <c:txPr>
          <a:bodyPr rot="0" vert="horz"/>
          <a:lstStyle/>
          <a:p>
            <a:pPr>
              <a:defRPr sz="1400"/>
            </a:pPr>
            <a:endParaRPr lang="uk-UA"/>
          </a:p>
        </c:txPr>
        <c:crossAx val="409508096"/>
        <c:crosses val="autoZero"/>
        <c:auto val="1"/>
        <c:lblAlgn val="ctr"/>
        <c:lblOffset val="100"/>
        <c:tickLblSkip val="1"/>
        <c:tickMarkSkip val="1"/>
      </c:catAx>
      <c:valAx>
        <c:axId val="409508096"/>
        <c:scaling>
          <c:orientation val="minMax"/>
        </c:scaling>
        <c:axPos val="l"/>
        <c:majorGridlines>
          <c:spPr>
            <a:ln w="4468">
              <a:solidFill>
                <a:srgbClr val="000000"/>
              </a:solidFill>
              <a:prstDash val="solid"/>
            </a:ln>
          </c:spPr>
        </c:majorGridlines>
        <c:numFmt formatCode="General" sourceLinked="1"/>
        <c:tickLblPos val="nextTo"/>
        <c:spPr>
          <a:ln w="4468">
            <a:solidFill>
              <a:srgbClr val="000000"/>
            </a:solidFill>
            <a:prstDash val="solid"/>
          </a:ln>
        </c:spPr>
        <c:txPr>
          <a:bodyPr rot="0" vert="horz"/>
          <a:lstStyle/>
          <a:p>
            <a:pPr>
              <a:defRPr sz="1400"/>
            </a:pPr>
            <a:endParaRPr lang="uk-UA"/>
          </a:p>
        </c:txPr>
        <c:crossAx val="409506560"/>
        <c:crosses val="autoZero"/>
        <c:crossBetween val="between"/>
      </c:valAx>
      <c:spPr>
        <a:noFill/>
        <a:ln w="25397">
          <a:noFill/>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hPercent val="48"/>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3571428571428555E-2"/>
          <c:y val="4.2929292929292928E-2"/>
          <c:w val="0.93269230769230771"/>
          <c:h val="0.70202020202020265"/>
        </c:manualLayout>
      </c:layout>
      <c:bar3DChart>
        <c:barDir val="col"/>
        <c:grouping val="clustered"/>
        <c:ser>
          <c:idx val="0"/>
          <c:order val="0"/>
          <c:tx>
            <c:strRef>
              <c:f>Sheet1!$A$2</c:f>
              <c:strCache>
                <c:ptCount val="1"/>
                <c:pt idx="0">
                  <c:v>Експорт</c:v>
                </c:pt>
              </c:strCache>
            </c:strRef>
          </c:tx>
          <c:spPr>
            <a:solidFill>
              <a:srgbClr val="FFFF00"/>
            </a:solidFill>
            <a:ln w="16330">
              <a:solidFill>
                <a:srgbClr val="000000"/>
              </a:solidFill>
              <a:prstDash val="solid"/>
            </a:ln>
          </c:spPr>
          <c:dLbls>
            <c:dLbl>
              <c:idx val="0"/>
              <c:layout>
                <c:manualLayout>
                  <c:x val="1.3645610305654161E-3"/>
                  <c:y val="7.387396907295056E-2"/>
                </c:manualLayout>
              </c:layout>
              <c:showVal val="1"/>
            </c:dLbl>
            <c:dLbl>
              <c:idx val="1"/>
              <c:layout>
                <c:manualLayout>
                  <c:x val="2.4009715559319511E-3"/>
                  <c:y val="7.2140152227168214E-2"/>
                </c:manualLayout>
              </c:layout>
              <c:showVal val="1"/>
            </c:dLbl>
            <c:dLbl>
              <c:idx val="2"/>
              <c:layout>
                <c:manualLayout>
                  <c:x val="-1.7770202914889371E-4"/>
                  <c:y val="6.3296304462464967E-2"/>
                </c:manualLayout>
              </c:layout>
              <c:showVal val="1"/>
            </c:dLbl>
            <c:dLbl>
              <c:idx val="3"/>
              <c:layout>
                <c:manualLayout>
                  <c:x val="0"/>
                  <c:y val="7.1281185518664275E-2"/>
                </c:manualLayout>
              </c:layout>
              <c:showVal val="1"/>
            </c:dLbl>
            <c:spPr>
              <a:noFill/>
              <a:ln w="32662">
                <a:noFill/>
              </a:ln>
            </c:spPr>
            <c:txPr>
              <a:bodyPr/>
              <a:lstStyle/>
              <a:p>
                <a:pPr>
                  <a:defRPr sz="1387">
                    <a:solidFill>
                      <a:sysClr val="windowText" lastClr="000000"/>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69.8</c:v>
                </c:pt>
                <c:pt idx="1">
                  <c:v>89.9</c:v>
                </c:pt>
                <c:pt idx="2">
                  <c:v>91</c:v>
                </c:pt>
                <c:pt idx="3">
                  <c:v>99.3</c:v>
                </c:pt>
              </c:numCache>
            </c:numRef>
          </c:val>
        </c:ser>
        <c:ser>
          <c:idx val="1"/>
          <c:order val="1"/>
          <c:tx>
            <c:strRef>
              <c:f>Sheet1!$A$3</c:f>
              <c:strCache>
                <c:ptCount val="1"/>
                <c:pt idx="0">
                  <c:v>Імпорт</c:v>
                </c:pt>
              </c:strCache>
            </c:strRef>
          </c:tx>
          <c:spPr>
            <a:solidFill>
              <a:srgbClr val="3366FF"/>
            </a:solidFill>
            <a:ln w="16330">
              <a:solidFill>
                <a:srgbClr val="000000"/>
              </a:solidFill>
              <a:prstDash val="solid"/>
            </a:ln>
          </c:spPr>
          <c:dLbls>
            <c:dLbl>
              <c:idx val="0"/>
              <c:layout>
                <c:manualLayout>
                  <c:x val="3.2487738572259234E-3"/>
                  <c:y val="6.7837838095998734E-2"/>
                </c:manualLayout>
              </c:layout>
              <c:showVal val="1"/>
            </c:dLbl>
            <c:dLbl>
              <c:idx val="1"/>
              <c:layout>
                <c:manualLayout>
                  <c:x val="-1.0543579871633605E-3"/>
                  <c:y val="6.9005585320675814E-2"/>
                </c:manualLayout>
              </c:layout>
              <c:showVal val="1"/>
            </c:dLbl>
            <c:dLbl>
              <c:idx val="2"/>
              <c:layout>
                <c:manualLayout>
                  <c:x val="-8.1904682138275731E-4"/>
                  <c:y val="6.2409481125030329E-2"/>
                </c:manualLayout>
              </c:layout>
              <c:showVal val="1"/>
            </c:dLbl>
            <c:dLbl>
              <c:idx val="3"/>
              <c:layout>
                <c:manualLayout>
                  <c:x val="-2.0451988955926012E-3"/>
                  <c:y val="7.1281185518664275E-2"/>
                </c:manualLayout>
              </c:layout>
              <c:showVal val="1"/>
            </c:dLbl>
            <c:spPr>
              <a:noFill/>
              <a:ln w="32662">
                <a:noFill/>
              </a:ln>
            </c:spPr>
            <c:txPr>
              <a:bodyPr/>
              <a:lstStyle/>
              <a:p>
                <a:pPr>
                  <a:defRPr sz="1387">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Sheet1!$B$3:$E$3</c:f>
              <c:numCache>
                <c:formatCode>General</c:formatCode>
                <c:ptCount val="4"/>
                <c:pt idx="0">
                  <c:v>118</c:v>
                </c:pt>
                <c:pt idx="1">
                  <c:v>134.1</c:v>
                </c:pt>
                <c:pt idx="2">
                  <c:v>139.1</c:v>
                </c:pt>
                <c:pt idx="3">
                  <c:v>137.19999999999999</c:v>
                </c:pt>
              </c:numCache>
            </c:numRef>
          </c:val>
        </c:ser>
        <c:gapWidth val="70"/>
        <c:gapDepth val="0"/>
        <c:shape val="box"/>
        <c:axId val="386793472"/>
        <c:axId val="386795008"/>
        <c:axId val="0"/>
      </c:bar3DChart>
      <c:catAx>
        <c:axId val="386793472"/>
        <c:scaling>
          <c:orientation val="minMax"/>
        </c:scaling>
        <c:axPos val="b"/>
        <c:numFmt formatCode="General" sourceLinked="1"/>
        <c:tickLblPos val="low"/>
        <c:spPr>
          <a:ln w="4083">
            <a:solidFill>
              <a:srgbClr val="000000"/>
            </a:solidFill>
            <a:prstDash val="solid"/>
          </a:ln>
        </c:spPr>
        <c:txPr>
          <a:bodyPr rot="0" vert="horz"/>
          <a:lstStyle/>
          <a:p>
            <a:pPr>
              <a:defRPr sz="1387"/>
            </a:pPr>
            <a:endParaRPr lang="uk-UA"/>
          </a:p>
        </c:txPr>
        <c:crossAx val="386795008"/>
        <c:crosses val="autoZero"/>
        <c:auto val="1"/>
        <c:lblAlgn val="ctr"/>
        <c:lblOffset val="100"/>
        <c:tickLblSkip val="1"/>
        <c:tickMarkSkip val="1"/>
      </c:catAx>
      <c:valAx>
        <c:axId val="386795008"/>
        <c:scaling>
          <c:orientation val="minMax"/>
        </c:scaling>
        <c:axPos val="l"/>
        <c:majorGridlines>
          <c:spPr>
            <a:ln w="4083">
              <a:solidFill>
                <a:srgbClr val="000000"/>
              </a:solidFill>
              <a:prstDash val="solid"/>
            </a:ln>
          </c:spPr>
        </c:majorGridlines>
        <c:numFmt formatCode="General" sourceLinked="1"/>
        <c:tickLblPos val="nextTo"/>
        <c:spPr>
          <a:ln w="4083">
            <a:solidFill>
              <a:srgbClr val="000000"/>
            </a:solidFill>
            <a:prstDash val="solid"/>
          </a:ln>
        </c:spPr>
        <c:txPr>
          <a:bodyPr rot="0" vert="horz"/>
          <a:lstStyle/>
          <a:p>
            <a:pPr>
              <a:defRPr sz="1387"/>
            </a:pPr>
            <a:endParaRPr lang="uk-UA"/>
          </a:p>
        </c:txPr>
        <c:crossAx val="386793472"/>
        <c:crosses val="autoZero"/>
        <c:crossBetween val="between"/>
        <c:majorUnit val="30"/>
      </c:valAx>
      <c:spPr>
        <a:noFill/>
        <a:ln w="25394">
          <a:noFill/>
        </a:ln>
      </c:spPr>
    </c:plotArea>
    <c:legend>
      <c:legendPos val="b"/>
      <c:layout>
        <c:manualLayout>
          <c:xMode val="edge"/>
          <c:yMode val="edge"/>
          <c:x val="0.35168167979002651"/>
          <c:y val="0.85983322881100044"/>
          <c:w val="0.32903071916010501"/>
          <c:h val="7.3232217654209217E-2"/>
        </c:manualLayout>
      </c:layout>
      <c:spPr>
        <a:solidFill>
          <a:srgbClr val="FFFFFF"/>
        </a:solidFill>
        <a:ln w="4083">
          <a:solidFill>
            <a:srgbClr val="000000"/>
          </a:solidFill>
          <a:prstDash val="solid"/>
        </a:ln>
      </c:spPr>
      <c:txPr>
        <a:bodyPr/>
        <a:lstStyle/>
        <a:p>
          <a:pPr>
            <a:defRPr sz="1189"/>
          </a:pPr>
          <a:endParaRPr lang="uk-UA"/>
        </a:p>
      </c:txPr>
    </c:legend>
    <c:plotVisOnly val="1"/>
    <c:dispBlanksAs val="gap"/>
  </c:chart>
  <c:spPr>
    <a:noFill/>
    <a:ln>
      <a:noFill/>
    </a:ln>
  </c:spPr>
  <c:txPr>
    <a:bodyPr/>
    <a:lstStyle/>
    <a:p>
      <a:pPr>
        <a:defRPr sz="1090" b="1" i="0" u="none" strike="noStrike" baseline="0">
          <a:solidFill>
            <a:srgbClr val="000000"/>
          </a:solidFill>
          <a:latin typeface="Arial"/>
          <a:ea typeface="Arial"/>
          <a:cs typeface="Arial"/>
        </a:defRPr>
      </a:pPr>
      <a:endParaRPr lang="uk-UA"/>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385756676557845"/>
          <c:y val="3.5714285714285712E-2"/>
          <c:w val="0.88130563798219663"/>
          <c:h val="0.78826530612244849"/>
        </c:manualLayout>
      </c:layout>
      <c:bar3DChart>
        <c:barDir val="col"/>
        <c:grouping val="clustered"/>
        <c:ser>
          <c:idx val="0"/>
          <c:order val="0"/>
          <c:tx>
            <c:strRef>
              <c:f>Sheet1!$A$2</c:f>
              <c:strCache>
                <c:ptCount val="1"/>
                <c:pt idx="0">
                  <c:v>Восток</c:v>
                </c:pt>
              </c:strCache>
            </c:strRef>
          </c:tx>
          <c:spPr>
            <a:solidFill>
              <a:srgbClr val="3366FF"/>
            </a:solidFill>
            <a:ln w="18030">
              <a:solidFill>
                <a:srgbClr val="000000"/>
              </a:solidFill>
              <a:prstDash val="solid"/>
            </a:ln>
          </c:spPr>
          <c:dLbls>
            <c:dLbl>
              <c:idx val="0"/>
              <c:layout>
                <c:manualLayout>
                  <c:x val="5.8562678346144982E-3"/>
                  <c:y val="7.1312499491144626E-2"/>
                </c:manualLayout>
              </c:layout>
              <c:showVal val="1"/>
            </c:dLbl>
            <c:dLbl>
              <c:idx val="1"/>
              <c:layout>
                <c:manualLayout>
                  <c:x val="1.9876764062810633E-3"/>
                  <c:y val="6.4691862444671427E-2"/>
                </c:manualLayout>
              </c:layout>
              <c:showVal val="1"/>
            </c:dLbl>
            <c:dLbl>
              <c:idx val="2"/>
              <c:layout>
                <c:manualLayout>
                  <c:x val="2.494442330631329E-4"/>
                  <c:y val="7.1669623580107936E-2"/>
                </c:manualLayout>
              </c:layout>
              <c:showVal val="1"/>
            </c:dLbl>
            <c:dLbl>
              <c:idx val="3"/>
              <c:layout>
                <c:manualLayout>
                  <c:x val="-1.9876764062810633E-3"/>
                  <c:y val="6.1287027579162406E-2"/>
                </c:manualLayout>
              </c:layout>
              <c:showVal val="1"/>
            </c:dLbl>
            <c:spPr>
              <a:noFill/>
              <a:ln w="36062">
                <a:noFill/>
              </a:ln>
            </c:spPr>
            <c:txPr>
              <a:bodyPr/>
              <a:lstStyle/>
              <a:p>
                <a:pPr>
                  <a:defRPr sz="1384">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3008</c:v>
                </c:pt>
                <c:pt idx="1">
                  <c:v>3700</c:v>
                </c:pt>
                <c:pt idx="2">
                  <c:v>3673</c:v>
                </c:pt>
                <c:pt idx="3">
                  <c:v>3700</c:v>
                </c:pt>
              </c:numCache>
            </c:numRef>
          </c:val>
        </c:ser>
        <c:gapWidth val="100"/>
        <c:gapDepth val="0"/>
        <c:shape val="box"/>
        <c:axId val="386860544"/>
        <c:axId val="386862080"/>
        <c:axId val="0"/>
      </c:bar3DChart>
      <c:catAx>
        <c:axId val="386860544"/>
        <c:scaling>
          <c:orientation val="minMax"/>
        </c:scaling>
        <c:axPos val="b"/>
        <c:numFmt formatCode="General" sourceLinked="1"/>
        <c:tickLblPos val="low"/>
        <c:spPr>
          <a:ln w="4508">
            <a:solidFill>
              <a:srgbClr val="000000"/>
            </a:solidFill>
            <a:prstDash val="solid"/>
          </a:ln>
        </c:spPr>
        <c:txPr>
          <a:bodyPr rot="0" vert="horz"/>
          <a:lstStyle/>
          <a:p>
            <a:pPr>
              <a:defRPr sz="1384"/>
            </a:pPr>
            <a:endParaRPr lang="uk-UA"/>
          </a:p>
        </c:txPr>
        <c:crossAx val="386862080"/>
        <c:crosses val="autoZero"/>
        <c:auto val="1"/>
        <c:lblAlgn val="ctr"/>
        <c:lblOffset val="100"/>
        <c:tickLblSkip val="1"/>
        <c:tickMarkSkip val="1"/>
      </c:catAx>
      <c:valAx>
        <c:axId val="386862080"/>
        <c:scaling>
          <c:orientation val="minMax"/>
        </c:scaling>
        <c:axPos val="l"/>
        <c:majorGridlines>
          <c:spPr>
            <a:ln w="4508">
              <a:solidFill>
                <a:srgbClr val="000000"/>
              </a:solidFill>
              <a:prstDash val="solid"/>
            </a:ln>
          </c:spPr>
        </c:majorGridlines>
        <c:numFmt formatCode="General" sourceLinked="1"/>
        <c:tickLblPos val="nextTo"/>
        <c:spPr>
          <a:ln w="4508">
            <a:solidFill>
              <a:srgbClr val="000000"/>
            </a:solidFill>
            <a:prstDash val="solid"/>
          </a:ln>
        </c:spPr>
        <c:txPr>
          <a:bodyPr rot="0" vert="horz"/>
          <a:lstStyle/>
          <a:p>
            <a:pPr>
              <a:defRPr sz="1384"/>
            </a:pPr>
            <a:endParaRPr lang="uk-UA"/>
          </a:p>
        </c:txPr>
        <c:crossAx val="386860544"/>
        <c:crosses val="autoZero"/>
        <c:crossBetween val="between"/>
        <c:majorUnit val="1000"/>
      </c:valAx>
      <c:spPr>
        <a:noFill/>
        <a:ln w="25398">
          <a:noFill/>
        </a:ln>
      </c:spPr>
    </c:plotArea>
    <c:plotVisOnly val="1"/>
    <c:dispBlanksAs val="gap"/>
  </c:chart>
  <c:spPr>
    <a:noFill/>
    <a:ln>
      <a:noFill/>
    </a:ln>
  </c:spPr>
  <c:txPr>
    <a:bodyPr/>
    <a:lstStyle/>
    <a:p>
      <a:pPr>
        <a:defRPr sz="1385" b="1" i="0" u="none" strike="noStrike" baseline="0">
          <a:solidFill>
            <a:srgbClr val="000000"/>
          </a:solidFill>
          <a:latin typeface="Arial"/>
          <a:ea typeface="Arial"/>
          <a:cs typeface="Arial"/>
        </a:defRPr>
      </a:pPr>
      <a:endParaRPr lang="uk-UA"/>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385756676557845"/>
          <c:y val="3.5714285714285712E-2"/>
          <c:w val="0.88130563798219663"/>
          <c:h val="0.78826530612244849"/>
        </c:manualLayout>
      </c:layout>
      <c:bar3DChart>
        <c:barDir val="col"/>
        <c:grouping val="clustered"/>
        <c:ser>
          <c:idx val="0"/>
          <c:order val="0"/>
          <c:tx>
            <c:strRef>
              <c:f>Sheet1!$A$2</c:f>
              <c:strCache>
                <c:ptCount val="1"/>
                <c:pt idx="0">
                  <c:v>Восток</c:v>
                </c:pt>
              </c:strCache>
            </c:strRef>
          </c:tx>
          <c:spPr>
            <a:solidFill>
              <a:srgbClr val="3366FF"/>
            </a:solidFill>
            <a:ln w="18029">
              <a:solidFill>
                <a:srgbClr val="000000"/>
              </a:solidFill>
              <a:prstDash val="solid"/>
            </a:ln>
          </c:spPr>
          <c:dLbls>
            <c:dLbl>
              <c:idx val="0"/>
              <c:layout>
                <c:manualLayout>
                  <c:x val="7.843965837007404E-3"/>
                  <c:y val="7.4717358491577693E-2"/>
                </c:manualLayout>
              </c:layout>
              <c:showVal val="1"/>
            </c:dLbl>
            <c:dLbl>
              <c:idx val="1"/>
              <c:layout>
                <c:manualLayout>
                  <c:x val="1.9876764062810633E-3"/>
                  <c:y val="7.4906367041198796E-2"/>
                </c:manualLayout>
              </c:layout>
              <c:showVal val="1"/>
            </c:dLbl>
            <c:dLbl>
              <c:idx val="2"/>
              <c:layout>
                <c:manualLayout>
                  <c:x val="-1.7381995407998701E-3"/>
                  <c:y val="7.5074464006605904E-2"/>
                </c:manualLayout>
              </c:layout>
              <c:showVal val="1"/>
            </c:dLbl>
            <c:dLbl>
              <c:idx val="3"/>
              <c:layout>
                <c:manualLayout>
                  <c:x val="5.9630292188430443E-3"/>
                  <c:y val="6.8096697310180754E-2"/>
                </c:manualLayout>
              </c:layout>
              <c:showVal val="1"/>
            </c:dLbl>
            <c:spPr>
              <a:noFill/>
              <a:ln w="36059">
                <a:noFill/>
              </a:ln>
            </c:spPr>
            <c:txPr>
              <a:bodyPr/>
              <a:lstStyle/>
              <a:p>
                <a:pPr>
                  <a:defRPr sz="1384">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640</c:v>
                </c:pt>
                <c:pt idx="1">
                  <c:v>662</c:v>
                </c:pt>
                <c:pt idx="2">
                  <c:v>706</c:v>
                </c:pt>
                <c:pt idx="3">
                  <c:v>247</c:v>
                </c:pt>
              </c:numCache>
            </c:numRef>
          </c:val>
        </c:ser>
        <c:gapWidth val="100"/>
        <c:gapDepth val="0"/>
        <c:shape val="box"/>
        <c:axId val="406866560"/>
        <c:axId val="406872448"/>
        <c:axId val="0"/>
      </c:bar3DChart>
      <c:catAx>
        <c:axId val="406866560"/>
        <c:scaling>
          <c:orientation val="minMax"/>
        </c:scaling>
        <c:axPos val="b"/>
        <c:numFmt formatCode="General" sourceLinked="1"/>
        <c:tickLblPos val="low"/>
        <c:spPr>
          <a:ln w="4507">
            <a:solidFill>
              <a:srgbClr val="000000"/>
            </a:solidFill>
            <a:prstDash val="solid"/>
          </a:ln>
        </c:spPr>
        <c:txPr>
          <a:bodyPr rot="0" vert="horz"/>
          <a:lstStyle/>
          <a:p>
            <a:pPr>
              <a:defRPr sz="1384"/>
            </a:pPr>
            <a:endParaRPr lang="uk-UA"/>
          </a:p>
        </c:txPr>
        <c:crossAx val="406872448"/>
        <c:crosses val="autoZero"/>
        <c:auto val="1"/>
        <c:lblAlgn val="ctr"/>
        <c:lblOffset val="100"/>
        <c:tickLblSkip val="1"/>
        <c:tickMarkSkip val="1"/>
      </c:catAx>
      <c:valAx>
        <c:axId val="406872448"/>
        <c:scaling>
          <c:orientation val="minMax"/>
        </c:scaling>
        <c:axPos val="l"/>
        <c:majorGridlines>
          <c:spPr>
            <a:ln w="4507">
              <a:solidFill>
                <a:srgbClr val="000000"/>
              </a:solidFill>
              <a:prstDash val="solid"/>
            </a:ln>
          </c:spPr>
        </c:majorGridlines>
        <c:numFmt formatCode="General" sourceLinked="1"/>
        <c:tickLblPos val="nextTo"/>
        <c:spPr>
          <a:ln w="4507">
            <a:solidFill>
              <a:srgbClr val="000000"/>
            </a:solidFill>
            <a:prstDash val="solid"/>
          </a:ln>
        </c:spPr>
        <c:txPr>
          <a:bodyPr rot="0" vert="horz"/>
          <a:lstStyle/>
          <a:p>
            <a:pPr>
              <a:defRPr sz="1384"/>
            </a:pPr>
            <a:endParaRPr lang="uk-UA"/>
          </a:p>
        </c:txPr>
        <c:crossAx val="406866560"/>
        <c:crosses val="autoZero"/>
        <c:crossBetween val="between"/>
        <c:majorUnit val="200"/>
      </c:valAx>
      <c:spPr>
        <a:noFill/>
        <a:ln w="25396">
          <a:noFill/>
        </a:ln>
      </c:spPr>
    </c:plotArea>
    <c:plotVisOnly val="1"/>
    <c:dispBlanksAs val="gap"/>
  </c:chart>
  <c:spPr>
    <a:noFill/>
    <a:ln>
      <a:noFill/>
    </a:ln>
  </c:spPr>
  <c:txPr>
    <a:bodyPr/>
    <a:lstStyle/>
    <a:p>
      <a:pPr>
        <a:defRPr sz="1385" b="1" i="0" u="none" strike="noStrike" baseline="0">
          <a:solidFill>
            <a:srgbClr val="000000"/>
          </a:solidFill>
          <a:latin typeface="Arial"/>
          <a:ea typeface="Arial"/>
          <a:cs typeface="Arial"/>
        </a:defRPr>
      </a:pPr>
      <a:endParaRPr lang="uk-UA"/>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1"/>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6.9735006973500824E-2"/>
          <c:y val="3.7333333333333406E-2"/>
          <c:w val="0.91631799163179917"/>
          <c:h val="0.83124882629108277"/>
        </c:manualLayout>
      </c:layout>
      <c:bar3DChart>
        <c:barDir val="col"/>
        <c:grouping val="clustered"/>
        <c:ser>
          <c:idx val="0"/>
          <c:order val="0"/>
          <c:tx>
            <c:strRef>
              <c:f>Sheet1!$A$2</c:f>
              <c:strCache>
                <c:ptCount val="1"/>
                <c:pt idx="0">
                  <c:v>Восток</c:v>
                </c:pt>
              </c:strCache>
            </c:strRef>
          </c:tx>
          <c:spPr>
            <a:solidFill>
              <a:srgbClr val="3366FF"/>
            </a:solidFill>
            <a:ln w="16884">
              <a:solidFill>
                <a:srgbClr val="000000"/>
              </a:solidFill>
              <a:prstDash val="solid"/>
            </a:ln>
          </c:spPr>
          <c:dLbls>
            <c:dLbl>
              <c:idx val="0"/>
              <c:layout>
                <c:manualLayout>
                  <c:x val="7.567383651884272E-4"/>
                  <c:y val="6.9093469133962901E-2"/>
                </c:manualLayout>
              </c:layout>
              <c:showVal val="1"/>
            </c:dLbl>
            <c:dLbl>
              <c:idx val="1"/>
              <c:layout>
                <c:manualLayout>
                  <c:x val="0"/>
                  <c:y val="9.0140845070422901E-2"/>
                </c:manualLayout>
              </c:layout>
              <c:showVal val="1"/>
            </c:dLbl>
            <c:dLbl>
              <c:idx val="2"/>
              <c:layout>
                <c:manualLayout>
                  <c:x val="1.9172445630028063E-3"/>
                  <c:y val="6.9403850996151123E-2"/>
                </c:manualLayout>
              </c:layout>
              <c:showVal val="1"/>
            </c:dLbl>
            <c:dLbl>
              <c:idx val="3"/>
              <c:layout>
                <c:manualLayout>
                  <c:x val="-1.4576125261418463E-16"/>
                  <c:y val="8.6384976525821625E-2"/>
                </c:manualLayout>
              </c:layout>
              <c:showVal val="1"/>
            </c:dLbl>
            <c:spPr>
              <a:noFill/>
              <a:ln w="33768">
                <a:noFill/>
              </a:ln>
            </c:spPr>
            <c:txPr>
              <a:bodyPr/>
              <a:lstStyle/>
              <a:p>
                <a:pPr>
                  <a:defRPr sz="1387">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479</c:v>
                </c:pt>
                <c:pt idx="1">
                  <c:v>507</c:v>
                </c:pt>
                <c:pt idx="2">
                  <c:v>545</c:v>
                </c:pt>
                <c:pt idx="3">
                  <c:v>579</c:v>
                </c:pt>
              </c:numCache>
            </c:numRef>
          </c:val>
        </c:ser>
        <c:gapDepth val="0"/>
        <c:shape val="box"/>
        <c:axId val="406904832"/>
        <c:axId val="406906368"/>
        <c:axId val="0"/>
      </c:bar3DChart>
      <c:catAx>
        <c:axId val="406904832"/>
        <c:scaling>
          <c:orientation val="minMax"/>
        </c:scaling>
        <c:axPos val="b"/>
        <c:numFmt formatCode="General" sourceLinked="1"/>
        <c:tickLblPos val="low"/>
        <c:spPr>
          <a:ln w="4221">
            <a:solidFill>
              <a:srgbClr val="000000"/>
            </a:solidFill>
            <a:prstDash val="solid"/>
          </a:ln>
        </c:spPr>
        <c:txPr>
          <a:bodyPr rot="0" vert="horz"/>
          <a:lstStyle/>
          <a:p>
            <a:pPr>
              <a:defRPr sz="1387"/>
            </a:pPr>
            <a:endParaRPr lang="uk-UA"/>
          </a:p>
        </c:txPr>
        <c:crossAx val="406906368"/>
        <c:crosses val="autoZero"/>
        <c:auto val="1"/>
        <c:lblAlgn val="ctr"/>
        <c:lblOffset val="100"/>
        <c:tickLblSkip val="1"/>
        <c:tickMarkSkip val="1"/>
      </c:catAx>
      <c:valAx>
        <c:axId val="406906368"/>
        <c:scaling>
          <c:orientation val="minMax"/>
          <c:min val="0"/>
        </c:scaling>
        <c:axPos val="l"/>
        <c:majorGridlines>
          <c:spPr>
            <a:ln w="4221">
              <a:solidFill>
                <a:srgbClr val="000000"/>
              </a:solidFill>
              <a:prstDash val="solid"/>
            </a:ln>
          </c:spPr>
        </c:majorGridlines>
        <c:numFmt formatCode="General" sourceLinked="1"/>
        <c:tickLblPos val="nextTo"/>
        <c:spPr>
          <a:ln w="4221">
            <a:solidFill>
              <a:srgbClr val="000000"/>
            </a:solidFill>
            <a:prstDash val="solid"/>
          </a:ln>
        </c:spPr>
        <c:txPr>
          <a:bodyPr rot="0" vert="horz"/>
          <a:lstStyle/>
          <a:p>
            <a:pPr>
              <a:defRPr sz="1387"/>
            </a:pPr>
            <a:endParaRPr lang="uk-UA"/>
          </a:p>
        </c:txPr>
        <c:crossAx val="406904832"/>
        <c:crosses val="autoZero"/>
        <c:crossBetween val="between"/>
        <c:majorUnit val="100"/>
      </c:valAx>
      <c:spPr>
        <a:noFill/>
        <a:ln w="25399">
          <a:noFill/>
        </a:ln>
      </c:spPr>
    </c:plotArea>
    <c:plotVisOnly val="1"/>
    <c:dispBlanksAs val="gap"/>
  </c:chart>
  <c:spPr>
    <a:noFill/>
    <a:ln>
      <a:noFill/>
    </a:ln>
  </c:spPr>
  <c:txPr>
    <a:bodyPr/>
    <a:lstStyle/>
    <a:p>
      <a:pPr>
        <a:defRPr sz="1385" b="1" i="0" u="none" strike="noStrike" baseline="0">
          <a:solidFill>
            <a:srgbClr val="000000"/>
          </a:solidFill>
          <a:latin typeface="Arial"/>
          <a:ea typeface="Arial"/>
          <a:cs typeface="Arial"/>
        </a:defRPr>
      </a:pPr>
      <a:endParaRPr lang="uk-UA"/>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7"/>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10385756676557845"/>
          <c:y val="3.5714285714285712E-2"/>
          <c:w val="0.88130563798219663"/>
          <c:h val="0.78826530612244849"/>
        </c:manualLayout>
      </c:layout>
      <c:bar3DChart>
        <c:barDir val="col"/>
        <c:grouping val="clustered"/>
        <c:ser>
          <c:idx val="0"/>
          <c:order val="0"/>
          <c:tx>
            <c:strRef>
              <c:f>Sheet1!$A$2</c:f>
              <c:strCache>
                <c:ptCount val="1"/>
                <c:pt idx="0">
                  <c:v>Восток</c:v>
                </c:pt>
              </c:strCache>
            </c:strRef>
          </c:tx>
          <c:spPr>
            <a:solidFill>
              <a:srgbClr val="3366FF"/>
            </a:solidFill>
            <a:ln w="17860">
              <a:solidFill>
                <a:srgbClr val="000000"/>
              </a:solidFill>
              <a:prstDash val="solid"/>
            </a:ln>
          </c:spPr>
          <c:dLbls>
            <c:dLbl>
              <c:idx val="0"/>
              <c:layout>
                <c:manualLayout>
                  <c:x val="5.8562894307263242E-3"/>
                  <c:y val="7.1312523626068824E-2"/>
                </c:manualLayout>
              </c:layout>
              <c:showVal val="1"/>
            </c:dLbl>
            <c:dLbl>
              <c:idx val="1"/>
              <c:layout>
                <c:manualLayout>
                  <c:x val="3.9753528125621206E-3"/>
                  <c:y val="7.4906367041198796E-2"/>
                </c:manualLayout>
              </c:layout>
              <c:showVal val="1"/>
            </c:dLbl>
            <c:dLbl>
              <c:idx val="2"/>
              <c:layout>
                <c:manualLayout>
                  <c:x val="2.2371532717622585E-3"/>
                  <c:y val="7.1669629141096911E-2"/>
                </c:manualLayout>
              </c:layout>
              <c:showVal val="1"/>
            </c:dLbl>
            <c:dLbl>
              <c:idx val="3"/>
              <c:layout>
                <c:manualLayout>
                  <c:x val="0"/>
                  <c:y val="7.1501532175689442E-2"/>
                </c:manualLayout>
              </c:layout>
              <c:showVal val="1"/>
            </c:dLbl>
            <c:spPr>
              <a:noFill/>
              <a:ln w="35722">
                <a:noFill/>
              </a:ln>
            </c:spPr>
            <c:txPr>
              <a:bodyPr/>
              <a:lstStyle/>
              <a:p>
                <a:pPr>
                  <a:defRPr sz="1371">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218.9</c:v>
                </c:pt>
                <c:pt idx="1">
                  <c:v>213.7</c:v>
                </c:pt>
                <c:pt idx="2">
                  <c:v>267.8</c:v>
                </c:pt>
                <c:pt idx="3">
                  <c:v>262.39999999999975</c:v>
                </c:pt>
              </c:numCache>
            </c:numRef>
          </c:val>
        </c:ser>
        <c:gapWidth val="100"/>
        <c:gapDepth val="0"/>
        <c:shape val="box"/>
        <c:axId val="386905216"/>
        <c:axId val="386906752"/>
        <c:axId val="0"/>
      </c:bar3DChart>
      <c:catAx>
        <c:axId val="386905216"/>
        <c:scaling>
          <c:orientation val="minMax"/>
        </c:scaling>
        <c:axPos val="b"/>
        <c:numFmt formatCode="General" sourceLinked="1"/>
        <c:tickLblPos val="low"/>
        <c:spPr>
          <a:ln w="4465">
            <a:solidFill>
              <a:srgbClr val="000000"/>
            </a:solidFill>
            <a:prstDash val="solid"/>
          </a:ln>
        </c:spPr>
        <c:txPr>
          <a:bodyPr rot="0" vert="horz"/>
          <a:lstStyle/>
          <a:p>
            <a:pPr>
              <a:defRPr sz="1371"/>
            </a:pPr>
            <a:endParaRPr lang="uk-UA"/>
          </a:p>
        </c:txPr>
        <c:crossAx val="386906752"/>
        <c:crosses val="autoZero"/>
        <c:auto val="1"/>
        <c:lblAlgn val="ctr"/>
        <c:lblOffset val="100"/>
        <c:tickLblSkip val="1"/>
        <c:tickMarkSkip val="1"/>
      </c:catAx>
      <c:valAx>
        <c:axId val="386906752"/>
        <c:scaling>
          <c:orientation val="minMax"/>
        </c:scaling>
        <c:axPos val="l"/>
        <c:majorGridlines>
          <c:spPr>
            <a:ln w="4465">
              <a:solidFill>
                <a:srgbClr val="000000"/>
              </a:solidFill>
              <a:prstDash val="solid"/>
            </a:ln>
          </c:spPr>
        </c:majorGridlines>
        <c:numFmt formatCode="General" sourceLinked="1"/>
        <c:tickLblPos val="nextTo"/>
        <c:spPr>
          <a:ln w="4465">
            <a:solidFill>
              <a:srgbClr val="000000"/>
            </a:solidFill>
            <a:prstDash val="solid"/>
          </a:ln>
        </c:spPr>
        <c:txPr>
          <a:bodyPr rot="0" vert="horz"/>
          <a:lstStyle/>
          <a:p>
            <a:pPr>
              <a:defRPr sz="1371"/>
            </a:pPr>
            <a:endParaRPr lang="uk-UA"/>
          </a:p>
        </c:txPr>
        <c:crossAx val="386905216"/>
        <c:crosses val="autoZero"/>
        <c:crossBetween val="between"/>
      </c:valAx>
      <c:spPr>
        <a:noFill/>
        <a:ln w="25158">
          <a:noFill/>
        </a:ln>
      </c:spPr>
    </c:plotArea>
    <c:plotVisOnly val="1"/>
    <c:dispBlanksAs val="gap"/>
  </c:chart>
  <c:spPr>
    <a:noFill/>
    <a:ln>
      <a:noFill/>
    </a:ln>
  </c:spPr>
  <c:txPr>
    <a:bodyPr/>
    <a:lstStyle/>
    <a:p>
      <a:pPr>
        <a:defRPr sz="1372" b="1" i="0" u="none" strike="noStrike" baseline="0">
          <a:solidFill>
            <a:srgbClr val="000000"/>
          </a:solidFill>
          <a:latin typeface="Arial"/>
          <a:ea typeface="Arial"/>
          <a:cs typeface="Arial"/>
        </a:defRPr>
      </a:pPr>
      <a:endParaRPr lang="uk-UA"/>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view3D>
      <c:hPercent val="43"/>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5.3664921465968587E-2"/>
          <c:y val="5.3475935828877004E-2"/>
          <c:w val="0.94318438281082451"/>
          <c:h val="0.66844919786096268"/>
        </c:manualLayout>
      </c:layout>
      <c:bar3DChart>
        <c:barDir val="col"/>
        <c:grouping val="clustered"/>
        <c:ser>
          <c:idx val="0"/>
          <c:order val="0"/>
          <c:tx>
            <c:strRef>
              <c:f>Sheet1!$A$2</c:f>
              <c:strCache>
                <c:ptCount val="1"/>
                <c:pt idx="0">
                  <c:v>Міста-побратими</c:v>
                </c:pt>
              </c:strCache>
            </c:strRef>
          </c:tx>
          <c:spPr>
            <a:solidFill>
              <a:srgbClr val="FFFF00"/>
            </a:solidFill>
            <a:ln w="15967">
              <a:solidFill>
                <a:srgbClr val="000000"/>
              </a:solidFill>
              <a:prstDash val="solid"/>
            </a:ln>
          </c:spPr>
          <c:dLbls>
            <c:dLbl>
              <c:idx val="0"/>
              <c:layout>
                <c:manualLayout>
                  <c:x val="3.6565457292031275E-5"/>
                  <c:y val="8.4054306951988872E-2"/>
                </c:manualLayout>
              </c:layout>
              <c:showVal val="1"/>
            </c:dLbl>
            <c:dLbl>
              <c:idx val="1"/>
              <c:layout>
                <c:manualLayout>
                  <c:x val="-7.2880626307092266E-17"/>
                  <c:y val="8.1727962638645929E-2"/>
                </c:manualLayout>
              </c:layout>
              <c:showVal val="1"/>
            </c:dLbl>
            <c:dLbl>
              <c:idx val="2"/>
              <c:layout>
                <c:manualLayout>
                  <c:x val="-2.0674044835291955E-3"/>
                  <c:y val="7.8706688524825708E-2"/>
                </c:manualLayout>
              </c:layout>
              <c:showVal val="1"/>
            </c:dLbl>
            <c:dLbl>
              <c:idx val="3"/>
              <c:layout>
                <c:manualLayout>
                  <c:x val="0"/>
                  <c:y val="7.7836154893948475E-2"/>
                </c:manualLayout>
              </c:layout>
              <c:showVal val="1"/>
            </c:dLbl>
            <c:spPr>
              <a:noFill/>
              <a:ln w="31932">
                <a:noFill/>
              </a:ln>
            </c:spPr>
            <c:txPr>
              <a:bodyPr wrap="square" lIns="38100" tIns="19050" rIns="38100" bIns="19050" anchor="ctr">
                <a:spAutoFit/>
              </a:bodyPr>
              <a:lstStyle/>
              <a:p>
                <a:pPr>
                  <a:defRPr sz="1385"/>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4</c:v>
                </c:pt>
                <c:pt idx="1">
                  <c:v>4</c:v>
                </c:pt>
                <c:pt idx="2">
                  <c:v>4</c:v>
                </c:pt>
                <c:pt idx="3">
                  <c:v>4</c:v>
                </c:pt>
              </c:numCache>
            </c:numRef>
          </c:val>
        </c:ser>
        <c:ser>
          <c:idx val="1"/>
          <c:order val="1"/>
          <c:tx>
            <c:strRef>
              <c:f>Sheet1!$A$3</c:f>
              <c:strCache>
                <c:ptCount val="1"/>
                <c:pt idx="0">
                  <c:v>Партнерські міста</c:v>
                </c:pt>
              </c:strCache>
            </c:strRef>
          </c:tx>
          <c:spPr>
            <a:solidFill>
              <a:srgbClr val="3366FF"/>
            </a:solidFill>
            <a:ln w="15967">
              <a:solidFill>
                <a:srgbClr val="000000"/>
              </a:solidFill>
              <a:prstDash val="solid"/>
            </a:ln>
          </c:spPr>
          <c:dLbls>
            <c:dLbl>
              <c:idx val="0"/>
              <c:layout>
                <c:manualLayout>
                  <c:x val="1.6272167808483342E-3"/>
                  <c:y val="7.5491739943096756E-2"/>
                </c:manualLayout>
              </c:layout>
              <c:showVal val="1"/>
            </c:dLbl>
            <c:dLbl>
              <c:idx val="1"/>
              <c:layout>
                <c:manualLayout>
                  <c:x val="0"/>
                  <c:y val="7.3944347149250828E-2"/>
                </c:manualLayout>
              </c:layout>
              <c:showVal val="1"/>
            </c:dLbl>
            <c:dLbl>
              <c:idx val="2"/>
              <c:layout>
                <c:manualLayout>
                  <c:x val="8.3226863854075309E-4"/>
                  <c:y val="6.9787867032396173E-2"/>
                </c:manualLayout>
              </c:layout>
              <c:showVal val="1"/>
            </c:dLbl>
            <c:dLbl>
              <c:idx val="3"/>
              <c:layout>
                <c:manualLayout>
                  <c:x val="0"/>
                  <c:y val="7.7836154893948545E-2"/>
                </c:manualLayout>
              </c:layout>
              <c:showVal val="1"/>
            </c:dLbl>
            <c:spPr>
              <a:noFill/>
              <a:ln w="31932">
                <a:noFill/>
              </a:ln>
            </c:spPr>
            <c:txPr>
              <a:bodyPr/>
              <a:lstStyle/>
              <a:p>
                <a:pPr>
                  <a:defRPr sz="1385">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Sheet1!$B$3:$E$3</c:f>
              <c:numCache>
                <c:formatCode>General</c:formatCode>
                <c:ptCount val="4"/>
                <c:pt idx="0">
                  <c:v>15</c:v>
                </c:pt>
                <c:pt idx="1">
                  <c:v>16</c:v>
                </c:pt>
                <c:pt idx="2">
                  <c:v>19</c:v>
                </c:pt>
                <c:pt idx="3">
                  <c:v>20</c:v>
                </c:pt>
              </c:numCache>
            </c:numRef>
          </c:val>
        </c:ser>
        <c:ser>
          <c:idx val="2"/>
          <c:order val="2"/>
          <c:tx>
            <c:strRef>
              <c:f>Sheet1!$A$4</c:f>
              <c:strCache>
                <c:ptCount val="1"/>
                <c:pt idx="0">
                  <c:v>Дружні міста</c:v>
                </c:pt>
              </c:strCache>
            </c:strRef>
          </c:tx>
          <c:spPr>
            <a:solidFill>
              <a:srgbClr val="993366"/>
            </a:solidFill>
            <a:ln w="15967">
              <a:solidFill>
                <a:srgbClr val="000000"/>
              </a:solidFill>
              <a:prstDash val="solid"/>
            </a:ln>
          </c:spPr>
          <c:dLbls>
            <c:dLbl>
              <c:idx val="0"/>
              <c:layout>
                <c:manualLayout>
                  <c:x val="1.360364446510518E-3"/>
                  <c:y val="7.21215767523571E-2"/>
                </c:manualLayout>
              </c:layout>
              <c:showVal val="1"/>
            </c:dLbl>
            <c:dLbl>
              <c:idx val="1"/>
              <c:layout>
                <c:manualLayout>
                  <c:x val="3.9753528125620451E-3"/>
                  <c:y val="8.5619770383343063E-2"/>
                </c:manualLayout>
              </c:layout>
              <c:showVal val="1"/>
            </c:dLbl>
            <c:dLbl>
              <c:idx val="2"/>
              <c:layout>
                <c:manualLayout>
                  <c:x val="2.1180999552908092E-3"/>
                  <c:y val="7.21215767523571E-2"/>
                </c:manualLayout>
              </c:layout>
              <c:showVal val="1"/>
            </c:dLbl>
            <c:dLbl>
              <c:idx val="3"/>
              <c:layout>
                <c:manualLayout>
                  <c:x val="5.9630292188431943E-3"/>
                  <c:y val="8.1727962638645998E-2"/>
                </c:manualLayout>
              </c:layout>
              <c:showVal val="1"/>
            </c:dLbl>
            <c:spPr>
              <a:noFill/>
              <a:ln w="31932">
                <a:noFill/>
              </a:ln>
            </c:spPr>
            <c:txPr>
              <a:bodyPr/>
              <a:lstStyle/>
              <a:p>
                <a:pPr>
                  <a:defRPr sz="1385">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Sheet1!$B$4:$E$4</c:f>
              <c:numCache>
                <c:formatCode>General</c:formatCode>
                <c:ptCount val="4"/>
                <c:pt idx="0">
                  <c:v>9</c:v>
                </c:pt>
                <c:pt idx="1">
                  <c:v>8</c:v>
                </c:pt>
                <c:pt idx="2">
                  <c:v>7</c:v>
                </c:pt>
                <c:pt idx="3">
                  <c:v>7</c:v>
                </c:pt>
              </c:numCache>
            </c:numRef>
          </c:val>
        </c:ser>
        <c:gapDepth val="0"/>
        <c:shape val="box"/>
        <c:axId val="406995712"/>
        <c:axId val="406997248"/>
        <c:axId val="0"/>
      </c:bar3DChart>
      <c:catAx>
        <c:axId val="406995712"/>
        <c:scaling>
          <c:orientation val="minMax"/>
        </c:scaling>
        <c:axPos val="b"/>
        <c:numFmt formatCode="General" sourceLinked="1"/>
        <c:tickLblPos val="low"/>
        <c:spPr>
          <a:ln w="3991">
            <a:solidFill>
              <a:srgbClr val="000000"/>
            </a:solidFill>
            <a:prstDash val="solid"/>
          </a:ln>
        </c:spPr>
        <c:txPr>
          <a:bodyPr rot="0" vert="horz"/>
          <a:lstStyle/>
          <a:p>
            <a:pPr>
              <a:defRPr sz="1385"/>
            </a:pPr>
            <a:endParaRPr lang="uk-UA"/>
          </a:p>
        </c:txPr>
        <c:crossAx val="406997248"/>
        <c:crosses val="autoZero"/>
        <c:auto val="1"/>
        <c:lblAlgn val="ctr"/>
        <c:lblOffset val="100"/>
        <c:tickLblSkip val="1"/>
        <c:tickMarkSkip val="1"/>
      </c:catAx>
      <c:valAx>
        <c:axId val="406997248"/>
        <c:scaling>
          <c:orientation val="minMax"/>
        </c:scaling>
        <c:axPos val="l"/>
        <c:majorGridlines>
          <c:spPr>
            <a:ln w="3991">
              <a:solidFill>
                <a:srgbClr val="000000"/>
              </a:solidFill>
              <a:prstDash val="solid"/>
            </a:ln>
          </c:spPr>
        </c:majorGridlines>
        <c:numFmt formatCode="General" sourceLinked="1"/>
        <c:tickLblPos val="nextTo"/>
        <c:spPr>
          <a:ln w="3991">
            <a:solidFill>
              <a:srgbClr val="000000"/>
            </a:solidFill>
            <a:prstDash val="solid"/>
          </a:ln>
        </c:spPr>
        <c:txPr>
          <a:bodyPr rot="0" vert="horz"/>
          <a:lstStyle/>
          <a:p>
            <a:pPr>
              <a:defRPr sz="1385"/>
            </a:pPr>
            <a:endParaRPr lang="uk-UA"/>
          </a:p>
        </c:txPr>
        <c:crossAx val="406995712"/>
        <c:crosses val="autoZero"/>
        <c:crossBetween val="between"/>
        <c:majorUnit val="4"/>
      </c:valAx>
      <c:spPr>
        <a:noFill/>
        <a:ln w="25397">
          <a:noFill/>
        </a:ln>
      </c:spPr>
    </c:plotArea>
    <c:legend>
      <c:legendPos val="b"/>
      <c:layout>
        <c:manualLayout>
          <c:xMode val="edge"/>
          <c:yMode val="edge"/>
          <c:x val="9.4481367325122398E-2"/>
          <c:y val="0.83131083136900874"/>
          <c:w val="0.80418799472569868"/>
          <c:h val="0.12312486416904889"/>
        </c:manualLayout>
      </c:layout>
      <c:spPr>
        <a:solidFill>
          <a:srgbClr val="FFFFFF"/>
        </a:solidFill>
        <a:ln w="3991">
          <a:solidFill>
            <a:srgbClr val="000000"/>
          </a:solidFill>
          <a:prstDash val="solid"/>
        </a:ln>
      </c:spPr>
      <c:txPr>
        <a:bodyPr/>
        <a:lstStyle/>
        <a:p>
          <a:pPr>
            <a:defRPr sz="1187"/>
          </a:pPr>
          <a:endParaRPr lang="uk-UA"/>
        </a:p>
      </c:txPr>
    </c:legend>
    <c:plotVisOnly val="1"/>
    <c:dispBlanksAs val="gap"/>
  </c:chart>
  <c:spPr>
    <a:noFill/>
    <a:ln>
      <a:noFill/>
    </a:ln>
  </c:spPr>
  <c:txPr>
    <a:bodyPr/>
    <a:lstStyle/>
    <a:p>
      <a:pPr>
        <a:defRPr sz="1385" b="1" i="0" u="none" strike="noStrike" baseline="0">
          <a:solidFill>
            <a:srgbClr val="000000"/>
          </a:solidFill>
          <a:latin typeface="Arial"/>
          <a:ea typeface="Arial"/>
          <a:cs typeface="Arial"/>
        </a:defRPr>
      </a:pPr>
      <a:endParaRPr lang="uk-UA"/>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4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7.5801749271137031E-2"/>
          <c:y val="4.6728971962616932E-2"/>
          <c:w val="0.9096209912536446"/>
          <c:h val="0.8194937701752798"/>
        </c:manualLayout>
      </c:layout>
      <c:bar3DChart>
        <c:barDir val="col"/>
        <c:grouping val="clustered"/>
        <c:ser>
          <c:idx val="0"/>
          <c:order val="0"/>
          <c:tx>
            <c:strRef>
              <c:f>Sheet1!$A$2</c:f>
              <c:strCache>
                <c:ptCount val="1"/>
                <c:pt idx="0">
                  <c:v>Восток</c:v>
                </c:pt>
              </c:strCache>
            </c:strRef>
          </c:tx>
          <c:spPr>
            <a:solidFill>
              <a:srgbClr val="3366FF"/>
            </a:solidFill>
            <a:ln w="17491">
              <a:solidFill>
                <a:srgbClr val="000000"/>
              </a:solidFill>
              <a:prstDash val="solid"/>
            </a:ln>
          </c:spPr>
          <c:dLbls>
            <c:dLbl>
              <c:idx val="0"/>
              <c:layout>
                <c:manualLayout>
                  <c:x val="2.050733518523703E-3"/>
                  <c:y val="8.451771337690149E-2"/>
                </c:manualLayout>
              </c:layout>
              <c:showVal val="1"/>
            </c:dLbl>
            <c:dLbl>
              <c:idx val="1"/>
              <c:layout>
                <c:manualLayout>
                  <c:x val="-2.0080321285141298E-3"/>
                  <c:y val="9.3418259023354489E-2"/>
                </c:manualLayout>
              </c:layout>
              <c:showVal val="1"/>
            </c:dLbl>
            <c:dLbl>
              <c:idx val="2"/>
              <c:layout>
                <c:manualLayout>
                  <c:x val="2.8934244786242846E-3"/>
                  <c:y val="8.7908310816649293E-2"/>
                </c:manualLayout>
              </c:layout>
              <c:showVal val="1"/>
            </c:dLbl>
            <c:dLbl>
              <c:idx val="3"/>
              <c:layout>
                <c:manualLayout>
                  <c:x val="0"/>
                  <c:y val="8.492569002123164E-2"/>
                </c:manualLayout>
              </c:layout>
              <c:showVal val="1"/>
            </c:dLbl>
            <c:spPr>
              <a:noFill/>
              <a:ln w="34982">
                <a:noFill/>
              </a:ln>
            </c:spPr>
            <c:txPr>
              <a:bodyPr/>
              <a:lstStyle/>
              <a:p>
                <a:pPr>
                  <a:defRPr sz="1385">
                    <a:solidFill>
                      <a:schemeClr val="bg1"/>
                    </a:solidFill>
                  </a:defRPr>
                </a:pPr>
                <a:endParaRPr lang="uk-UA"/>
              </a:p>
            </c:txPr>
            <c:showVal val="1"/>
          </c:dLbls>
          <c:cat>
            <c:numRef>
              <c:f>Sheet1!$B$1:$E$1</c:f>
              <c:numCache>
                <c:formatCode>General</c:formatCode>
                <c:ptCount val="4"/>
                <c:pt idx="0">
                  <c:v>2017</c:v>
                </c:pt>
                <c:pt idx="1">
                  <c:v>2018</c:v>
                </c:pt>
                <c:pt idx="2">
                  <c:v>2019</c:v>
                </c:pt>
                <c:pt idx="3">
                  <c:v>2020</c:v>
                </c:pt>
              </c:numCache>
            </c:numRef>
          </c:cat>
          <c:val>
            <c:numRef>
              <c:f>Sheet1!$B$2:$E$2</c:f>
              <c:numCache>
                <c:formatCode>General</c:formatCode>
                <c:ptCount val="4"/>
                <c:pt idx="0">
                  <c:v>170</c:v>
                </c:pt>
                <c:pt idx="1">
                  <c:v>205</c:v>
                </c:pt>
                <c:pt idx="2">
                  <c:v>210</c:v>
                </c:pt>
                <c:pt idx="3">
                  <c:v>110</c:v>
                </c:pt>
              </c:numCache>
            </c:numRef>
          </c:val>
        </c:ser>
        <c:gapDepth val="0"/>
        <c:shape val="box"/>
        <c:axId val="407046400"/>
        <c:axId val="407052288"/>
        <c:axId val="0"/>
      </c:bar3DChart>
      <c:catAx>
        <c:axId val="407046400"/>
        <c:scaling>
          <c:orientation val="minMax"/>
        </c:scaling>
        <c:axPos val="b"/>
        <c:numFmt formatCode="General" sourceLinked="1"/>
        <c:tickLblPos val="low"/>
        <c:spPr>
          <a:ln w="4373">
            <a:solidFill>
              <a:srgbClr val="000000"/>
            </a:solidFill>
            <a:prstDash val="solid"/>
          </a:ln>
        </c:spPr>
        <c:txPr>
          <a:bodyPr rot="0" vert="horz"/>
          <a:lstStyle/>
          <a:p>
            <a:pPr>
              <a:defRPr sz="1385"/>
            </a:pPr>
            <a:endParaRPr lang="uk-UA"/>
          </a:p>
        </c:txPr>
        <c:crossAx val="407052288"/>
        <c:crosses val="autoZero"/>
        <c:auto val="1"/>
        <c:lblAlgn val="ctr"/>
        <c:lblOffset val="100"/>
        <c:tickLblSkip val="1"/>
        <c:tickMarkSkip val="1"/>
      </c:catAx>
      <c:valAx>
        <c:axId val="407052288"/>
        <c:scaling>
          <c:orientation val="minMax"/>
        </c:scaling>
        <c:axPos val="l"/>
        <c:majorGridlines>
          <c:spPr>
            <a:ln w="4373">
              <a:solidFill>
                <a:srgbClr val="000000"/>
              </a:solidFill>
              <a:prstDash val="solid"/>
            </a:ln>
          </c:spPr>
        </c:majorGridlines>
        <c:numFmt formatCode="General" sourceLinked="1"/>
        <c:tickLblPos val="nextTo"/>
        <c:spPr>
          <a:ln w="4373">
            <a:solidFill>
              <a:srgbClr val="000000"/>
            </a:solidFill>
            <a:prstDash val="solid"/>
          </a:ln>
        </c:spPr>
        <c:txPr>
          <a:bodyPr rot="0" vert="horz"/>
          <a:lstStyle/>
          <a:p>
            <a:pPr>
              <a:defRPr sz="1385"/>
            </a:pPr>
            <a:endParaRPr lang="uk-UA"/>
          </a:p>
        </c:txPr>
        <c:crossAx val="407046400"/>
        <c:crosses val="autoZero"/>
        <c:crossBetween val="between"/>
        <c:majorUnit val="40"/>
      </c:valAx>
      <c:spPr>
        <a:noFill/>
        <a:ln w="25149">
          <a:noFill/>
        </a:ln>
      </c:spPr>
    </c:plotArea>
    <c:plotVisOnly val="1"/>
    <c:dispBlanksAs val="gap"/>
  </c:chart>
  <c:spPr>
    <a:noFill/>
    <a:ln>
      <a:noFill/>
    </a:ln>
  </c:spPr>
  <c:txPr>
    <a:bodyPr/>
    <a:lstStyle/>
    <a:p>
      <a:pPr>
        <a:defRPr sz="1386" b="1" i="0" u="none" strike="noStrike" baseline="0">
          <a:solidFill>
            <a:srgbClr val="000000"/>
          </a:solidFill>
          <a:latin typeface="Arial"/>
          <a:ea typeface="Arial"/>
          <a:cs typeface="Arial"/>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58</Pages>
  <Words>55984</Words>
  <Characters>31912</Characters>
  <Application>Microsoft Office Word</Application>
  <DocSecurity>0</DocSecurity>
  <Lines>265</Lines>
  <Paragraphs>175</Paragraphs>
  <ScaleCrop>false</ScaleCrop>
  <Company>Reanimator Extreme Edition</Company>
  <LinksUpToDate>false</LinksUpToDate>
  <CharactersWithSpaces>87721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2021-03-12T08:33:00Z</dcterms:created>
  <dcterms:modified xsi:type="dcterms:W3CDTF">2021-03-12T08:33:00Z</dcterms:modified>
</cp:coreProperties>
</file>