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5" w:rsidRPr="000C07D3" w:rsidRDefault="00960425" w:rsidP="00960425">
      <w:pPr>
        <w:pStyle w:val="1"/>
        <w:tabs>
          <w:tab w:val="left" w:pos="3120"/>
        </w:tabs>
        <w:suppressAutoHyphens/>
        <w:jc w:val="right"/>
        <w:rPr>
          <w:rStyle w:val="10"/>
          <w:rFonts w:cs="Times New Roman"/>
          <w:sz w:val="22"/>
          <w:szCs w:val="22"/>
        </w:rPr>
      </w:pPr>
      <w:r w:rsidRPr="000C07D3">
        <w:rPr>
          <w:rStyle w:val="10"/>
          <w:rFonts w:cs="Times New Roman"/>
          <w:sz w:val="22"/>
          <w:szCs w:val="22"/>
        </w:rPr>
        <w:t>Додаток 1</w:t>
      </w:r>
    </w:p>
    <w:p w:rsidR="00960425" w:rsidRPr="000C07D3" w:rsidRDefault="00960425" w:rsidP="00960425">
      <w:pPr>
        <w:pStyle w:val="1"/>
        <w:suppressAutoHyphens/>
        <w:jc w:val="center"/>
        <w:rPr>
          <w:rStyle w:val="10"/>
          <w:rFonts w:cs="Times New Roman"/>
          <w:sz w:val="22"/>
          <w:szCs w:val="22"/>
        </w:rPr>
      </w:pPr>
    </w:p>
    <w:p w:rsidR="00960425" w:rsidRPr="000C07D3" w:rsidRDefault="00960425" w:rsidP="00960425">
      <w:pPr>
        <w:pStyle w:val="1"/>
        <w:suppressAutoHyphens/>
        <w:jc w:val="center"/>
        <w:rPr>
          <w:rStyle w:val="10"/>
          <w:rFonts w:cs="Times New Roman"/>
          <w:sz w:val="22"/>
          <w:szCs w:val="22"/>
        </w:rPr>
      </w:pPr>
      <w:r w:rsidRPr="000C07D3">
        <w:rPr>
          <w:rStyle w:val="10"/>
          <w:rFonts w:cs="Times New Roman"/>
          <w:sz w:val="22"/>
          <w:szCs w:val="22"/>
        </w:rPr>
        <w:t xml:space="preserve">Ресурсне забезпечення </w:t>
      </w:r>
    </w:p>
    <w:p w:rsidR="00960425" w:rsidRPr="000C07D3" w:rsidRDefault="00960425" w:rsidP="00960425">
      <w:pPr>
        <w:pStyle w:val="1"/>
        <w:suppressAutoHyphens/>
        <w:jc w:val="center"/>
        <w:rPr>
          <w:rStyle w:val="10"/>
          <w:rFonts w:cs="Times New Roman"/>
          <w:color w:val="000000"/>
          <w:sz w:val="22"/>
          <w:szCs w:val="22"/>
        </w:rPr>
      </w:pPr>
      <w:r w:rsidRPr="000C07D3">
        <w:rPr>
          <w:rStyle w:val="10"/>
          <w:rFonts w:cs="Times New Roman"/>
          <w:sz w:val="22"/>
          <w:szCs w:val="22"/>
        </w:rPr>
        <w:t xml:space="preserve">                        Програми розвитку земельних відносин </w:t>
      </w:r>
      <w:r w:rsidRPr="000C07D3">
        <w:rPr>
          <w:rStyle w:val="10"/>
          <w:rFonts w:cs="Times New Roman"/>
          <w:color w:val="000000"/>
          <w:sz w:val="22"/>
          <w:szCs w:val="22"/>
        </w:rPr>
        <w:t>Тернопільської міської територіальної громади</w:t>
      </w:r>
    </w:p>
    <w:p w:rsidR="00960425" w:rsidRPr="000C07D3" w:rsidRDefault="00960425" w:rsidP="00960425">
      <w:pPr>
        <w:pStyle w:val="1"/>
        <w:suppressAutoHyphens/>
        <w:jc w:val="center"/>
        <w:rPr>
          <w:rStyle w:val="10"/>
          <w:rFonts w:cs="Times New Roman"/>
          <w:sz w:val="22"/>
          <w:szCs w:val="22"/>
        </w:rPr>
      </w:pPr>
      <w:r w:rsidRPr="000C07D3">
        <w:rPr>
          <w:rStyle w:val="10"/>
          <w:rFonts w:cs="Times New Roman"/>
          <w:sz w:val="22"/>
          <w:szCs w:val="22"/>
        </w:rPr>
        <w:t xml:space="preserve"> на 2019-2022 роки</w:t>
      </w:r>
    </w:p>
    <w:p w:rsidR="00960425" w:rsidRPr="000C07D3" w:rsidRDefault="00960425" w:rsidP="00960425">
      <w:pPr>
        <w:pStyle w:val="1"/>
        <w:suppressAutoHyphens/>
        <w:jc w:val="center"/>
        <w:rPr>
          <w:rStyle w:val="10"/>
          <w:rFonts w:cs="Times New Roman"/>
          <w:sz w:val="22"/>
          <w:szCs w:val="22"/>
        </w:rPr>
      </w:pPr>
      <w:r w:rsidRPr="000C07D3">
        <w:rPr>
          <w:rStyle w:val="10"/>
          <w:rFonts w:cs="Times New Roman"/>
          <w:sz w:val="22"/>
          <w:szCs w:val="22"/>
        </w:rPr>
        <w:t xml:space="preserve">                                                                                                                         (тис. грн.)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1250"/>
        <w:gridCol w:w="1165"/>
        <w:gridCol w:w="1271"/>
        <w:gridCol w:w="1271"/>
        <w:gridCol w:w="1695"/>
      </w:tblGrid>
      <w:tr w:rsidR="00960425" w:rsidRPr="000C07D3" w:rsidTr="00CC6239">
        <w:trPr>
          <w:trHeight w:val="460"/>
        </w:trPr>
        <w:tc>
          <w:tcPr>
            <w:tcW w:w="1625" w:type="pct"/>
            <w:vMerge w:val="restar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Обсяг коштів, які пропонується залучити  на  виконання програми</w:t>
            </w:r>
          </w:p>
        </w:tc>
        <w:tc>
          <w:tcPr>
            <w:tcW w:w="2515" w:type="pct"/>
            <w:gridSpan w:val="4"/>
          </w:tcPr>
          <w:p w:rsidR="00960425" w:rsidRPr="000C07D3" w:rsidRDefault="00960425" w:rsidP="00CC6239">
            <w:pPr>
              <w:pStyle w:val="1"/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Етапи виконання програми</w:t>
            </w:r>
          </w:p>
        </w:tc>
        <w:tc>
          <w:tcPr>
            <w:tcW w:w="860" w:type="pct"/>
            <w:vMerge w:val="restar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усього витрат на виконання</w:t>
            </w:r>
          </w:p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 xml:space="preserve"> програми</w:t>
            </w:r>
          </w:p>
        </w:tc>
      </w:tr>
      <w:tr w:rsidR="00960425" w:rsidRPr="000C07D3" w:rsidTr="00CC6239">
        <w:trPr>
          <w:trHeight w:val="63"/>
        </w:trPr>
        <w:tc>
          <w:tcPr>
            <w:tcW w:w="1625" w:type="pct"/>
            <w:vMerge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2515" w:type="pct"/>
            <w:gridSpan w:val="4"/>
          </w:tcPr>
          <w:p w:rsidR="00960425" w:rsidRPr="000C07D3" w:rsidRDefault="00960425" w:rsidP="00CC6239">
            <w:pPr>
              <w:pStyle w:val="1"/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Роки</w:t>
            </w:r>
          </w:p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60" w:type="pct"/>
            <w:vMerge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780"/>
        </w:trPr>
        <w:tc>
          <w:tcPr>
            <w:tcW w:w="1625" w:type="pct"/>
            <w:vMerge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634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2019 рік</w:t>
            </w:r>
          </w:p>
        </w:tc>
        <w:tc>
          <w:tcPr>
            <w:tcW w:w="591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2020 рік</w:t>
            </w:r>
          </w:p>
        </w:tc>
        <w:tc>
          <w:tcPr>
            <w:tcW w:w="645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2021 рік</w:t>
            </w:r>
          </w:p>
        </w:tc>
        <w:tc>
          <w:tcPr>
            <w:tcW w:w="645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2022рік</w:t>
            </w:r>
          </w:p>
        </w:tc>
        <w:tc>
          <w:tcPr>
            <w:tcW w:w="860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625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Обсяг ресурсів, усього,</w:t>
            </w:r>
          </w:p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у тому числі:</w:t>
            </w:r>
          </w:p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634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2200,00</w:t>
            </w:r>
          </w:p>
        </w:tc>
        <w:tc>
          <w:tcPr>
            <w:tcW w:w="591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2650,00</w:t>
            </w:r>
          </w:p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3150,0</w:t>
            </w:r>
          </w:p>
        </w:tc>
        <w:tc>
          <w:tcPr>
            <w:tcW w:w="645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1100,0</w:t>
            </w:r>
          </w:p>
        </w:tc>
        <w:tc>
          <w:tcPr>
            <w:tcW w:w="860" w:type="pct"/>
          </w:tcPr>
          <w:p w:rsidR="00960425" w:rsidRPr="000C07D3" w:rsidRDefault="00960425" w:rsidP="00CC6239">
            <w:pPr>
              <w:pStyle w:val="1"/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9100,00</w:t>
            </w:r>
          </w:p>
        </w:tc>
      </w:tr>
      <w:tr w:rsidR="00960425" w:rsidRPr="000C07D3" w:rsidTr="00CC6239">
        <w:tc>
          <w:tcPr>
            <w:tcW w:w="1625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634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2200,00</w:t>
            </w:r>
          </w:p>
        </w:tc>
        <w:tc>
          <w:tcPr>
            <w:tcW w:w="591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2650,00</w:t>
            </w:r>
          </w:p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3150,0</w:t>
            </w:r>
          </w:p>
        </w:tc>
        <w:tc>
          <w:tcPr>
            <w:tcW w:w="645" w:type="pct"/>
          </w:tcPr>
          <w:p w:rsidR="00960425" w:rsidRPr="000C07D3" w:rsidRDefault="00960425" w:rsidP="00CC6239">
            <w:pPr>
              <w:pStyle w:val="1"/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1100,0</w:t>
            </w:r>
          </w:p>
        </w:tc>
        <w:tc>
          <w:tcPr>
            <w:tcW w:w="860" w:type="pct"/>
          </w:tcPr>
          <w:p w:rsidR="00960425" w:rsidRPr="000C07D3" w:rsidRDefault="00960425" w:rsidP="00CC6239">
            <w:pPr>
              <w:pStyle w:val="1"/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9100,00</w:t>
            </w:r>
          </w:p>
        </w:tc>
      </w:tr>
    </w:tbl>
    <w:p w:rsidR="00960425" w:rsidRPr="000C07D3" w:rsidRDefault="00960425" w:rsidP="00960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0"/>
          <w:rFonts w:cs="Times New Roman"/>
          <w:sz w:val="22"/>
          <w:szCs w:val="22"/>
        </w:rPr>
      </w:pPr>
    </w:p>
    <w:p w:rsidR="00960425" w:rsidRPr="000C07D3" w:rsidRDefault="00960425" w:rsidP="00960425">
      <w:pPr>
        <w:pStyle w:val="1"/>
        <w:tabs>
          <w:tab w:val="left" w:pos="3120"/>
        </w:tabs>
        <w:suppressAutoHyphens/>
        <w:jc w:val="center"/>
        <w:rPr>
          <w:rStyle w:val="10"/>
          <w:rFonts w:cs="Times New Roman"/>
          <w:sz w:val="22"/>
          <w:szCs w:val="22"/>
        </w:rPr>
      </w:pPr>
    </w:p>
    <w:p w:rsidR="00960425" w:rsidRPr="000C07D3" w:rsidRDefault="00960425" w:rsidP="00960425">
      <w:pPr>
        <w:pStyle w:val="1"/>
        <w:tabs>
          <w:tab w:val="left" w:pos="3120"/>
        </w:tabs>
        <w:suppressAutoHyphens/>
        <w:jc w:val="center"/>
        <w:rPr>
          <w:rStyle w:val="10"/>
          <w:rFonts w:cs="Times New Roman"/>
          <w:sz w:val="22"/>
          <w:szCs w:val="22"/>
        </w:rPr>
      </w:pPr>
      <w:r w:rsidRPr="000C07D3">
        <w:rPr>
          <w:rStyle w:val="10"/>
          <w:rFonts w:cs="Times New Roman"/>
          <w:sz w:val="22"/>
          <w:szCs w:val="22"/>
        </w:rPr>
        <w:t xml:space="preserve">Міський голова </w:t>
      </w:r>
      <w:r w:rsidRPr="000C07D3">
        <w:rPr>
          <w:rStyle w:val="10"/>
          <w:rFonts w:cs="Times New Roman"/>
          <w:sz w:val="22"/>
          <w:szCs w:val="22"/>
        </w:rPr>
        <w:tab/>
      </w:r>
      <w:r w:rsidRPr="000C07D3">
        <w:rPr>
          <w:rStyle w:val="10"/>
          <w:rFonts w:cs="Times New Roman"/>
          <w:sz w:val="22"/>
          <w:szCs w:val="22"/>
        </w:rPr>
        <w:tab/>
      </w:r>
      <w:r w:rsidRPr="000C07D3">
        <w:rPr>
          <w:rStyle w:val="10"/>
          <w:rFonts w:cs="Times New Roman"/>
          <w:sz w:val="22"/>
          <w:szCs w:val="22"/>
        </w:rPr>
        <w:tab/>
      </w:r>
      <w:r w:rsidRPr="000C07D3">
        <w:rPr>
          <w:rStyle w:val="10"/>
          <w:rFonts w:cs="Times New Roman"/>
          <w:sz w:val="22"/>
          <w:szCs w:val="22"/>
        </w:rPr>
        <w:tab/>
      </w:r>
      <w:r w:rsidRPr="000C07D3">
        <w:rPr>
          <w:rStyle w:val="10"/>
          <w:rFonts w:cs="Times New Roman"/>
          <w:sz w:val="22"/>
          <w:szCs w:val="22"/>
        </w:rPr>
        <w:tab/>
      </w:r>
      <w:r w:rsidRPr="000C07D3">
        <w:rPr>
          <w:rStyle w:val="10"/>
          <w:rFonts w:cs="Times New Roman"/>
          <w:sz w:val="22"/>
          <w:szCs w:val="22"/>
        </w:rPr>
        <w:tab/>
      </w:r>
      <w:r w:rsidRPr="000C07D3">
        <w:rPr>
          <w:rStyle w:val="10"/>
          <w:rFonts w:cs="Times New Roman"/>
          <w:sz w:val="22"/>
          <w:szCs w:val="22"/>
        </w:rPr>
        <w:tab/>
        <w:t>Сергій НАДАЛ</w:t>
      </w:r>
    </w:p>
    <w:tbl>
      <w:tblPr>
        <w:tblW w:w="15575" w:type="dxa"/>
        <w:tblInd w:w="98" w:type="dxa"/>
        <w:tblLook w:val="0000"/>
      </w:tblPr>
      <w:tblGrid>
        <w:gridCol w:w="15575"/>
      </w:tblGrid>
      <w:tr w:rsidR="00960425" w:rsidRPr="000C07D3" w:rsidTr="00CC6239">
        <w:trPr>
          <w:trHeight w:val="219"/>
        </w:trPr>
        <w:tc>
          <w:tcPr>
            <w:tcW w:w="15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425" w:rsidRPr="000C07D3" w:rsidRDefault="00960425" w:rsidP="00CC6239">
            <w:pPr>
              <w:pStyle w:val="1"/>
              <w:suppressAutoHyphens/>
              <w:rPr>
                <w:rStyle w:val="10"/>
                <w:rFonts w:cs="Times New Roman"/>
                <w:b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219"/>
        </w:trPr>
        <w:tc>
          <w:tcPr>
            <w:tcW w:w="15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425" w:rsidRPr="000C07D3" w:rsidRDefault="00960425" w:rsidP="00CC6239">
            <w:pPr>
              <w:pStyle w:val="1"/>
              <w:suppressAutoHyphens/>
              <w:rPr>
                <w:rStyle w:val="10"/>
                <w:rFonts w:cs="Times New Roman"/>
                <w:b/>
                <w:sz w:val="22"/>
                <w:szCs w:val="22"/>
              </w:rPr>
            </w:pPr>
          </w:p>
        </w:tc>
      </w:tr>
    </w:tbl>
    <w:p w:rsidR="00960425" w:rsidRPr="000C07D3" w:rsidRDefault="00960425" w:rsidP="00960425">
      <w:pPr>
        <w:pStyle w:val="1"/>
        <w:tabs>
          <w:tab w:val="left" w:pos="3120"/>
        </w:tabs>
        <w:suppressAutoHyphens/>
        <w:ind w:hanging="8925"/>
        <w:jc w:val="both"/>
        <w:rPr>
          <w:rStyle w:val="10"/>
          <w:rFonts w:cs="Times New Roman"/>
          <w:sz w:val="22"/>
          <w:szCs w:val="22"/>
        </w:rPr>
      </w:pPr>
      <w:proofErr w:type="spellStart"/>
      <w:r w:rsidRPr="000C07D3">
        <w:rPr>
          <w:rStyle w:val="10"/>
          <w:rFonts w:cs="Times New Roman"/>
          <w:sz w:val="22"/>
          <w:szCs w:val="22"/>
        </w:rPr>
        <w:t>аток</w:t>
      </w:r>
      <w:proofErr w:type="spellEnd"/>
      <w:r w:rsidRPr="000C07D3">
        <w:rPr>
          <w:rStyle w:val="10"/>
          <w:rFonts w:cs="Times New Roman"/>
          <w:sz w:val="22"/>
          <w:szCs w:val="22"/>
        </w:rPr>
        <w:t xml:space="preserve"> 2</w:t>
      </w:r>
    </w:p>
    <w:p w:rsidR="00960425" w:rsidRPr="000C07D3" w:rsidRDefault="00960425" w:rsidP="00960425">
      <w:pPr>
        <w:pStyle w:val="1"/>
        <w:tabs>
          <w:tab w:val="left" w:pos="3120"/>
        </w:tabs>
        <w:suppressAutoHyphens/>
        <w:jc w:val="right"/>
        <w:rPr>
          <w:rStyle w:val="10"/>
          <w:rFonts w:cs="Times New Roman"/>
          <w:sz w:val="22"/>
          <w:szCs w:val="22"/>
        </w:rPr>
      </w:pPr>
      <w:r w:rsidRPr="000C07D3">
        <w:rPr>
          <w:rStyle w:val="10"/>
          <w:rFonts w:cs="Times New Roman"/>
          <w:sz w:val="22"/>
          <w:szCs w:val="22"/>
        </w:rPr>
        <w:t>Додаток 2</w:t>
      </w:r>
    </w:p>
    <w:p w:rsidR="00960425" w:rsidRPr="000C07D3" w:rsidRDefault="00960425" w:rsidP="00960425">
      <w:pPr>
        <w:pStyle w:val="1"/>
        <w:shd w:val="clear" w:color="auto" w:fill="FFFFFF"/>
        <w:tabs>
          <w:tab w:val="left" w:pos="6237"/>
        </w:tabs>
        <w:suppressAutoHyphens/>
        <w:jc w:val="center"/>
        <w:rPr>
          <w:rStyle w:val="10"/>
          <w:rFonts w:cs="Times New Roman"/>
          <w:sz w:val="22"/>
          <w:szCs w:val="22"/>
        </w:rPr>
      </w:pPr>
    </w:p>
    <w:p w:rsidR="00960425" w:rsidRPr="000C07D3" w:rsidRDefault="00960425" w:rsidP="00960425">
      <w:pPr>
        <w:pStyle w:val="1"/>
        <w:shd w:val="clear" w:color="auto" w:fill="FFFFFF"/>
        <w:tabs>
          <w:tab w:val="left" w:pos="6237"/>
        </w:tabs>
        <w:suppressAutoHyphens/>
        <w:jc w:val="center"/>
        <w:rPr>
          <w:rStyle w:val="10"/>
          <w:rFonts w:cs="Times New Roman"/>
          <w:sz w:val="22"/>
          <w:szCs w:val="22"/>
        </w:rPr>
      </w:pPr>
      <w:r w:rsidRPr="000C07D3">
        <w:rPr>
          <w:rStyle w:val="10"/>
          <w:rFonts w:cs="Times New Roman"/>
          <w:sz w:val="22"/>
          <w:szCs w:val="22"/>
        </w:rPr>
        <w:t>Напрями діяльності і Заходи</w:t>
      </w:r>
    </w:p>
    <w:p w:rsidR="00960425" w:rsidRPr="000C07D3" w:rsidRDefault="00960425" w:rsidP="00960425">
      <w:pPr>
        <w:pStyle w:val="1"/>
        <w:shd w:val="clear" w:color="auto" w:fill="FFFFFF"/>
        <w:tabs>
          <w:tab w:val="left" w:pos="6237"/>
        </w:tabs>
        <w:suppressAutoHyphens/>
        <w:jc w:val="center"/>
        <w:rPr>
          <w:rStyle w:val="10"/>
          <w:rFonts w:cs="Times New Roman"/>
          <w:sz w:val="22"/>
          <w:szCs w:val="22"/>
        </w:rPr>
      </w:pPr>
      <w:r w:rsidRPr="000C07D3">
        <w:rPr>
          <w:rStyle w:val="10"/>
          <w:rFonts w:cs="Times New Roman"/>
          <w:sz w:val="22"/>
          <w:szCs w:val="22"/>
        </w:rPr>
        <w:t xml:space="preserve">Програми розвитку земельних відносин </w:t>
      </w:r>
      <w:r w:rsidRPr="000C07D3">
        <w:rPr>
          <w:rStyle w:val="10"/>
          <w:rFonts w:cs="Times New Roman"/>
          <w:color w:val="000000"/>
          <w:sz w:val="22"/>
          <w:szCs w:val="22"/>
        </w:rPr>
        <w:t>Тернопільської міської територіальної громади</w:t>
      </w:r>
      <w:r w:rsidRPr="000C07D3">
        <w:rPr>
          <w:rStyle w:val="10"/>
          <w:rFonts w:cs="Times New Roman"/>
          <w:sz w:val="22"/>
          <w:szCs w:val="22"/>
        </w:rPr>
        <w:t xml:space="preserve"> на 2019-2022 роки</w:t>
      </w:r>
    </w:p>
    <w:p w:rsidR="00960425" w:rsidRPr="000C07D3" w:rsidRDefault="00960425" w:rsidP="00960425">
      <w:pPr>
        <w:pStyle w:val="1"/>
        <w:shd w:val="clear" w:color="auto" w:fill="FFFFFF"/>
        <w:tabs>
          <w:tab w:val="left" w:pos="6237"/>
        </w:tabs>
        <w:suppressAutoHyphens/>
        <w:rPr>
          <w:rStyle w:val="10"/>
          <w:rFonts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7"/>
        <w:gridCol w:w="2441"/>
        <w:gridCol w:w="1805"/>
        <w:gridCol w:w="1112"/>
        <w:gridCol w:w="930"/>
        <w:gridCol w:w="938"/>
        <w:gridCol w:w="2172"/>
      </w:tblGrid>
      <w:tr w:rsidR="00960425" w:rsidRPr="000C07D3" w:rsidTr="00CC6239">
        <w:tc>
          <w:tcPr>
            <w:tcW w:w="174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 № з/п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ind w:firstLine="993"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Зміст заходу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Виконавець; відповідальні за організацію</w:t>
            </w: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Термін виконання (рік)</w:t>
            </w:r>
          </w:p>
        </w:tc>
        <w:tc>
          <w:tcPr>
            <w:tcW w:w="1018" w:type="pct"/>
            <w:gridSpan w:val="2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 xml:space="preserve">Витрати на реалізацію, </w:t>
            </w:r>
            <w:proofErr w:type="spellStart"/>
            <w:r w:rsidRPr="000C07D3">
              <w:rPr>
                <w:rStyle w:val="10"/>
                <w:rFonts w:cs="Times New Roman"/>
                <w:sz w:val="22"/>
                <w:szCs w:val="22"/>
              </w:rPr>
              <w:t>тис.грн</w:t>
            </w:r>
            <w:proofErr w:type="spellEnd"/>
            <w:r w:rsidRPr="000C07D3">
              <w:rPr>
                <w:rStyle w:val="10"/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36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Очікуваний результат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489"/>
        </w:trPr>
        <w:tc>
          <w:tcPr>
            <w:tcW w:w="174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у тому числі:</w:t>
            </w:r>
          </w:p>
        </w:tc>
        <w:tc>
          <w:tcPr>
            <w:tcW w:w="1536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1333"/>
        </w:trPr>
        <w:tc>
          <w:tcPr>
            <w:tcW w:w="174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Всього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Міський бюджет</w:t>
            </w:r>
          </w:p>
        </w:tc>
        <w:tc>
          <w:tcPr>
            <w:tcW w:w="152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257"/>
        </w:trPr>
        <w:tc>
          <w:tcPr>
            <w:tcW w:w="174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89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Встановлення (зміна) межі територіальної громади та меж населених пунктів</w:t>
            </w:r>
          </w:p>
        </w:tc>
        <w:tc>
          <w:tcPr>
            <w:tcW w:w="887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Організації, які мають відповідну ліцензію, сертифікати, відділ земельних ресурсів</w:t>
            </w: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Дасть можливість привести існуючі межі  у відповідність до фактичного стану, провести державну реєстрацію комунальної власності на землю, збільшити надходження до бюджету від плати за землю на 30-40%.</w:t>
            </w:r>
          </w:p>
        </w:tc>
      </w:tr>
      <w:tr w:rsidR="00960425" w:rsidRPr="000C07D3" w:rsidTr="00CC6239">
        <w:trPr>
          <w:trHeight w:val="262"/>
        </w:trPr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279"/>
        </w:trPr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1500,00-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1500,00-</w:t>
            </w: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270"/>
        </w:trPr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63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963" w:type="pct"/>
            <w:gridSpan w:val="2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ВСЬОГО за п.1:</w:t>
            </w:r>
          </w:p>
        </w:tc>
        <w:tc>
          <w:tcPr>
            <w:tcW w:w="88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1500,00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1500,00</w:t>
            </w:r>
          </w:p>
        </w:tc>
        <w:tc>
          <w:tcPr>
            <w:tcW w:w="152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276"/>
        </w:trPr>
        <w:tc>
          <w:tcPr>
            <w:tcW w:w="174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89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 xml:space="preserve">Проведення нормативної грошової оцінки земель несільськогосподарського призначення  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Організації, які мають відповідну ліцензію, сертифікати, відділ земельних ресурсів</w:t>
            </w: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63" w:type="pct"/>
            <w:vMerge w:val="restart"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1300,00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300,00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200,00</w:t>
            </w:r>
          </w:p>
        </w:tc>
        <w:tc>
          <w:tcPr>
            <w:tcW w:w="1527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Дасть можливість визначити ділянки, які використовуються не за цільовим призначенням, нераціонально; створити інформаційну базу даних для ведення державного земельного кадастру, отримання правовстановлюючих документів на землю, перерозподіл земель, збільшити надходження до міського бюджету від плати за землю 30-40%.</w:t>
            </w: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1300,00</w:t>
            </w: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300,00-</w:t>
            </w: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200,00-</w:t>
            </w: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963" w:type="pct"/>
            <w:gridSpan w:val="2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ВСЬОГО за п.2:</w:t>
            </w:r>
          </w:p>
        </w:tc>
        <w:tc>
          <w:tcPr>
            <w:tcW w:w="88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1800,00</w:t>
            </w:r>
          </w:p>
        </w:tc>
        <w:tc>
          <w:tcPr>
            <w:tcW w:w="463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1800,00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2000,00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1200,00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1000,00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800,00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5000,00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200,00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50,00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150,00</w:t>
            </w:r>
          </w:p>
        </w:tc>
        <w:tc>
          <w:tcPr>
            <w:tcW w:w="152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276"/>
        </w:trPr>
        <w:tc>
          <w:tcPr>
            <w:tcW w:w="174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89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Проведення інвентаризації</w:t>
            </w:r>
            <w:r w:rsidRPr="000C07D3">
              <w:rPr>
                <w:rStyle w:val="10"/>
                <w:rFonts w:cs="Times New Roman"/>
                <w:sz w:val="22"/>
                <w:szCs w:val="22"/>
              </w:rPr>
              <w:br/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 xml:space="preserve">Організації, які мають відповідну ліцензію, </w:t>
            </w:r>
            <w:proofErr w:type="spellStart"/>
            <w:r w:rsidRPr="000C07D3">
              <w:rPr>
                <w:rStyle w:val="10"/>
                <w:rFonts w:cs="Times New Roman"/>
                <w:sz w:val="22"/>
                <w:szCs w:val="22"/>
              </w:rPr>
              <w:t>сертифікати.відділ</w:t>
            </w:r>
            <w:proofErr w:type="spellEnd"/>
            <w:r w:rsidRPr="000C07D3">
              <w:rPr>
                <w:rStyle w:val="10"/>
                <w:rFonts w:cs="Times New Roman"/>
                <w:sz w:val="22"/>
                <w:szCs w:val="22"/>
              </w:rPr>
              <w:t xml:space="preserve"> земельних ресурсів</w:t>
            </w: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2000,00</w:t>
            </w: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Встановлення місця розташування об'єктів, меж земельних ділянок, виявлення земель, що не використовуються, використовуються нераціонально або не за цільовим призначенням, виявлення самовільно виявлених земельних ділянок , здійснення державного контролю за використанням та охороною земель</w:t>
            </w: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1200,00</w:t>
            </w: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800,00</w:t>
            </w: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963" w:type="pct"/>
            <w:gridSpan w:val="2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ВСЬОГО за п.3:</w:t>
            </w:r>
          </w:p>
        </w:tc>
        <w:tc>
          <w:tcPr>
            <w:tcW w:w="88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5000,00</w:t>
            </w:r>
          </w:p>
        </w:tc>
        <w:tc>
          <w:tcPr>
            <w:tcW w:w="463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276"/>
        </w:trPr>
        <w:tc>
          <w:tcPr>
            <w:tcW w:w="174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89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Документація із землеустрою</w:t>
            </w:r>
            <w:r w:rsidRPr="000C07D3">
              <w:rPr>
                <w:rStyle w:val="10"/>
                <w:rFonts w:cs="Times New Roman"/>
                <w:sz w:val="22"/>
                <w:szCs w:val="22"/>
              </w:rPr>
              <w:br/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Організації, які мають відповідну ліцензію, сертифікати, відділ земельних ресурсів</w:t>
            </w: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200,00</w:t>
            </w: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 w:val="restart"/>
          </w:tcPr>
          <w:p w:rsidR="00960425" w:rsidRPr="000C07D3" w:rsidRDefault="00960425" w:rsidP="00CC6239">
            <w:pPr>
              <w:pStyle w:val="1"/>
              <w:ind w:firstLine="567"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 xml:space="preserve"> Метою розроблення документації із землеустрою є створення інформаційної бази для ведення державного земельного кадастру, </w:t>
            </w:r>
            <w:r w:rsidRPr="000C07D3">
              <w:rPr>
                <w:rStyle w:val="10"/>
                <w:rFonts w:cs="Times New Roman"/>
                <w:sz w:val="22"/>
                <w:szCs w:val="22"/>
              </w:rPr>
              <w:lastRenderedPageBreak/>
              <w:t>регулювання земельних відносин, раціонального використання і охорони земельних ресурсів, ефективного та об’єктивного оподаткування.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50,00</w:t>
            </w: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150,00</w:t>
            </w: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vAlign w:val="center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963" w:type="pct"/>
            <w:gridSpan w:val="2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lastRenderedPageBreak/>
              <w:t>ВСЬОГО за п.4:</w:t>
            </w:r>
          </w:p>
        </w:tc>
        <w:tc>
          <w:tcPr>
            <w:tcW w:w="88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400,00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400,00</w:t>
            </w:r>
          </w:p>
        </w:tc>
        <w:tc>
          <w:tcPr>
            <w:tcW w:w="152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rPr>
          <w:trHeight w:val="276"/>
        </w:trPr>
        <w:tc>
          <w:tcPr>
            <w:tcW w:w="174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89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3120"/>
              </w:tabs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proofErr w:type="spellStart"/>
            <w:r w:rsidRPr="000C07D3">
              <w:rPr>
                <w:rStyle w:val="10"/>
                <w:rFonts w:cs="Times New Roman"/>
                <w:sz w:val="22"/>
                <w:szCs w:val="22"/>
              </w:rPr>
              <w:t>Грунтові</w:t>
            </w:r>
            <w:proofErr w:type="spellEnd"/>
            <w:r w:rsidRPr="000C07D3">
              <w:rPr>
                <w:rStyle w:val="10"/>
                <w:rFonts w:cs="Times New Roman"/>
                <w:sz w:val="22"/>
                <w:szCs w:val="22"/>
              </w:rPr>
              <w:t xml:space="preserve"> обстеження земель с/г призначення</w:t>
            </w:r>
          </w:p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jc w:val="both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br/>
            </w:r>
          </w:p>
        </w:tc>
        <w:tc>
          <w:tcPr>
            <w:tcW w:w="887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Організації, які мають відповідну ліцензію, сертифікати, відділ земельних ресурсів</w:t>
            </w: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 w:val="restar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 xml:space="preserve">Проведення </w:t>
            </w:r>
            <w:proofErr w:type="spellStart"/>
            <w:r w:rsidRPr="000C07D3">
              <w:rPr>
                <w:rStyle w:val="10"/>
                <w:rFonts w:cs="Times New Roman"/>
                <w:sz w:val="22"/>
                <w:szCs w:val="22"/>
              </w:rPr>
              <w:t>грунтових</w:t>
            </w:r>
            <w:proofErr w:type="spellEnd"/>
            <w:r w:rsidRPr="000C07D3">
              <w:rPr>
                <w:rStyle w:val="10"/>
                <w:rFonts w:cs="Times New Roman"/>
                <w:sz w:val="22"/>
                <w:szCs w:val="22"/>
              </w:rPr>
              <w:t xml:space="preserve"> обстежень с/г земель дасть можливість поступленню коштів до міського бюджету по відшкодуванню  втрат сільськогосподарських угідь (ріллі, багаторічних насаджень, перелогів, сінокосів, пасовищ), лісових земель та чагарників як основного засобу виробництва в сільському і лісовому господарстві внаслідок вилучення (викупу) їх для потреб, які будуть переведені до земель не с/г призначення(зміна цільового призначення з/д).</w:t>
            </w: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100,00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100,00</w:t>
            </w: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200,00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200,00</w:t>
            </w: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555" w:type="pct"/>
            <w:vAlign w:val="center"/>
          </w:tcPr>
          <w:p w:rsidR="00960425" w:rsidRPr="000C07D3" w:rsidRDefault="00960425" w:rsidP="00CC6239">
            <w:pPr>
              <w:pStyle w:val="1"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100,00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100,00</w:t>
            </w: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174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585"/>
                <w:tab w:val="center" w:pos="838"/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c>
          <w:tcPr>
            <w:tcW w:w="963" w:type="pct"/>
            <w:gridSpan w:val="2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ВСЬОГО за п.5:</w:t>
            </w:r>
          </w:p>
        </w:tc>
        <w:tc>
          <w:tcPr>
            <w:tcW w:w="88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  <w:tc>
          <w:tcPr>
            <w:tcW w:w="555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400,00</w:t>
            </w:r>
          </w:p>
        </w:tc>
        <w:tc>
          <w:tcPr>
            <w:tcW w:w="463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  <w:r w:rsidRPr="000C07D3">
              <w:rPr>
                <w:rStyle w:val="10"/>
                <w:rFonts w:cs="Times New Roman"/>
                <w:sz w:val="22"/>
                <w:szCs w:val="22"/>
              </w:rPr>
              <w:t>400,00</w:t>
            </w:r>
          </w:p>
        </w:tc>
        <w:tc>
          <w:tcPr>
            <w:tcW w:w="1527" w:type="pct"/>
          </w:tcPr>
          <w:p w:rsidR="00960425" w:rsidRPr="000C07D3" w:rsidRDefault="00960425" w:rsidP="00CC6239">
            <w:pPr>
              <w:pStyle w:val="1"/>
              <w:tabs>
                <w:tab w:val="left" w:pos="6237"/>
              </w:tabs>
              <w:suppressAutoHyphens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  <w:tr w:rsidR="00960425" w:rsidRPr="000C07D3" w:rsidTr="00CC6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425" w:rsidRPr="000C07D3" w:rsidRDefault="00960425" w:rsidP="00CC6239">
            <w:pPr>
              <w:pStyle w:val="1"/>
              <w:jc w:val="both"/>
              <w:rPr>
                <w:rStyle w:val="10"/>
                <w:rFonts w:cs="Times New Roman"/>
                <w:sz w:val="22"/>
                <w:szCs w:val="22"/>
              </w:rPr>
            </w:pPr>
          </w:p>
        </w:tc>
      </w:tr>
    </w:tbl>
    <w:p w:rsidR="00960425" w:rsidRPr="000C07D3" w:rsidRDefault="00960425" w:rsidP="00960425">
      <w:pPr>
        <w:pStyle w:val="1"/>
        <w:shd w:val="clear" w:color="auto" w:fill="FFFFFF"/>
        <w:tabs>
          <w:tab w:val="left" w:pos="6237"/>
        </w:tabs>
        <w:suppressAutoHyphens/>
        <w:rPr>
          <w:rStyle w:val="10"/>
          <w:rFonts w:cs="Times New Roman"/>
          <w:sz w:val="22"/>
          <w:szCs w:val="22"/>
        </w:rPr>
      </w:pPr>
      <w:r w:rsidRPr="000C07D3">
        <w:rPr>
          <w:rStyle w:val="10"/>
          <w:rFonts w:cs="Times New Roman"/>
          <w:sz w:val="22"/>
          <w:szCs w:val="22"/>
        </w:rPr>
        <w:t xml:space="preserve">Міський голова </w:t>
      </w:r>
      <w:r w:rsidRPr="000C07D3">
        <w:rPr>
          <w:rStyle w:val="10"/>
          <w:rFonts w:cs="Times New Roman"/>
          <w:sz w:val="22"/>
          <w:szCs w:val="22"/>
        </w:rPr>
        <w:tab/>
      </w:r>
      <w:r w:rsidRPr="000C07D3">
        <w:rPr>
          <w:rStyle w:val="10"/>
          <w:rFonts w:cs="Times New Roman"/>
          <w:sz w:val="22"/>
          <w:szCs w:val="22"/>
        </w:rPr>
        <w:tab/>
      </w:r>
      <w:r w:rsidRPr="000C07D3">
        <w:rPr>
          <w:rStyle w:val="10"/>
          <w:rFonts w:cs="Times New Roman"/>
          <w:sz w:val="22"/>
          <w:szCs w:val="22"/>
        </w:rPr>
        <w:tab/>
        <w:t>Сергій НАДАЛ</w:t>
      </w:r>
    </w:p>
    <w:p w:rsidR="00960425" w:rsidRPr="000C07D3" w:rsidRDefault="00960425" w:rsidP="00960425">
      <w:pPr>
        <w:spacing w:after="0" w:line="240" w:lineRule="auto"/>
        <w:rPr>
          <w:rFonts w:ascii="Times New Roman" w:hAnsi="Times New Roman"/>
          <w:color w:val="FF0000"/>
        </w:rPr>
      </w:pPr>
    </w:p>
    <w:p w:rsidR="008C28D7" w:rsidRDefault="008C28D7"/>
    <w:sectPr w:rsidR="008C28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60425"/>
    <w:rsid w:val="008C28D7"/>
    <w:rsid w:val="0096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sid w:val="00960425"/>
    <w:rPr>
      <w:rFonts w:cs="Times New Roman"/>
      <w:color w:val="800080"/>
      <w:u w:val="single"/>
    </w:rPr>
  </w:style>
  <w:style w:type="paragraph" w:customStyle="1" w:styleId="1">
    <w:name w:val="Обычный1"/>
    <w:qFormat/>
    <w:rsid w:val="00960425"/>
    <w:pPr>
      <w:spacing w:after="0" w:line="240" w:lineRule="auto"/>
    </w:pPr>
    <w:rPr>
      <w:rFonts w:ascii="Times New Roman" w:eastAsia="Times New Roman" w:hAnsi="Times New Roman" w:cs="Calibri"/>
      <w:sz w:val="24"/>
      <w:szCs w:val="20"/>
    </w:rPr>
  </w:style>
  <w:style w:type="character" w:customStyle="1" w:styleId="10">
    <w:name w:val="Основной шрифт абзаца1"/>
    <w:rsid w:val="00960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2455</Words>
  <Characters>1400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2021-03-12T08:08:00Z</dcterms:created>
  <dcterms:modified xsi:type="dcterms:W3CDTF">2021-03-12T08:08:00Z</dcterms:modified>
</cp:coreProperties>
</file>