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16" w:rsidRDefault="00C23A16" w:rsidP="0021468D">
      <w:pPr>
        <w:suppressAutoHyphens/>
        <w:jc w:val="right"/>
      </w:pPr>
      <w:r>
        <w:t>Додаток до рішення міської ради</w:t>
      </w:r>
    </w:p>
    <w:p w:rsidR="00C23A16" w:rsidRDefault="00C23A16" w:rsidP="0021468D">
      <w:pPr>
        <w:suppressAutoHyphens/>
        <w:jc w:val="right"/>
      </w:pPr>
      <w:r>
        <w:t>від</w:t>
      </w:r>
      <w:r w:rsidR="00E04F5A">
        <w:t xml:space="preserve"> 22.11.2018р. </w:t>
      </w:r>
      <w:r>
        <w:t xml:space="preserve"> №</w:t>
      </w:r>
      <w:r w:rsidR="00E04F5A">
        <w:t>7/30/15</w:t>
      </w:r>
    </w:p>
    <w:p w:rsidR="00C23A16" w:rsidRDefault="00C23A16" w:rsidP="0021468D">
      <w:pPr>
        <w:suppressAutoHyphens/>
        <w:jc w:val="center"/>
        <w:rPr>
          <w:b/>
        </w:rPr>
      </w:pPr>
    </w:p>
    <w:p w:rsidR="006F54C2" w:rsidRDefault="00E37618" w:rsidP="0021468D">
      <w:pPr>
        <w:suppressAutoHyphens/>
        <w:jc w:val="center"/>
        <w:rPr>
          <w:b/>
        </w:rPr>
      </w:pPr>
      <w:r w:rsidRPr="00E37618">
        <w:rPr>
          <w:b/>
          <w:i/>
        </w:rPr>
        <w:t>До рішення внесено зміни відповідно до рішення міської ради від 22.02.2019 р. №7/32/17, від 23.04.2021 №8/5/227</w:t>
      </w:r>
    </w:p>
    <w:p w:rsidR="006F54C2" w:rsidRDefault="006F54C2" w:rsidP="0021468D">
      <w:pPr>
        <w:suppressAutoHyphens/>
        <w:jc w:val="center"/>
        <w:rPr>
          <w:b/>
        </w:rPr>
      </w:pPr>
    </w:p>
    <w:p w:rsidR="00C23A16" w:rsidRDefault="00C23A16" w:rsidP="0021468D">
      <w:pPr>
        <w:suppressAutoHyphens/>
        <w:jc w:val="center"/>
        <w:rPr>
          <w:b/>
        </w:rPr>
      </w:pPr>
      <w:r>
        <w:rPr>
          <w:b/>
        </w:rPr>
        <w:t>ПРОГРАМА</w:t>
      </w:r>
    </w:p>
    <w:p w:rsidR="00C23A16" w:rsidRDefault="00C23A16" w:rsidP="0021468D">
      <w:pPr>
        <w:suppressAutoHyphens/>
        <w:jc w:val="center"/>
      </w:pPr>
      <w:r>
        <w:t xml:space="preserve">оновлення, актуалізації містобудівної, </w:t>
      </w:r>
      <w:r>
        <w:rPr>
          <w:color w:val="000000"/>
          <w:shd w:val="clear" w:color="auto" w:fill="FFFFFF"/>
        </w:rPr>
        <w:t xml:space="preserve">топографо-геодезичної </w:t>
      </w:r>
      <w:r>
        <w:t xml:space="preserve">документації та впровадження </w:t>
      </w:r>
      <w:proofErr w:type="spellStart"/>
      <w:r>
        <w:t>геоінформаційної</w:t>
      </w:r>
      <w:proofErr w:type="spellEnd"/>
      <w:r>
        <w:t xml:space="preserve"> системи ведення містобудівного кадастру на 2019-2021 роки</w:t>
      </w:r>
    </w:p>
    <w:p w:rsidR="00C23A16" w:rsidRDefault="00C23A16" w:rsidP="0021468D">
      <w:pPr>
        <w:suppressAutoHyphens/>
        <w:jc w:val="center"/>
        <w:rPr>
          <w:b/>
        </w:rPr>
      </w:pPr>
    </w:p>
    <w:p w:rsidR="00C23A16" w:rsidRDefault="00C23A16" w:rsidP="0021468D">
      <w:pPr>
        <w:suppressAutoHyphens/>
        <w:jc w:val="center"/>
        <w:rPr>
          <w:b/>
        </w:rPr>
      </w:pPr>
      <w:r>
        <w:rPr>
          <w:b/>
        </w:rPr>
        <w:t xml:space="preserve">ПАСПОРТ Програми </w:t>
      </w:r>
    </w:p>
    <w:p w:rsidR="00C23A16" w:rsidRDefault="00C23A16" w:rsidP="0021468D">
      <w:pPr>
        <w:suppressAutoHyphens/>
        <w:ind w:left="360"/>
        <w:rPr>
          <w:b/>
          <w:sz w:val="16"/>
          <w:szCs w:val="16"/>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0"/>
        <w:gridCol w:w="4140"/>
        <w:gridCol w:w="5243"/>
      </w:tblGrid>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1.</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Ініціатор розроблення Програми </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Управління містобудування, архітектури та кадастру Тернопільської міської ради</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2.</w:t>
            </w:r>
          </w:p>
        </w:tc>
        <w:tc>
          <w:tcPr>
            <w:tcW w:w="4140"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both"/>
            </w:pPr>
            <w:r>
              <w:t>Дата, номер і назва розпорядчого документа органу виконавчої влади про розроблення Програми</w:t>
            </w:r>
          </w:p>
          <w:p w:rsidR="00C23A16" w:rsidRDefault="00C23A16" w:rsidP="0021468D">
            <w:pPr>
              <w:suppressAutoHyphens/>
              <w:jc w:val="both"/>
            </w:pP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both"/>
              <w:rPr>
                <w:bCs/>
              </w:rPr>
            </w:pPr>
            <w:r>
              <w:rPr>
                <w:bCs/>
              </w:rPr>
              <w:t xml:space="preserve">Закон України «Про регулювання містобудівної діяльності», Постанова Кабінету Міністрів України від 25 травня 2011 року № 559 «Про містобудівний кадастр», доручення наради при міському голові від 17.04.2018р., протокол №20, п.8 </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3.</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Розробник Програми</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Управління містобудування, архітектури та кадастру Тернопільської міської ради</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4.</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proofErr w:type="spellStart"/>
            <w:r>
              <w:t>Співрозробники</w:t>
            </w:r>
            <w:proofErr w:type="spellEnd"/>
            <w:r>
              <w:t xml:space="preserve"> Програми</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both"/>
            </w:pPr>
            <w:r>
              <w:rPr>
                <w:color w:val="000000"/>
              </w:rPr>
              <w:t>Управління економіки, промисловості та праці</w:t>
            </w:r>
            <w:r>
              <w:t>, відділ земельних ресурсів Тернопільської міської ради</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5.</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Відповідальний виконавець Програми</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pStyle w:val="a8"/>
              <w:suppressAutoHyphens/>
              <w:rPr>
                <w:rFonts w:ascii="Times New Roman" w:hAnsi="Times New Roman" w:cs="Times New Roman"/>
                <w:sz w:val="24"/>
                <w:szCs w:val="24"/>
                <w:lang w:val="uk-UA" w:eastAsia="ru-RU"/>
              </w:rPr>
            </w:pPr>
            <w:r>
              <w:rPr>
                <w:rFonts w:ascii="Times New Roman" w:hAnsi="Times New Roman" w:cs="Times New Roman"/>
                <w:sz w:val="24"/>
                <w:szCs w:val="24"/>
                <w:lang w:val="uk-UA"/>
              </w:rPr>
              <w:t>Управління містобудування, архітектури та кадастру Тернопільської міської ради</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6.</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pStyle w:val="a8"/>
              <w:suppressAutoHyphens/>
              <w:rPr>
                <w:rFonts w:ascii="Times New Roman" w:hAnsi="Times New Roman"/>
                <w:sz w:val="24"/>
                <w:szCs w:val="24"/>
                <w:lang w:val="uk-UA" w:eastAsia="ru-RU"/>
              </w:rPr>
            </w:pPr>
            <w:r>
              <w:rPr>
                <w:rFonts w:ascii="Times New Roman" w:hAnsi="Times New Roman"/>
                <w:sz w:val="24"/>
                <w:szCs w:val="24"/>
                <w:lang w:val="uk-UA" w:eastAsia="ru-RU"/>
              </w:rPr>
              <w:t>Учасники Програми</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both"/>
            </w:pPr>
            <w:r>
              <w:t xml:space="preserve">Служба містобудівного кадастру у складі управління містобудування, архітектури та кадастру Тернопільської міської ради, виконавчі органи Тернопільської міської ради, суб'єкти господарювання усіх форм власності, які виробляють, оновлюють, обробляють, зберігають, постачають та використовують інформаційні ресурси, що підлягають реєстрації та обліку в системі містобудівного кадастру, суб'єкти господарювання, які надають послуги, пов’язані із створенням об’єктів архітектури, у сфері </w:t>
            </w:r>
            <w:proofErr w:type="spellStart"/>
            <w:r>
              <w:t>геоінформаційних</w:t>
            </w:r>
            <w:proofErr w:type="spellEnd"/>
            <w:r>
              <w:t xml:space="preserve"> технологій та топографо-геодезичного забезпечення</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7.</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Термін реалізації Програми</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pStyle w:val="a8"/>
              <w:suppressAutoHyphens/>
              <w:jc w:val="center"/>
              <w:rPr>
                <w:sz w:val="24"/>
                <w:szCs w:val="24"/>
                <w:lang w:val="uk-UA"/>
              </w:rPr>
            </w:pPr>
            <w:r>
              <w:rPr>
                <w:rFonts w:ascii="Times New Roman" w:hAnsi="Times New Roman"/>
                <w:bCs/>
                <w:sz w:val="24"/>
                <w:szCs w:val="24"/>
                <w:lang w:val="uk-UA" w:eastAsia="ru-RU"/>
              </w:rPr>
              <w:t>2019-2021 роки</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8.</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Перелік місцевих бюджетів, які беруть участь у виконанні Програми</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rPr>
                <w:color w:val="000000"/>
              </w:rPr>
              <w:t>Міський бюджет</w:t>
            </w:r>
          </w:p>
        </w:tc>
      </w:tr>
      <w:tr w:rsidR="00C23A16" w:rsidTr="0021468D">
        <w:tc>
          <w:tcPr>
            <w:tcW w:w="5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9.</w:t>
            </w: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Загальний обсяг фінансових ресурсів, необхідних для реалізації Програми, всього,</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11620,0 тис. гривень</w:t>
            </w:r>
          </w:p>
        </w:tc>
      </w:tr>
      <w:tr w:rsidR="00C23A16" w:rsidTr="0021468D">
        <w:tc>
          <w:tcPr>
            <w:tcW w:w="540"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center"/>
            </w:pP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у тому числі:</w:t>
            </w:r>
          </w:p>
        </w:tc>
        <w:tc>
          <w:tcPr>
            <w:tcW w:w="5243"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tc>
      </w:tr>
      <w:tr w:rsidR="00C23A16" w:rsidTr="0021468D">
        <w:tc>
          <w:tcPr>
            <w:tcW w:w="540"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center"/>
            </w:pP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pStyle w:val="a4"/>
              <w:tabs>
                <w:tab w:val="left" w:pos="708"/>
              </w:tabs>
              <w:suppressAutoHyphens/>
            </w:pPr>
            <w:r>
              <w:t xml:space="preserve"> коштів міського бюджету</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11620,0 тис. гривень</w:t>
            </w:r>
          </w:p>
        </w:tc>
      </w:tr>
      <w:tr w:rsidR="00C23A16" w:rsidTr="0021468D">
        <w:tc>
          <w:tcPr>
            <w:tcW w:w="540"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center"/>
            </w:pPr>
          </w:p>
        </w:tc>
        <w:tc>
          <w:tcPr>
            <w:tcW w:w="4140"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 коштів інших джерел</w:t>
            </w:r>
          </w:p>
        </w:tc>
        <w:tc>
          <w:tcPr>
            <w:tcW w:w="5243"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w:t>
            </w:r>
          </w:p>
        </w:tc>
      </w:tr>
    </w:tbl>
    <w:p w:rsidR="00C23A16" w:rsidRDefault="00C23A16" w:rsidP="0021468D">
      <w:pPr>
        <w:suppressAutoHyphens/>
        <w:jc w:val="center"/>
        <w:rPr>
          <w:b/>
          <w:bCs/>
        </w:rPr>
      </w:pPr>
    </w:p>
    <w:p w:rsidR="00C23A16" w:rsidRDefault="00C23A16" w:rsidP="0021468D">
      <w:pPr>
        <w:jc w:val="center"/>
        <w:rPr>
          <w:b/>
          <w:bCs/>
          <w:color w:val="000000"/>
        </w:rPr>
      </w:pPr>
      <w:r>
        <w:rPr>
          <w:b/>
          <w:bCs/>
          <w:color w:val="000000"/>
        </w:rPr>
        <w:t>1. Загальні положення</w:t>
      </w:r>
    </w:p>
    <w:p w:rsidR="00C23A16" w:rsidRDefault="00C23A16" w:rsidP="0021468D">
      <w:pPr>
        <w:jc w:val="center"/>
        <w:rPr>
          <w:b/>
          <w:bCs/>
          <w:color w:val="000000"/>
          <w:sz w:val="16"/>
          <w:szCs w:val="16"/>
        </w:rPr>
      </w:pPr>
    </w:p>
    <w:p w:rsidR="00C23A16" w:rsidRDefault="00C23A16" w:rsidP="0021468D">
      <w:pPr>
        <w:pStyle w:val="a3"/>
        <w:spacing w:before="0" w:beforeAutospacing="0" w:after="0" w:afterAutospacing="0" w:line="270" w:lineRule="atLeast"/>
        <w:ind w:firstLine="708"/>
        <w:jc w:val="both"/>
        <w:rPr>
          <w:rFonts w:ascii="Times New Roman" w:hAnsi="Times New Roman"/>
          <w:lang w:val="uk-UA"/>
        </w:rPr>
      </w:pPr>
      <w:r>
        <w:rPr>
          <w:rFonts w:ascii="Times New Roman" w:hAnsi="Times New Roman"/>
          <w:lang w:val="uk-UA"/>
        </w:rPr>
        <w:t xml:space="preserve">Програма оновлення, актуалізації містобудівної, </w:t>
      </w:r>
      <w:r>
        <w:rPr>
          <w:rFonts w:ascii="Times New Roman" w:hAnsi="Times New Roman"/>
          <w:color w:val="000000"/>
          <w:shd w:val="clear" w:color="auto" w:fill="FFFFFF"/>
          <w:lang w:val="uk-UA"/>
        </w:rPr>
        <w:t>топографо-геодезичної</w:t>
      </w:r>
      <w:r>
        <w:rPr>
          <w:color w:val="000000"/>
          <w:shd w:val="clear" w:color="auto" w:fill="FFFFFF"/>
          <w:lang w:val="uk-UA"/>
        </w:rPr>
        <w:t xml:space="preserve"> </w:t>
      </w:r>
      <w:r>
        <w:rPr>
          <w:rFonts w:ascii="Times New Roman" w:hAnsi="Times New Roman"/>
          <w:lang w:val="uk-UA"/>
        </w:rPr>
        <w:t xml:space="preserve">документації та впровадження </w:t>
      </w:r>
      <w:proofErr w:type="spellStart"/>
      <w:r>
        <w:rPr>
          <w:rFonts w:ascii="Times New Roman" w:hAnsi="Times New Roman"/>
          <w:lang w:val="uk-UA"/>
        </w:rPr>
        <w:t>геоінформаційної</w:t>
      </w:r>
      <w:proofErr w:type="spellEnd"/>
      <w:r>
        <w:rPr>
          <w:rFonts w:ascii="Times New Roman" w:hAnsi="Times New Roman"/>
          <w:lang w:val="uk-UA"/>
        </w:rPr>
        <w:t xml:space="preserve"> системи ведення містобудівного кадастру (далі – Програма) розроблена відповідно до Закону України «Про регулювання містобудівної діяльності», Постанов Кабінету Міністрів України від 22.05.2011 р. №559 «Про містобудівний кадастр», від 25.05.2011р. №556 «Про Порядок обміну інформацією між містобудівним та державним земельним кадастрами», рішення Тернопільської міської ради від 15.12.2017 р. №7/21/61 «Про розробку детальних планів території міста», рішень виконавчого комітету міської ради від 16.04.2014 р. №385 «Про затвердження Положення про інформаційні ресурси єдиної цифрової топографічної основи території міста Тернополя як складової частини системи містобудівного кадастру» та від 16.04.2014 р. №386 «Про затвердження Порядку надання інформації до служби містобудівного кадастру управління містобудування, архітектури та кадастру».</w:t>
      </w:r>
    </w:p>
    <w:p w:rsidR="00C23A16" w:rsidRDefault="00C23A16" w:rsidP="0021468D">
      <w:pPr>
        <w:ind w:firstLine="708"/>
        <w:jc w:val="both"/>
      </w:pPr>
      <w:r>
        <w:t xml:space="preserve">Замовником оновлення, актуалізації містобудівної, </w:t>
      </w:r>
      <w:r>
        <w:rPr>
          <w:color w:val="000000"/>
          <w:shd w:val="clear" w:color="auto" w:fill="FFFFFF"/>
        </w:rPr>
        <w:t xml:space="preserve">топографо-геодезичної </w:t>
      </w:r>
      <w:r>
        <w:t xml:space="preserve">документації та впровадження </w:t>
      </w:r>
      <w:proofErr w:type="spellStart"/>
      <w:r>
        <w:t>геоінформаційної</w:t>
      </w:r>
      <w:proofErr w:type="spellEnd"/>
      <w:r>
        <w:t xml:space="preserve"> системи ведення містобудівного кадастру є Тернопільська міська територіальна громада. Замовник в межах своїх повноважень здійснює керівництво і контроль за реалізацією Програми. Забезпечення координації та організації заходів щодо реалізації Програми здійснюють постійні депутатські комісії з питань містобудування, з питань бюджету та фінансів.</w:t>
      </w:r>
    </w:p>
    <w:p w:rsidR="00C23A16" w:rsidRDefault="00C23A16" w:rsidP="0021468D">
      <w:pPr>
        <w:ind w:firstLine="708"/>
        <w:jc w:val="both"/>
      </w:pPr>
    </w:p>
    <w:p w:rsidR="00C23A16" w:rsidRDefault="00C23A16" w:rsidP="0021468D">
      <w:pPr>
        <w:ind w:firstLine="708"/>
        <w:jc w:val="both"/>
        <w:rPr>
          <w:b/>
        </w:rPr>
      </w:pPr>
      <w:r>
        <w:rPr>
          <w:b/>
        </w:rPr>
        <w:t xml:space="preserve">2. Визначення проблеми, на </w:t>
      </w:r>
      <w:proofErr w:type="spellStart"/>
      <w:r>
        <w:rPr>
          <w:b/>
        </w:rPr>
        <w:t>розв</w:t>
      </w:r>
      <w:proofErr w:type="spellEnd"/>
      <w:r>
        <w:rPr>
          <w:b/>
          <w:lang w:val="ru-RU"/>
        </w:rPr>
        <w:t>’</w:t>
      </w:r>
      <w:proofErr w:type="spellStart"/>
      <w:r>
        <w:rPr>
          <w:b/>
        </w:rPr>
        <w:t>язання</w:t>
      </w:r>
      <w:proofErr w:type="spellEnd"/>
      <w:r>
        <w:rPr>
          <w:b/>
        </w:rPr>
        <w:t xml:space="preserve"> якої спрямована Програма</w:t>
      </w:r>
    </w:p>
    <w:p w:rsidR="00C23A16" w:rsidRDefault="00C23A16" w:rsidP="0021468D">
      <w:pPr>
        <w:ind w:firstLine="708"/>
        <w:jc w:val="both"/>
        <w:rPr>
          <w:sz w:val="16"/>
          <w:szCs w:val="16"/>
        </w:rPr>
      </w:pPr>
    </w:p>
    <w:p w:rsidR="00C23A16" w:rsidRDefault="00C23A16" w:rsidP="0021468D">
      <w:pPr>
        <w:ind w:firstLine="708"/>
        <w:jc w:val="both"/>
      </w:pPr>
      <w:r>
        <w:rPr>
          <w:lang w:eastAsia="en-US"/>
        </w:rPr>
        <w:t xml:space="preserve">У 2018 році Тернопільською міською радою внесені зміни до генерального плану міста та плану зонування території міста Тернополя, де </w:t>
      </w:r>
      <w:r>
        <w:t xml:space="preserve">у встановленому порядку сформульовані на довгострокову перспективу основні напрямки розвитку територій на основі ефективного використання наявного виробничого та природно-ресурсного потенціалу, а також </w:t>
      </w:r>
      <w:r>
        <w:rPr>
          <w:lang w:eastAsia="en-US"/>
        </w:rPr>
        <w:t xml:space="preserve">прийняті рішення про </w:t>
      </w:r>
      <w:r>
        <w:t xml:space="preserve">розробку детальних планів територій відповідно до </w:t>
      </w:r>
      <w:r>
        <w:rPr>
          <w:lang w:eastAsia="en-US"/>
        </w:rPr>
        <w:t>затвердженого графіку на їх виготовлення</w:t>
      </w:r>
      <w:r>
        <w:t xml:space="preserve"> та </w:t>
      </w:r>
      <w:r>
        <w:rPr>
          <w:lang w:eastAsia="en-US"/>
        </w:rPr>
        <w:t xml:space="preserve">рішення про добровільне приєднання до Тернопільської міської територіальної громади (далі - територіальна громада, громада) </w:t>
      </w:r>
      <w:proofErr w:type="spellStart"/>
      <w:r>
        <w:rPr>
          <w:rFonts w:eastAsia="Calibri"/>
        </w:rPr>
        <w:t>Курівецької</w:t>
      </w:r>
      <w:proofErr w:type="spellEnd"/>
      <w:r>
        <w:rPr>
          <w:rFonts w:eastAsia="Calibri"/>
        </w:rPr>
        <w:t xml:space="preserve"> сільської територіальної громади Зборівського району Тернопільської області (с. </w:t>
      </w:r>
      <w:proofErr w:type="spellStart"/>
      <w:r>
        <w:rPr>
          <w:rFonts w:eastAsia="Calibri"/>
        </w:rPr>
        <w:t>Курівці</w:t>
      </w:r>
      <w:proofErr w:type="spellEnd"/>
      <w:r>
        <w:rPr>
          <w:rFonts w:eastAsia="Calibri"/>
        </w:rPr>
        <w:t>);</w:t>
      </w:r>
      <w:r>
        <w:t xml:space="preserve"> </w:t>
      </w:r>
      <w:proofErr w:type="spellStart"/>
      <w:r>
        <w:rPr>
          <w:rFonts w:eastAsia="Calibri"/>
        </w:rPr>
        <w:t>Малашовецької</w:t>
      </w:r>
      <w:proofErr w:type="spellEnd"/>
      <w:r>
        <w:rPr>
          <w:rFonts w:eastAsia="Calibri"/>
        </w:rPr>
        <w:t xml:space="preserve"> сільської територіальної громади Зборівського району Тернопільської області (</w:t>
      </w:r>
      <w:proofErr w:type="spellStart"/>
      <w:r>
        <w:rPr>
          <w:rFonts w:eastAsia="Calibri"/>
        </w:rPr>
        <w:t>с.Малашівці</w:t>
      </w:r>
      <w:proofErr w:type="spellEnd"/>
      <w:r>
        <w:rPr>
          <w:rFonts w:eastAsia="Calibri"/>
        </w:rPr>
        <w:t xml:space="preserve"> та </w:t>
      </w:r>
      <w:proofErr w:type="spellStart"/>
      <w:r>
        <w:rPr>
          <w:rFonts w:eastAsia="Calibri"/>
        </w:rPr>
        <w:t>с.Іванківці</w:t>
      </w:r>
      <w:proofErr w:type="spellEnd"/>
      <w:r>
        <w:rPr>
          <w:rFonts w:eastAsia="Calibri"/>
        </w:rPr>
        <w:t xml:space="preserve">); </w:t>
      </w:r>
      <w:proofErr w:type="spellStart"/>
      <w:r>
        <w:rPr>
          <w:rFonts w:eastAsia="Calibri"/>
        </w:rPr>
        <w:t>Чернихівської</w:t>
      </w:r>
      <w:proofErr w:type="spellEnd"/>
      <w:r>
        <w:rPr>
          <w:rFonts w:eastAsia="Calibri"/>
        </w:rPr>
        <w:t xml:space="preserve"> сільської територіальної громади Зборівського району Тернопільської області (</w:t>
      </w:r>
      <w:proofErr w:type="spellStart"/>
      <w:r>
        <w:rPr>
          <w:rFonts w:eastAsia="Calibri"/>
        </w:rPr>
        <w:t>с.Чернихів</w:t>
      </w:r>
      <w:proofErr w:type="spellEnd"/>
      <w:r>
        <w:rPr>
          <w:rFonts w:eastAsia="Calibri"/>
        </w:rPr>
        <w:t xml:space="preserve">, </w:t>
      </w:r>
      <w:proofErr w:type="spellStart"/>
      <w:r>
        <w:rPr>
          <w:rFonts w:eastAsia="Calibri"/>
        </w:rPr>
        <w:t>с.Глядки</w:t>
      </w:r>
      <w:proofErr w:type="spellEnd"/>
      <w:r>
        <w:rPr>
          <w:rFonts w:eastAsia="Calibri"/>
        </w:rPr>
        <w:t xml:space="preserve">, </w:t>
      </w:r>
      <w:proofErr w:type="spellStart"/>
      <w:r>
        <w:rPr>
          <w:rFonts w:eastAsia="Calibri"/>
        </w:rPr>
        <w:t>с.Плесківці</w:t>
      </w:r>
      <w:proofErr w:type="spellEnd"/>
      <w:r>
        <w:rPr>
          <w:rFonts w:eastAsia="Calibri"/>
        </w:rPr>
        <w:t>)</w:t>
      </w:r>
      <w:r>
        <w:rPr>
          <w:rFonts w:eastAsia="Calibri"/>
          <w:color w:val="000000"/>
        </w:rPr>
        <w:t>;</w:t>
      </w:r>
      <w:r>
        <w:t xml:space="preserve"> </w:t>
      </w:r>
      <w:proofErr w:type="spellStart"/>
      <w:r>
        <w:rPr>
          <w:rFonts w:eastAsia="Calibri"/>
        </w:rPr>
        <w:t>Кобзарівської</w:t>
      </w:r>
      <w:proofErr w:type="spellEnd"/>
      <w:r>
        <w:rPr>
          <w:rFonts w:eastAsia="Calibri"/>
        </w:rPr>
        <w:t xml:space="preserve"> сільської територіальної громади Зборівського району Тернопільської області (</w:t>
      </w:r>
      <w:proofErr w:type="spellStart"/>
      <w:r>
        <w:rPr>
          <w:rFonts w:eastAsia="Calibri"/>
        </w:rPr>
        <w:t>с.Кобзарівка</w:t>
      </w:r>
      <w:proofErr w:type="spellEnd"/>
      <w:r>
        <w:rPr>
          <w:rFonts w:eastAsia="Calibri"/>
        </w:rPr>
        <w:t xml:space="preserve"> та </w:t>
      </w:r>
      <w:proofErr w:type="spellStart"/>
      <w:r>
        <w:rPr>
          <w:rFonts w:eastAsia="Calibri"/>
        </w:rPr>
        <w:t>с.Вертелка</w:t>
      </w:r>
      <w:proofErr w:type="spellEnd"/>
      <w:r>
        <w:rPr>
          <w:rFonts w:eastAsia="Calibri"/>
        </w:rPr>
        <w:t xml:space="preserve">). </w:t>
      </w:r>
      <w:r>
        <w:rPr>
          <w:bCs/>
          <w:lang w:eastAsia="en-US"/>
        </w:rPr>
        <w:t xml:space="preserve">Стратегічні положення </w:t>
      </w:r>
      <w:r>
        <w:rPr>
          <w:lang w:eastAsia="en-US"/>
        </w:rPr>
        <w:t xml:space="preserve">генерального плану </w:t>
      </w:r>
      <w:r>
        <w:rPr>
          <w:bCs/>
          <w:lang w:eastAsia="en-US"/>
        </w:rPr>
        <w:t>створюють основу для</w:t>
      </w:r>
      <w:r>
        <w:t xml:space="preserve"> розроблення детальних планів територій, оновлення та актуалізації іншої містобудівної та </w:t>
      </w:r>
      <w:r>
        <w:rPr>
          <w:color w:val="000000"/>
          <w:shd w:val="clear" w:color="auto" w:fill="FFFFFF"/>
        </w:rPr>
        <w:t>топографо-геодезичної</w:t>
      </w:r>
      <w:r>
        <w:t xml:space="preserve"> документації. Відповідно до розпорядження Кабінету Міністрів України № 333-р від 01.04.2014 р. «</w:t>
      </w:r>
      <w:r>
        <w:rPr>
          <w:bCs/>
          <w:color w:val="000000"/>
          <w:shd w:val="clear" w:color="auto" w:fill="FFFFFF"/>
        </w:rPr>
        <w:t xml:space="preserve">Про схвалення Концепції реформування місцевого самоврядування та територіальної організації влади в Україні» </w:t>
      </w:r>
      <w:r>
        <w:t xml:space="preserve">об’єднана територіальна громада повинна розробити схему планування своєї території. Схема планування території громади – це містобудівна документація, яка визначає принципові вирішення розвитку, планування, забудови та іншого використання території громади. Завдяки застосуванню </w:t>
      </w:r>
      <w:proofErr w:type="spellStart"/>
      <w:r>
        <w:t>геопросторових</w:t>
      </w:r>
      <w:proofErr w:type="spellEnd"/>
      <w:r>
        <w:t xml:space="preserve"> даних з’явиться можливість оперативно приймати рішення щодо забезпечення життєдіяльності територіальної громади.</w:t>
      </w:r>
    </w:p>
    <w:p w:rsidR="00C23A16" w:rsidRDefault="00C23A16" w:rsidP="0021468D">
      <w:pPr>
        <w:suppressAutoHyphens/>
        <w:ind w:firstLine="708"/>
        <w:jc w:val="both"/>
      </w:pPr>
      <w:r>
        <w:t>На даний час територія громади охоплена системою державного земельного кадастру із внесенням інформації про земельні ділянки. Інформаційні ресурси галузевих кадастрів та інформаційних систем з питань використання територій, екологічного, інженерно-геологічного, сейсмічного, гідрогеологічного та іншого районування території громади на підставі даних відповідних галузевих кадастрів та інформаційних систем відсутні.</w:t>
      </w:r>
    </w:p>
    <w:p w:rsidR="00C23A16" w:rsidRDefault="00C23A16" w:rsidP="0021468D">
      <w:pPr>
        <w:pStyle w:val="a6"/>
        <w:suppressAutoHyphens/>
        <w:spacing w:after="0"/>
        <w:ind w:left="0"/>
        <w:jc w:val="both"/>
      </w:pPr>
      <w:r>
        <w:tab/>
        <w:t xml:space="preserve">Згідно з вимогами чинного законодавства, для забезпечення ефективного управління територіальним розвитком громади, створення умов для прогнозованого розвитку її територій, підвищення ефективності управління, провадження містобудівної діяльності, поліпшення екологічного і техногенного становища, прийняття рішень на різних рівнях щодо перспектив розвитку територіальної громади необхідно забезпечити створення та ведення </w:t>
      </w:r>
      <w:proofErr w:type="spellStart"/>
      <w:r>
        <w:t>геоінформаційної</w:t>
      </w:r>
      <w:proofErr w:type="spellEnd"/>
      <w:r>
        <w:t xml:space="preserve"> системи містобудівного кадастру</w:t>
      </w:r>
      <w:r>
        <w:rPr>
          <w:b/>
        </w:rPr>
        <w:t xml:space="preserve"> </w:t>
      </w:r>
      <w:r>
        <w:t>шляхом розроблення, прийняття та реалізації нової програми оновлення, актуалізації містобудівної,</w:t>
      </w:r>
      <w:r>
        <w:rPr>
          <w:color w:val="000000"/>
          <w:shd w:val="clear" w:color="auto" w:fill="FFFFFF"/>
        </w:rPr>
        <w:t xml:space="preserve"> топографо-геодезичної</w:t>
      </w:r>
      <w:r>
        <w:t xml:space="preserve"> документації та впровадження </w:t>
      </w:r>
      <w:proofErr w:type="spellStart"/>
      <w:r>
        <w:t>геоінформаційної</w:t>
      </w:r>
      <w:proofErr w:type="spellEnd"/>
      <w:r>
        <w:t xml:space="preserve"> системи ведення містобудівного кадастру на 2019-2021 роки.</w:t>
      </w:r>
    </w:p>
    <w:p w:rsidR="00C23A16" w:rsidRDefault="00C23A16" w:rsidP="0021468D">
      <w:pPr>
        <w:jc w:val="center"/>
        <w:rPr>
          <w:b/>
          <w:bCs/>
        </w:rPr>
      </w:pPr>
      <w:r>
        <w:rPr>
          <w:b/>
          <w:bCs/>
        </w:rPr>
        <w:t xml:space="preserve">3. Визначення мети </w:t>
      </w:r>
      <w:r>
        <w:rPr>
          <w:b/>
          <w:color w:val="000000"/>
        </w:rPr>
        <w:t xml:space="preserve">Програми </w:t>
      </w:r>
    </w:p>
    <w:p w:rsidR="00C23A16" w:rsidRDefault="00C23A16" w:rsidP="0021468D">
      <w:pPr>
        <w:pStyle w:val="a3"/>
        <w:spacing w:after="0" w:afterAutospacing="0"/>
        <w:ind w:firstLine="708"/>
        <w:jc w:val="both"/>
        <w:rPr>
          <w:rFonts w:ascii="Times New Roman" w:hAnsi="Times New Roman"/>
          <w:lang w:val="uk-UA"/>
        </w:rPr>
      </w:pPr>
      <w:r>
        <w:rPr>
          <w:rFonts w:ascii="Times New Roman" w:hAnsi="Times New Roman"/>
          <w:lang w:val="uk-UA"/>
        </w:rPr>
        <w:t>Мета Програми полягає у приведенні містобудівної діяльності у відповідність до діючого законодавства, деталізації рішень генерального плану (із внесеними змінами), уточнення окремих його положень, пов’язаних з розміщенням житла і інших об’єктів містобудування, а також створенні інструменту підвищення ефективності управління розвитком, плануванням, забудовою та іншим використанням території громади,</w:t>
      </w:r>
      <w:r>
        <w:rPr>
          <w:lang w:val="uk-UA"/>
        </w:rPr>
        <w:t xml:space="preserve"> </w:t>
      </w:r>
      <w:r>
        <w:rPr>
          <w:rFonts w:ascii="Times New Roman" w:hAnsi="Times New Roman"/>
          <w:lang w:val="uk-UA"/>
        </w:rPr>
        <w:t>розроблення та</w:t>
      </w:r>
      <w:r>
        <w:rPr>
          <w:rFonts w:ascii="Calibri" w:hAnsi="Calibri"/>
          <w:lang w:val="uk-UA"/>
        </w:rPr>
        <w:t xml:space="preserve"> </w:t>
      </w:r>
      <w:r>
        <w:rPr>
          <w:rFonts w:ascii="Times New Roman" w:hAnsi="Times New Roman"/>
          <w:lang w:val="uk-UA"/>
        </w:rPr>
        <w:t>актуалізація містобудівної,</w:t>
      </w:r>
      <w:r>
        <w:rPr>
          <w:rFonts w:ascii="Times New Roman" w:hAnsi="Times New Roman"/>
          <w:color w:val="000000"/>
          <w:shd w:val="clear" w:color="auto" w:fill="FFFFFF"/>
          <w:lang w:val="uk-UA"/>
        </w:rPr>
        <w:t xml:space="preserve"> топографо-геодезичної</w:t>
      </w:r>
      <w:r>
        <w:rPr>
          <w:rFonts w:ascii="Times New Roman" w:hAnsi="Times New Roman"/>
          <w:lang w:val="uk-UA"/>
        </w:rPr>
        <w:t xml:space="preserve"> документації, впровадження автоматизованої системи на базі використання </w:t>
      </w:r>
      <w:proofErr w:type="spellStart"/>
      <w:r>
        <w:rPr>
          <w:rFonts w:ascii="Times New Roman" w:hAnsi="Times New Roman"/>
          <w:lang w:val="uk-UA"/>
        </w:rPr>
        <w:t>геоінформаційних</w:t>
      </w:r>
      <w:proofErr w:type="spellEnd"/>
      <w:r>
        <w:rPr>
          <w:rFonts w:ascii="Times New Roman" w:hAnsi="Times New Roman"/>
          <w:lang w:val="uk-UA"/>
        </w:rPr>
        <w:t xml:space="preserve"> технологій</w:t>
      </w:r>
      <w:r>
        <w:rPr>
          <w:rFonts w:ascii="Times New Roman" w:hAnsi="Times New Roman"/>
          <w:color w:val="0000FF"/>
          <w:lang w:val="uk-UA"/>
        </w:rPr>
        <w:t xml:space="preserve"> </w:t>
      </w:r>
      <w:r>
        <w:rPr>
          <w:rFonts w:ascii="Times New Roman" w:hAnsi="Times New Roman"/>
          <w:lang w:val="uk-UA"/>
        </w:rPr>
        <w:t>для забезпечення виконавчих органів міської ради, юридичних і фізичних осіб достовірними відомостями для здійснення містобудівної та інших видів господарської діяльності на території</w:t>
      </w:r>
      <w:r>
        <w:rPr>
          <w:lang w:val="uk-UA"/>
        </w:rPr>
        <w:t xml:space="preserve"> </w:t>
      </w:r>
      <w:r>
        <w:rPr>
          <w:rFonts w:ascii="Times New Roman" w:hAnsi="Times New Roman"/>
          <w:lang w:val="uk-UA"/>
        </w:rPr>
        <w:t>Тернопільської міської територіальної громади.</w:t>
      </w:r>
    </w:p>
    <w:p w:rsidR="00C23A16" w:rsidRDefault="00C23A16" w:rsidP="0021468D">
      <w:pPr>
        <w:pStyle w:val="a3"/>
        <w:spacing w:line="270" w:lineRule="atLeast"/>
        <w:ind w:firstLine="708"/>
        <w:jc w:val="center"/>
        <w:rPr>
          <w:rFonts w:ascii="Times New Roman" w:hAnsi="Times New Roman"/>
          <w:b/>
          <w:lang w:val="uk-UA"/>
        </w:rPr>
      </w:pPr>
      <w:r>
        <w:rPr>
          <w:rFonts w:ascii="Times New Roman" w:hAnsi="Times New Roman"/>
          <w:b/>
          <w:lang w:val="uk-UA"/>
        </w:rPr>
        <w:t>4. Обґрунтування шляхів і засобів розв’язання проблеми, обсягів та джерел фінансування Програми</w:t>
      </w:r>
    </w:p>
    <w:p w:rsidR="00C23A16" w:rsidRDefault="00C23A16" w:rsidP="0021468D">
      <w:pPr>
        <w:pStyle w:val="a8"/>
        <w:suppressAutoHyphen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Виконавцем Програми є управління містобудування, архітектури та кадастру, яке відповідно до чинного законодавства забезпечує організацію та координацію робіт сертифікованими відповідальними виконавцями робіт, пов’язаних із створенням об’єктів архітектури та суб'єктами господарювання, які надають послуги у сфері </w:t>
      </w:r>
      <w:proofErr w:type="spellStart"/>
      <w:r>
        <w:rPr>
          <w:rFonts w:ascii="Times New Roman" w:hAnsi="Times New Roman" w:cs="Times New Roman"/>
          <w:sz w:val="24"/>
          <w:szCs w:val="24"/>
          <w:lang w:val="uk-UA"/>
        </w:rPr>
        <w:t>геоінформаційних</w:t>
      </w:r>
      <w:proofErr w:type="spellEnd"/>
      <w:r>
        <w:rPr>
          <w:rFonts w:ascii="Times New Roman" w:hAnsi="Times New Roman" w:cs="Times New Roman"/>
          <w:sz w:val="24"/>
          <w:szCs w:val="24"/>
          <w:lang w:val="uk-UA"/>
        </w:rPr>
        <w:t xml:space="preserve"> технологій та топографо-геодезичного забезпечення.</w:t>
      </w:r>
    </w:p>
    <w:p w:rsidR="00C23A16" w:rsidRDefault="00C23A16" w:rsidP="0021468D">
      <w:pPr>
        <w:pStyle w:val="a6"/>
        <w:suppressAutoHyphens/>
        <w:spacing w:after="0"/>
        <w:ind w:left="0" w:firstLine="708"/>
        <w:jc w:val="both"/>
      </w:pPr>
      <w:r>
        <w:rPr>
          <w:shd w:val="clear" w:color="auto" w:fill="FFFFFF"/>
        </w:rPr>
        <w:t xml:space="preserve">Забезпечення зберігання і використання </w:t>
      </w:r>
      <w:proofErr w:type="spellStart"/>
      <w:r>
        <w:rPr>
          <w:shd w:val="clear" w:color="auto" w:fill="FFFFFF"/>
        </w:rPr>
        <w:t>геопросторових</w:t>
      </w:r>
      <w:proofErr w:type="spellEnd"/>
      <w:r>
        <w:rPr>
          <w:shd w:val="clear" w:color="auto" w:fill="FFFFFF"/>
        </w:rPr>
        <w:t xml:space="preserve"> даних про територію, </w:t>
      </w:r>
      <w:r>
        <w:t xml:space="preserve">топографо-геодезичну основу і </w:t>
      </w:r>
      <w:r>
        <w:rPr>
          <w:shd w:val="clear" w:color="auto" w:fill="FFFFFF"/>
        </w:rPr>
        <w:t>інженерно-геологічні умови, містобудівну документацію для задоволення інформаційних потреб у плануванні територій та будівництві</w:t>
      </w:r>
      <w:r>
        <w:rPr>
          <w:lang w:eastAsia="ru-RU"/>
        </w:rPr>
        <w:t xml:space="preserve"> вбачається шляхом</w:t>
      </w:r>
      <w:r>
        <w:t xml:space="preserve"> створення та впровадження в місті </w:t>
      </w:r>
      <w:proofErr w:type="spellStart"/>
      <w:r>
        <w:t>геоінформаційної</w:t>
      </w:r>
      <w:proofErr w:type="spellEnd"/>
      <w:r>
        <w:t xml:space="preserve"> системи ведення містобудівного кадастру</w:t>
      </w:r>
      <w:r>
        <w:rPr>
          <w:lang w:eastAsia="ru-RU"/>
        </w:rPr>
        <w:t>.</w:t>
      </w:r>
    </w:p>
    <w:p w:rsidR="00C23A16" w:rsidRDefault="00C23A16" w:rsidP="0021468D">
      <w:pPr>
        <w:pStyle w:val="a8"/>
        <w:suppressAutoHyphen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Засобом розв’язання проблеми є ведення містобудівного кадастру методом формування і актуалізації інформаційних ресурсів, систематизації, узагальнення та реєстрації відомостей і документів, рішень міської ради та виконавчого комітету щодо планування і забудови територій та результатів містобудівного моніторингу.</w:t>
      </w:r>
    </w:p>
    <w:p w:rsidR="00C23A16" w:rsidRDefault="00C23A16" w:rsidP="0021468D">
      <w:pPr>
        <w:pStyle w:val="a6"/>
        <w:suppressAutoHyphens/>
        <w:spacing w:after="0"/>
        <w:ind w:left="0" w:firstLine="708"/>
        <w:jc w:val="both"/>
      </w:pPr>
      <w:r>
        <w:t xml:space="preserve">Правовою основою для провадження робіт зі створення </w:t>
      </w:r>
      <w:proofErr w:type="spellStart"/>
      <w:r>
        <w:t>геоінформаційної</w:t>
      </w:r>
      <w:proofErr w:type="spellEnd"/>
      <w:r>
        <w:t xml:space="preserve"> системи ведення містобудівного кадастру, забезпечення матеріальними та фінансовими ресурсами є:</w:t>
      </w:r>
    </w:p>
    <w:p w:rsidR="00C23A16" w:rsidRDefault="00C23A16" w:rsidP="0021468D">
      <w:pPr>
        <w:suppressAutoHyphens/>
        <w:ind w:firstLine="708"/>
        <w:jc w:val="both"/>
      </w:pPr>
      <w:r>
        <w:t xml:space="preserve">- </w:t>
      </w:r>
      <w:r>
        <w:tab/>
        <w:t>закони України «Про регулювання містобудівної діяльності», «Про основи містобудування», «Про місцеве самоврядування в Україні», «Про інформацію», «Про топографо-геодезичну та картографічну діяльність», «Про захист інформації в автоматизованих системах», «Про державний земельний кадастр», «Про землеустрій»;</w:t>
      </w:r>
    </w:p>
    <w:p w:rsidR="00C23A16" w:rsidRDefault="00C23A16" w:rsidP="0021468D">
      <w:pPr>
        <w:suppressAutoHyphens/>
        <w:ind w:firstLine="708"/>
        <w:jc w:val="both"/>
      </w:pPr>
      <w:r>
        <w:t xml:space="preserve">- </w:t>
      </w:r>
      <w:r>
        <w:tab/>
        <w:t>постанови Кабінету Міністрів України від 25 травня 2011 року № 556 «Про Порядок обміну інформацією між містобудівним та державним земельним кадастрами», від 25 травня 2011 року № 559 «Про містобудівний кадастр»;</w:t>
      </w:r>
    </w:p>
    <w:p w:rsidR="00C23A16" w:rsidRDefault="00C23A16" w:rsidP="0021468D">
      <w:pPr>
        <w:suppressAutoHyphens/>
        <w:ind w:firstLine="708"/>
        <w:jc w:val="both"/>
      </w:pPr>
      <w:r>
        <w:t xml:space="preserve">- </w:t>
      </w:r>
      <w:r>
        <w:tab/>
        <w:t>розпорядження Кабінету Міністрів України № 333-р від 01.04.2014 р. «</w:t>
      </w:r>
      <w:r>
        <w:rPr>
          <w:bCs/>
          <w:color w:val="000000"/>
          <w:shd w:val="clear" w:color="auto" w:fill="FFFFFF"/>
        </w:rPr>
        <w:t>Про схвалення Концепції реформування місцевого самоврядування та територіальної організації влади в Україні»;</w:t>
      </w:r>
    </w:p>
    <w:p w:rsidR="00C23A16" w:rsidRDefault="00C23A16" w:rsidP="0021468D">
      <w:pPr>
        <w:suppressAutoHyphens/>
        <w:ind w:firstLine="708"/>
        <w:jc w:val="both"/>
      </w:pPr>
      <w:r>
        <w:t xml:space="preserve">- </w:t>
      </w:r>
      <w:r>
        <w:tab/>
        <w:t>наказ Міністерства регіонального розвитку, будівництва та житлово-комунального господарства України від 01 вересня 2011 року № 170 «Про затвердження Порядку проведення містобудівного моніторингу», зареєстрований в Міністерстві юстиції України 7 листопада 2011 року за № 1268/20006;</w:t>
      </w:r>
    </w:p>
    <w:p w:rsidR="00C23A16" w:rsidRDefault="00C23A16" w:rsidP="0021468D">
      <w:pPr>
        <w:suppressAutoHyphens/>
        <w:ind w:firstLine="708"/>
        <w:jc w:val="both"/>
      </w:pPr>
      <w:r>
        <w:t xml:space="preserve">- </w:t>
      </w:r>
      <w:r>
        <w:tab/>
        <w:t>наказ Головного управління геодезії, картографії та кадастру при Кабінеті Міністрів України від 09 квітня 1998 року № 56 «Про затвердження Інструкції з топографічного знімання у масштабах 1: 5000, 1:2000, 1: 1000 та 1:500 (ГКНТА - 2.04-02-98)» (із змінами та доповненнями), зареєстрований в Міністерстві юстиції України 23 червня 1998 року за № 393/2833;</w:t>
      </w:r>
    </w:p>
    <w:p w:rsidR="00C23A16" w:rsidRDefault="00C23A16" w:rsidP="0021468D">
      <w:pPr>
        <w:suppressAutoHyphens/>
        <w:ind w:firstLine="708"/>
        <w:jc w:val="both"/>
      </w:pPr>
      <w:r>
        <w:t xml:space="preserve">- </w:t>
      </w:r>
      <w:r>
        <w:tab/>
        <w:t>державні будівельні норми ДБН Б.1.1-16.2013 «Склад та зміст містобудівного кадастру»;</w:t>
      </w:r>
    </w:p>
    <w:p w:rsidR="00C23A16" w:rsidRDefault="00C23A16" w:rsidP="0021468D">
      <w:pPr>
        <w:pStyle w:val="a6"/>
        <w:suppressAutoHyphens/>
        <w:spacing w:after="0"/>
        <w:ind w:left="0" w:firstLine="708"/>
        <w:jc w:val="both"/>
      </w:pPr>
      <w:r>
        <w:t>-</w:t>
      </w:r>
      <w:r>
        <w:tab/>
        <w:t>відповідні рішення Тернопільської міської ради та виконавчого комітету.</w:t>
      </w:r>
    </w:p>
    <w:p w:rsidR="00C23A16" w:rsidRDefault="00C23A16" w:rsidP="0021468D">
      <w:pPr>
        <w:pStyle w:val="a8"/>
        <w:suppressAutoHyphens/>
        <w:ind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ru-RU"/>
        </w:rPr>
        <w:t>Реалізація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здійснюється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одноетапно</w:t>
      </w:r>
      <w:proofErr w:type="spellEnd"/>
      <w:r>
        <w:rPr>
          <w:rFonts w:ascii="Times New Roman" w:hAnsi="Times New Roman" w:cs="Times New Roman"/>
          <w:sz w:val="24"/>
          <w:szCs w:val="24"/>
          <w:lang w:val="uk-UA"/>
        </w:rPr>
        <w:t xml:space="preserve"> протягом 2019-2021 рокі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w:t>
      </w:r>
    </w:p>
    <w:p w:rsidR="00C23A16" w:rsidRDefault="00C23A16" w:rsidP="0021468D">
      <w:pPr>
        <w:pStyle w:val="a8"/>
        <w:suppressAutoHyphens/>
        <w:ind w:firstLine="708"/>
        <w:jc w:val="both"/>
        <w:rPr>
          <w:rFonts w:ascii="Times New Roman" w:hAnsi="Times New Roman"/>
          <w:sz w:val="24"/>
          <w:szCs w:val="24"/>
          <w:lang w:val="uk-UA"/>
        </w:rPr>
      </w:pPr>
      <w:r>
        <w:rPr>
          <w:rFonts w:ascii="Times New Roman" w:hAnsi="Times New Roman"/>
          <w:sz w:val="24"/>
          <w:szCs w:val="24"/>
          <w:lang w:val="uk-UA" w:eastAsia="ru-RU"/>
        </w:rPr>
        <w:t xml:space="preserve">Фінансування робіт </w:t>
      </w:r>
      <w:r>
        <w:rPr>
          <w:rFonts w:ascii="Times New Roman" w:hAnsi="Times New Roman" w:cs="Times New Roman"/>
          <w:sz w:val="24"/>
          <w:szCs w:val="24"/>
          <w:lang w:val="uk-UA" w:eastAsia="ru-RU"/>
        </w:rPr>
        <w:t xml:space="preserve">з </w:t>
      </w:r>
      <w:r>
        <w:rPr>
          <w:rFonts w:ascii="Times New Roman" w:hAnsi="Times New Roman" w:cs="Times New Roman"/>
          <w:sz w:val="24"/>
          <w:szCs w:val="24"/>
          <w:lang w:val="uk-UA"/>
        </w:rPr>
        <w:t xml:space="preserve">оновлення, актуалізації містобудівної, топографо-геодезичної документації та </w:t>
      </w:r>
      <w:r>
        <w:rPr>
          <w:rFonts w:ascii="Times New Roman" w:hAnsi="Times New Roman" w:cs="Times New Roman"/>
          <w:sz w:val="24"/>
          <w:szCs w:val="24"/>
          <w:lang w:val="uk-UA" w:eastAsia="ru-RU"/>
        </w:rPr>
        <w:t xml:space="preserve">створення комплексу </w:t>
      </w:r>
      <w:proofErr w:type="spellStart"/>
      <w:r>
        <w:rPr>
          <w:rFonts w:ascii="Times New Roman" w:hAnsi="Times New Roman" w:cs="Times New Roman"/>
          <w:sz w:val="24"/>
          <w:szCs w:val="24"/>
          <w:lang w:val="uk-UA" w:eastAsia="ru-RU"/>
        </w:rPr>
        <w:t>геоінформаційної</w:t>
      </w:r>
      <w:proofErr w:type="spellEnd"/>
      <w:r>
        <w:rPr>
          <w:rFonts w:ascii="Times New Roman" w:hAnsi="Times New Roman" w:cs="Times New Roman"/>
          <w:sz w:val="24"/>
          <w:szCs w:val="24"/>
          <w:lang w:val="uk-UA" w:eastAsia="ru-RU"/>
        </w:rPr>
        <w:t xml:space="preserve"> системи та </w:t>
      </w:r>
      <w:proofErr w:type="spellStart"/>
      <w:r>
        <w:rPr>
          <w:rFonts w:ascii="Times New Roman" w:hAnsi="Times New Roman" w:cs="Times New Roman"/>
          <w:sz w:val="24"/>
          <w:szCs w:val="24"/>
          <w:lang w:val="uk-UA" w:eastAsia="ru-RU"/>
        </w:rPr>
        <w:t>геопорталу</w:t>
      </w:r>
      <w:proofErr w:type="spellEnd"/>
      <w:r>
        <w:rPr>
          <w:rFonts w:ascii="Times New Roman" w:hAnsi="Times New Roman" w:cs="Times New Roman"/>
          <w:sz w:val="24"/>
          <w:szCs w:val="24"/>
          <w:lang w:val="uk-UA" w:eastAsia="ru-RU"/>
        </w:rPr>
        <w:t xml:space="preserve"> </w:t>
      </w:r>
      <w:r>
        <w:rPr>
          <w:rFonts w:ascii="Times New Roman" w:hAnsi="Times New Roman"/>
          <w:sz w:val="24"/>
          <w:szCs w:val="24"/>
          <w:lang w:val="uk-UA" w:eastAsia="ru-RU"/>
        </w:rPr>
        <w:t xml:space="preserve">містобудівного кадастру і реалізації заходів Програми </w:t>
      </w:r>
      <w:r>
        <w:rPr>
          <w:rFonts w:ascii="Times New Roman" w:hAnsi="Times New Roman"/>
          <w:sz w:val="24"/>
          <w:szCs w:val="24"/>
          <w:lang w:val="uk-UA"/>
        </w:rPr>
        <w:t>здійснюється за рахунок коштів міського бюджету.</w:t>
      </w:r>
    </w:p>
    <w:p w:rsidR="00C23A16" w:rsidRDefault="00C23A16" w:rsidP="0021468D">
      <w:pPr>
        <w:pStyle w:val="a8"/>
        <w:suppressAutoHyphens/>
        <w:ind w:firstLine="708"/>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Обсяг фінансових ресурсів, необхідних для реалізації Програми </w:t>
      </w:r>
      <w:r>
        <w:rPr>
          <w:rFonts w:ascii="Times New Roman" w:hAnsi="Times New Roman"/>
          <w:sz w:val="24"/>
          <w:szCs w:val="24"/>
          <w:lang w:val="uk-UA"/>
        </w:rPr>
        <w:t>за рахунок коштів міського бюджету,</w:t>
      </w:r>
      <w:r>
        <w:rPr>
          <w:rFonts w:ascii="Times New Roman" w:hAnsi="Times New Roman" w:cs="Times New Roman"/>
          <w:sz w:val="24"/>
          <w:szCs w:val="24"/>
          <w:lang w:val="uk-UA"/>
        </w:rPr>
        <w:t xml:space="preserve"> становить </w:t>
      </w:r>
      <w:r>
        <w:rPr>
          <w:rFonts w:ascii="Times New Roman" w:hAnsi="Times New Roman" w:cs="Times New Roman"/>
          <w:sz w:val="24"/>
          <w:szCs w:val="24"/>
          <w:lang w:val="ru-RU"/>
        </w:rPr>
        <w:t xml:space="preserve">11620,0 тис. </w:t>
      </w:r>
      <w:proofErr w:type="spellStart"/>
      <w:r>
        <w:rPr>
          <w:rFonts w:ascii="Times New Roman" w:hAnsi="Times New Roman" w:cs="Times New Roman"/>
          <w:sz w:val="24"/>
          <w:szCs w:val="24"/>
          <w:lang w:val="ru-RU"/>
        </w:rPr>
        <w:t>гривень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Обсяг</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фінансування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уточнюється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щороку</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w:t>
      </w:r>
      <w:proofErr w:type="spellEnd"/>
      <w:r>
        <w:rPr>
          <w:rFonts w:ascii="Times New Roman" w:hAnsi="Times New Roman" w:cs="Times New Roman"/>
          <w:sz w:val="24"/>
          <w:szCs w:val="24"/>
          <w:lang w:val="ru-RU"/>
        </w:rPr>
        <w:t xml:space="preserve"> час </w:t>
      </w:r>
      <w:proofErr w:type="spellStart"/>
      <w:r>
        <w:rPr>
          <w:rFonts w:ascii="Times New Roman" w:hAnsi="Times New Roman" w:cs="Times New Roman"/>
          <w:sz w:val="24"/>
          <w:szCs w:val="24"/>
          <w:lang w:val="ru-RU"/>
        </w:rPr>
        <w:t>складання</w:t>
      </w:r>
      <w:proofErr w:type="spellEnd"/>
      <w:r>
        <w:rPr>
          <w:rFonts w:ascii="Times New Roman" w:hAnsi="Times New Roman" w:cs="Times New Roman"/>
          <w:sz w:val="24"/>
          <w:szCs w:val="24"/>
          <w:lang w:val="ru-RU"/>
        </w:rPr>
        <w:t xml:space="preserve"> проекту </w:t>
      </w:r>
      <w:proofErr w:type="spellStart"/>
      <w:r>
        <w:rPr>
          <w:rFonts w:ascii="Times New Roman" w:hAnsi="Times New Roman" w:cs="Times New Roman"/>
          <w:sz w:val="24"/>
          <w:szCs w:val="24"/>
          <w:lang w:val="ru-RU"/>
        </w:rPr>
        <w:t>міського</w:t>
      </w:r>
      <w:proofErr w:type="spellEnd"/>
      <w:r>
        <w:rPr>
          <w:rFonts w:ascii="Times New Roman" w:hAnsi="Times New Roman" w:cs="Times New Roman"/>
          <w:sz w:val="24"/>
          <w:szCs w:val="24"/>
          <w:lang w:val="ru-RU"/>
        </w:rPr>
        <w:t xml:space="preserve"> бюджету на </w:t>
      </w:r>
      <w:proofErr w:type="spellStart"/>
      <w:r>
        <w:rPr>
          <w:rFonts w:ascii="Times New Roman" w:hAnsi="Times New Roman" w:cs="Times New Roman"/>
          <w:sz w:val="24"/>
          <w:szCs w:val="24"/>
          <w:lang w:val="ru-RU"/>
        </w:rPr>
        <w:t>відповідний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r>
        <w:rPr>
          <w:rFonts w:ascii="Times New Roman" w:hAnsi="Times New Roman" w:cs="Times New Roman"/>
          <w:sz w:val="24"/>
          <w:szCs w:val="24"/>
          <w:lang w:val="ru-RU"/>
        </w:rPr>
        <w:t>.</w:t>
      </w:r>
    </w:p>
    <w:p w:rsidR="00C23A16" w:rsidRDefault="00C23A16" w:rsidP="0021468D">
      <w:pPr>
        <w:suppressAutoHyphens/>
        <w:jc w:val="center"/>
      </w:pPr>
      <w:r>
        <w:rPr>
          <w:bCs/>
        </w:rPr>
        <w:t>Ресурсне забезпечення Програми :</w:t>
      </w:r>
    </w:p>
    <w:p w:rsidR="00C23A16" w:rsidRDefault="00C23A16" w:rsidP="0021468D">
      <w:pPr>
        <w:suppressAutoHyphens/>
        <w:jc w:val="center"/>
        <w:rPr>
          <w:bCs/>
        </w:rPr>
      </w:pPr>
      <w:r>
        <w:rPr>
          <w:b/>
        </w:rPr>
        <w:t xml:space="preserve">                                                                                                                       </w:t>
      </w:r>
      <w:r>
        <w:rPr>
          <w:bCs/>
        </w:rPr>
        <w:t xml:space="preserve">(тис. </w:t>
      </w:r>
      <w:proofErr w:type="spellStart"/>
      <w:r>
        <w:rPr>
          <w:bCs/>
        </w:rPr>
        <w:t>грн</w:t>
      </w:r>
      <w:proofErr w:type="spellEnd"/>
      <w:r>
        <w:rPr>
          <w:bCs/>
        </w:rPr>
        <w:t>)</w:t>
      </w:r>
    </w:p>
    <w:tbl>
      <w:tblPr>
        <w:tblW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67"/>
        <w:gridCol w:w="1648"/>
        <w:gridCol w:w="1482"/>
        <w:gridCol w:w="1348"/>
        <w:gridCol w:w="2292"/>
      </w:tblGrid>
      <w:tr w:rsidR="00C23A16" w:rsidTr="0021468D">
        <w:trPr>
          <w:cantSplit/>
          <w:trHeight w:val="541"/>
        </w:trPr>
        <w:tc>
          <w:tcPr>
            <w:tcW w:w="2567"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Обсяг коштів, які планується залучити на виконання</w:t>
            </w:r>
          </w:p>
          <w:p w:rsidR="00C23A16" w:rsidRDefault="00C23A16" w:rsidP="0021468D">
            <w:pPr>
              <w:suppressAutoHyphens/>
              <w:jc w:val="center"/>
            </w:pPr>
            <w:r>
              <w:t xml:space="preserve">Програми </w:t>
            </w:r>
          </w:p>
        </w:tc>
        <w:tc>
          <w:tcPr>
            <w:tcW w:w="6770" w:type="dxa"/>
            <w:gridSpan w:val="4"/>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 xml:space="preserve">Усього витрат </w:t>
            </w:r>
          </w:p>
          <w:p w:rsidR="00C23A16" w:rsidRDefault="00C23A16" w:rsidP="0021468D">
            <w:pPr>
              <w:suppressAutoHyphens/>
              <w:jc w:val="center"/>
            </w:pPr>
            <w:r>
              <w:t>на виконання Програми</w:t>
            </w:r>
          </w:p>
        </w:tc>
      </w:tr>
      <w:tr w:rsidR="00C23A16" w:rsidTr="0021468D">
        <w:trPr>
          <w:cantSplit/>
          <w:trHeight w:val="52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6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2019 рік</w:t>
            </w:r>
          </w:p>
        </w:tc>
        <w:tc>
          <w:tcPr>
            <w:tcW w:w="1482"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2020 рік</w:t>
            </w:r>
          </w:p>
        </w:tc>
        <w:tc>
          <w:tcPr>
            <w:tcW w:w="13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2021 рік</w:t>
            </w:r>
          </w:p>
        </w:tc>
        <w:tc>
          <w:tcPr>
            <w:tcW w:w="229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Всього</w:t>
            </w:r>
          </w:p>
        </w:tc>
      </w:tr>
      <w:tr w:rsidR="00C23A16" w:rsidTr="0021468D">
        <w:trPr>
          <w:trHeight w:val="752"/>
        </w:trPr>
        <w:tc>
          <w:tcPr>
            <w:tcW w:w="2567"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pPr>
            <w:r>
              <w:t>Обсяг ресурсів усього, у тому числі:</w:t>
            </w:r>
          </w:p>
        </w:tc>
        <w:tc>
          <w:tcPr>
            <w:tcW w:w="16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5790,0</w:t>
            </w:r>
          </w:p>
        </w:tc>
        <w:tc>
          <w:tcPr>
            <w:tcW w:w="1482"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2900,0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2930,0</w:t>
            </w:r>
          </w:p>
        </w:tc>
        <w:tc>
          <w:tcPr>
            <w:tcW w:w="2291"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11620,0</w:t>
            </w:r>
          </w:p>
        </w:tc>
      </w:tr>
      <w:tr w:rsidR="00C23A16" w:rsidTr="0021468D">
        <w:trPr>
          <w:trHeight w:val="270"/>
        </w:trPr>
        <w:tc>
          <w:tcPr>
            <w:tcW w:w="2567"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pPr>
            <w:r>
              <w:t>міський бюджет</w:t>
            </w:r>
          </w:p>
        </w:tc>
        <w:tc>
          <w:tcPr>
            <w:tcW w:w="16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5790,0</w:t>
            </w:r>
          </w:p>
        </w:tc>
        <w:tc>
          <w:tcPr>
            <w:tcW w:w="1482"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2900,0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rPr>
                <w:lang w:val="ru-RU"/>
              </w:rPr>
              <w:t>2930</w:t>
            </w:r>
            <w:r>
              <w:t>,0</w:t>
            </w:r>
          </w:p>
        </w:tc>
        <w:tc>
          <w:tcPr>
            <w:tcW w:w="2291"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11620,0</w:t>
            </w:r>
          </w:p>
        </w:tc>
      </w:tr>
      <w:tr w:rsidR="00C23A16" w:rsidTr="0021468D">
        <w:trPr>
          <w:trHeight w:val="676"/>
        </w:trPr>
        <w:tc>
          <w:tcPr>
            <w:tcW w:w="2567"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pacing w:before="100" w:beforeAutospacing="1" w:after="100" w:afterAutospacing="1"/>
            </w:pPr>
            <w:r>
              <w:rPr>
                <w:snapToGrid w:val="0"/>
              </w:rPr>
              <w:t xml:space="preserve">кошти </w:t>
            </w:r>
            <w:proofErr w:type="spellStart"/>
            <w:r>
              <w:rPr>
                <w:snapToGrid w:val="0"/>
              </w:rPr>
              <w:t>небюджетних</w:t>
            </w:r>
            <w:proofErr w:type="spellEnd"/>
            <w:r>
              <w:rPr>
                <w:snapToGrid w:val="0"/>
              </w:rPr>
              <w:t xml:space="preserve"> джерел</w:t>
            </w:r>
          </w:p>
        </w:tc>
        <w:tc>
          <w:tcPr>
            <w:tcW w:w="16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0</w:t>
            </w:r>
          </w:p>
        </w:tc>
        <w:tc>
          <w:tcPr>
            <w:tcW w:w="1482"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0</w:t>
            </w:r>
          </w:p>
        </w:tc>
        <w:tc>
          <w:tcPr>
            <w:tcW w:w="1348"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0</w:t>
            </w:r>
          </w:p>
        </w:tc>
        <w:tc>
          <w:tcPr>
            <w:tcW w:w="2291" w:type="dxa"/>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suppressAutoHyphens/>
              <w:jc w:val="center"/>
            </w:pPr>
            <w:r>
              <w:t>0</w:t>
            </w:r>
          </w:p>
        </w:tc>
      </w:tr>
    </w:tbl>
    <w:p w:rsidR="00C23A16" w:rsidRDefault="00C23A16" w:rsidP="0021468D">
      <w:pPr>
        <w:jc w:val="center"/>
        <w:rPr>
          <w:b/>
          <w:bCs/>
        </w:rPr>
      </w:pPr>
    </w:p>
    <w:p w:rsidR="00C23A16" w:rsidRDefault="00C23A16" w:rsidP="0021468D">
      <w:pPr>
        <w:jc w:val="center"/>
        <w:rPr>
          <w:b/>
        </w:rPr>
      </w:pPr>
      <w:r>
        <w:rPr>
          <w:b/>
          <w:bCs/>
        </w:rPr>
        <w:t>5. Перелік завдань і заходів Програми та результативні показники</w:t>
      </w:r>
    </w:p>
    <w:p w:rsidR="00C23A16" w:rsidRDefault="00C23A16" w:rsidP="0021468D">
      <w:pPr>
        <w:jc w:val="center"/>
        <w:rPr>
          <w:b/>
          <w:bCs/>
          <w:sz w:val="16"/>
          <w:szCs w:val="16"/>
        </w:rPr>
      </w:pPr>
    </w:p>
    <w:p w:rsidR="00C23A16" w:rsidRDefault="00C23A16" w:rsidP="0021468D">
      <w:pPr>
        <w:pStyle w:val="3"/>
        <w:suppressAutoHyphens/>
        <w:rPr>
          <w:sz w:val="24"/>
          <w:szCs w:val="24"/>
        </w:rPr>
      </w:pPr>
      <w:r>
        <w:rPr>
          <w:sz w:val="24"/>
          <w:szCs w:val="24"/>
        </w:rPr>
        <w:t>Ключовими завданнями Програми є:</w:t>
      </w:r>
    </w:p>
    <w:p w:rsidR="00C23A16" w:rsidRDefault="00C23A16" w:rsidP="0021468D">
      <w:pPr>
        <w:pStyle w:val="3"/>
        <w:suppressAutoHyphens/>
        <w:ind w:firstLine="0"/>
        <w:rPr>
          <w:sz w:val="24"/>
          <w:szCs w:val="24"/>
        </w:rPr>
      </w:pPr>
      <w:r>
        <w:rPr>
          <w:sz w:val="24"/>
          <w:szCs w:val="24"/>
        </w:rPr>
        <w:t>-</w:t>
      </w:r>
      <w:r>
        <w:rPr>
          <w:sz w:val="24"/>
          <w:szCs w:val="24"/>
        </w:rPr>
        <w:tab/>
        <w:t>деталізація рішень генерального плану;</w:t>
      </w:r>
    </w:p>
    <w:p w:rsidR="00C23A16" w:rsidRDefault="00C23A16" w:rsidP="0021468D">
      <w:pPr>
        <w:pStyle w:val="3"/>
        <w:suppressAutoHyphens/>
        <w:ind w:firstLine="0"/>
        <w:rPr>
          <w:sz w:val="24"/>
          <w:szCs w:val="24"/>
        </w:rPr>
      </w:pPr>
      <w:r>
        <w:rPr>
          <w:sz w:val="24"/>
          <w:szCs w:val="24"/>
        </w:rPr>
        <w:t>-</w:t>
      </w:r>
      <w:r>
        <w:rPr>
          <w:sz w:val="24"/>
          <w:szCs w:val="24"/>
        </w:rPr>
        <w:tab/>
        <w:t>розробка-коригування містобудівної документації;</w:t>
      </w:r>
    </w:p>
    <w:p w:rsidR="00C23A16" w:rsidRDefault="00C23A16" w:rsidP="0021468D">
      <w:pPr>
        <w:pStyle w:val="3"/>
        <w:suppressAutoHyphens/>
        <w:ind w:firstLine="0"/>
        <w:rPr>
          <w:sz w:val="24"/>
          <w:szCs w:val="24"/>
        </w:rPr>
      </w:pPr>
      <w:r>
        <w:rPr>
          <w:sz w:val="24"/>
          <w:szCs w:val="24"/>
        </w:rPr>
        <w:t>-</w:t>
      </w:r>
      <w:r>
        <w:rPr>
          <w:sz w:val="24"/>
          <w:szCs w:val="24"/>
        </w:rPr>
        <w:tab/>
      </w:r>
      <w:r>
        <w:rPr>
          <w:color w:val="000000"/>
          <w:sz w:val="24"/>
          <w:szCs w:val="24"/>
          <w:shd w:val="clear" w:color="auto" w:fill="FFFFFF"/>
        </w:rPr>
        <w:t>актуалізація (оновлення) топографо-геодезичної основи території міської територіальної громади;</w:t>
      </w:r>
    </w:p>
    <w:p w:rsidR="00C23A16" w:rsidRDefault="00C23A16" w:rsidP="0021468D">
      <w:pPr>
        <w:suppressAutoHyphens/>
        <w:jc w:val="both"/>
      </w:pPr>
      <w:r>
        <w:t>-</w:t>
      </w:r>
      <w:r>
        <w:tab/>
        <w:t>створення програмно-технічного комплексу містобудівного кадастру;</w:t>
      </w:r>
    </w:p>
    <w:p w:rsidR="00C23A16" w:rsidRDefault="00C23A16" w:rsidP="0021468D">
      <w:pPr>
        <w:suppressAutoHyphens/>
        <w:jc w:val="both"/>
      </w:pPr>
      <w:r>
        <w:t>-</w:t>
      </w:r>
      <w:r>
        <w:tab/>
        <w:t>організація системи обміну інформацією та наповнення бази даних містобудівного кадастру;</w:t>
      </w:r>
    </w:p>
    <w:p w:rsidR="00C23A16" w:rsidRDefault="00C23A16" w:rsidP="0021468D">
      <w:pPr>
        <w:suppressAutoHyphens/>
        <w:jc w:val="both"/>
      </w:pPr>
      <w:r>
        <w:t>-</w:t>
      </w:r>
      <w:r>
        <w:tab/>
        <w:t>ведення містобудівного кадастру.</w:t>
      </w:r>
    </w:p>
    <w:p w:rsidR="00C23A16" w:rsidRDefault="00C23A16" w:rsidP="0021468D">
      <w:pPr>
        <w:suppressAutoHyphens/>
        <w:ind w:firstLine="708"/>
        <w:jc w:val="both"/>
      </w:pPr>
      <w:r>
        <w:t>Реалізація програми здійснюється шляхом реалізації наступних заходів:</w:t>
      </w:r>
    </w:p>
    <w:p w:rsidR="00C23A16" w:rsidRDefault="00C23A16" w:rsidP="0021468D">
      <w:pPr>
        <w:suppressAutoHyphens/>
        <w:jc w:val="both"/>
      </w:pPr>
      <w:r>
        <w:t>-</w:t>
      </w:r>
      <w:r>
        <w:tab/>
        <w:t>розробка схеми планування території громади;</w:t>
      </w:r>
    </w:p>
    <w:p w:rsidR="00C23A16" w:rsidRDefault="00C23A16" w:rsidP="0021468D">
      <w:pPr>
        <w:suppressAutoHyphens/>
        <w:jc w:val="both"/>
      </w:pPr>
      <w:r>
        <w:t>-</w:t>
      </w:r>
      <w:r>
        <w:tab/>
        <w:t>розробка-коригування генеральних планів та детальних планів територій населених пунктів громади;</w:t>
      </w:r>
    </w:p>
    <w:p w:rsidR="00C23A16" w:rsidRDefault="00C23A16" w:rsidP="0021468D">
      <w:pPr>
        <w:suppressAutoHyphens/>
        <w:jc w:val="both"/>
      </w:pPr>
      <w:r>
        <w:t>-</w:t>
      </w:r>
      <w:r>
        <w:tab/>
        <w:t>внесення змін до містобудівної документації за результатами містобудівного моніторингу;</w:t>
      </w:r>
    </w:p>
    <w:p w:rsidR="00C23A16" w:rsidRDefault="00C23A16" w:rsidP="0021468D">
      <w:pPr>
        <w:suppressAutoHyphens/>
        <w:jc w:val="both"/>
      </w:pPr>
      <w:r>
        <w:t>-</w:t>
      </w:r>
      <w:r>
        <w:tab/>
        <w:t>проведення топографо-геодезичних робіт по створенню топографічних планів у графічних та цифрових форматах;</w:t>
      </w:r>
    </w:p>
    <w:p w:rsidR="00C23A16" w:rsidRDefault="00C23A16" w:rsidP="0021468D">
      <w:pPr>
        <w:pStyle w:val="2"/>
        <w:suppressAutoHyphens/>
      </w:pPr>
      <w:r>
        <w:t>-</w:t>
      </w:r>
      <w:r>
        <w:tab/>
        <w:t xml:space="preserve">розроблення технічного завдання та проекту на створення </w:t>
      </w:r>
      <w:proofErr w:type="spellStart"/>
      <w:r>
        <w:t>геоінформаційної</w:t>
      </w:r>
      <w:proofErr w:type="spellEnd"/>
      <w:r>
        <w:t xml:space="preserve"> системи та </w:t>
      </w:r>
      <w:proofErr w:type="spellStart"/>
      <w:r>
        <w:t>геопорталу</w:t>
      </w:r>
      <w:proofErr w:type="spellEnd"/>
      <w:r>
        <w:t xml:space="preserve"> містобудівного кадастру;</w:t>
      </w:r>
    </w:p>
    <w:p w:rsidR="00C23A16" w:rsidRDefault="00C23A16" w:rsidP="0021468D">
      <w:pPr>
        <w:suppressAutoHyphens/>
        <w:ind w:left="2"/>
        <w:jc w:val="both"/>
      </w:pPr>
      <w:r>
        <w:t>-</w:t>
      </w:r>
      <w:r>
        <w:tab/>
        <w:t>придбання, встановлення та налаштування апаратного забезпечення для ведення містобудівного кадастру;</w:t>
      </w:r>
    </w:p>
    <w:p w:rsidR="00C23A16" w:rsidRDefault="00C23A16" w:rsidP="0021468D">
      <w:pPr>
        <w:pStyle w:val="2"/>
        <w:suppressAutoHyphens/>
      </w:pPr>
      <w:r>
        <w:t>-</w:t>
      </w:r>
      <w:r>
        <w:tab/>
        <w:t>придбання та встановлення програмного забезпечення для ведення містобудівного кадастру;</w:t>
      </w:r>
    </w:p>
    <w:p w:rsidR="00C23A16" w:rsidRDefault="00C23A16" w:rsidP="0021468D">
      <w:pPr>
        <w:suppressAutoHyphens/>
        <w:jc w:val="both"/>
      </w:pPr>
      <w:r>
        <w:t>-</w:t>
      </w:r>
      <w:r>
        <w:tab/>
        <w:t xml:space="preserve">створення центральної бази </w:t>
      </w:r>
      <w:proofErr w:type="spellStart"/>
      <w:r>
        <w:t>геопросторових</w:t>
      </w:r>
      <w:proofErr w:type="spellEnd"/>
      <w:r>
        <w:t xml:space="preserve"> даних містобудівного кадастру;</w:t>
      </w:r>
    </w:p>
    <w:p w:rsidR="00C23A16" w:rsidRDefault="00C23A16" w:rsidP="0021468D">
      <w:pPr>
        <w:suppressAutoHyphens/>
        <w:jc w:val="both"/>
      </w:pPr>
      <w:r>
        <w:t>-</w:t>
      </w:r>
      <w:r>
        <w:tab/>
        <w:t>створення локальної електронної версії базової топографічної підоснови на основі збору і перетворення картографічних даних з різних джерел;</w:t>
      </w:r>
    </w:p>
    <w:p w:rsidR="00C23A16" w:rsidRDefault="00C23A16" w:rsidP="0021468D">
      <w:pPr>
        <w:suppressAutoHyphens/>
        <w:jc w:val="both"/>
      </w:pPr>
      <w:r>
        <w:t>-</w:t>
      </w:r>
      <w:r>
        <w:tab/>
        <w:t>навчання роботи з спеціалізованим програмним забезпеченням та консультативна підтримка;</w:t>
      </w:r>
    </w:p>
    <w:p w:rsidR="00C23A16" w:rsidRDefault="00C23A16" w:rsidP="0021468D">
      <w:pPr>
        <w:pStyle w:val="2"/>
        <w:suppressAutoHyphens/>
      </w:pPr>
      <w:r>
        <w:t>-</w:t>
      </w:r>
      <w:r>
        <w:tab/>
        <w:t>технічна підтримка програмного комплексу містобудівного кадастру;</w:t>
      </w:r>
    </w:p>
    <w:p w:rsidR="00C23A16" w:rsidRDefault="00C23A16" w:rsidP="0021468D">
      <w:pPr>
        <w:pStyle w:val="2"/>
        <w:suppressAutoHyphens/>
      </w:pPr>
      <w:r>
        <w:t>-</w:t>
      </w:r>
      <w:r>
        <w:tab/>
        <w:t>організація робіт зі збору та введення інформації до бази даних містобудівного кадастру;</w:t>
      </w:r>
    </w:p>
    <w:p w:rsidR="00C23A16" w:rsidRDefault="00C23A16" w:rsidP="0021468D">
      <w:pPr>
        <w:pStyle w:val="2"/>
        <w:suppressAutoHyphens/>
      </w:pPr>
      <w:r>
        <w:t>-</w:t>
      </w:r>
      <w:r>
        <w:tab/>
        <w:t xml:space="preserve">експлуатація </w:t>
      </w:r>
      <w:proofErr w:type="spellStart"/>
      <w:r>
        <w:t>геоінформаційної</w:t>
      </w:r>
      <w:proofErr w:type="spellEnd"/>
      <w:r>
        <w:t xml:space="preserve"> системи та </w:t>
      </w:r>
      <w:proofErr w:type="spellStart"/>
      <w:r>
        <w:t>геопорталу</w:t>
      </w:r>
      <w:proofErr w:type="spellEnd"/>
      <w:r>
        <w:t xml:space="preserve"> містобудівного кадастру для задоволення інформаційних потреб учасників містобудівного процесу.</w:t>
      </w:r>
    </w:p>
    <w:p w:rsidR="00C23A16" w:rsidRDefault="00C23A16" w:rsidP="0021468D">
      <w:pPr>
        <w:ind w:firstLine="540"/>
        <w:jc w:val="center"/>
        <w:rPr>
          <w:b/>
          <w:bCs/>
        </w:rPr>
      </w:pPr>
    </w:p>
    <w:p w:rsidR="00C23A16" w:rsidRDefault="00C23A16" w:rsidP="0021468D">
      <w:pPr>
        <w:ind w:firstLine="540"/>
        <w:jc w:val="center"/>
        <w:rPr>
          <w:b/>
          <w:bCs/>
        </w:rPr>
      </w:pPr>
      <w:r>
        <w:rPr>
          <w:b/>
          <w:bCs/>
        </w:rPr>
        <w:t>6. Очікувані результати</w:t>
      </w:r>
    </w:p>
    <w:p w:rsidR="00C23A16" w:rsidRDefault="00C23A16" w:rsidP="0021468D">
      <w:pPr>
        <w:ind w:firstLine="540"/>
        <w:jc w:val="center"/>
        <w:rPr>
          <w:b/>
          <w:bCs/>
          <w:sz w:val="16"/>
          <w:szCs w:val="16"/>
        </w:rPr>
      </w:pPr>
    </w:p>
    <w:p w:rsidR="00C23A16" w:rsidRDefault="00C23A16" w:rsidP="0021468D">
      <w:pPr>
        <w:ind w:firstLine="709"/>
        <w:jc w:val="both"/>
      </w:pPr>
      <w:r>
        <w:t>Загальним результативним показником, який буде досягнуто при виконанні Програми є:</w:t>
      </w:r>
    </w:p>
    <w:p w:rsidR="00C23A16" w:rsidRDefault="00C23A16" w:rsidP="0021468D">
      <w:pPr>
        <w:numPr>
          <w:ilvl w:val="0"/>
          <w:numId w:val="1"/>
        </w:numPr>
        <w:jc w:val="both"/>
      </w:pPr>
      <w:r>
        <w:t>уточнення у більш крупному масштабі положень генерального плану,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громади;</w:t>
      </w:r>
    </w:p>
    <w:p w:rsidR="00C23A16" w:rsidRDefault="00C23A16" w:rsidP="0021468D">
      <w:pPr>
        <w:numPr>
          <w:ilvl w:val="0"/>
          <w:numId w:val="1"/>
        </w:numPr>
        <w:jc w:val="both"/>
      </w:pPr>
      <w:r>
        <w:t xml:space="preserve">створення оновленої та актуалізованої цифрової </w:t>
      </w:r>
      <w:r>
        <w:rPr>
          <w:color w:val="000000"/>
          <w:shd w:val="clear" w:color="auto" w:fill="FFFFFF"/>
        </w:rPr>
        <w:t>топографо</w:t>
      </w:r>
      <w:r>
        <w:t>-геодезичної основи території громади;</w:t>
      </w:r>
    </w:p>
    <w:p w:rsidR="00C23A16" w:rsidRDefault="00C23A16" w:rsidP="0021468D">
      <w:pPr>
        <w:numPr>
          <w:ilvl w:val="0"/>
          <w:numId w:val="1"/>
        </w:numPr>
        <w:spacing w:after="240"/>
        <w:jc w:val="both"/>
      </w:pPr>
      <w:r>
        <w:t xml:space="preserve"> створення та впровадження </w:t>
      </w:r>
      <w:proofErr w:type="spellStart"/>
      <w:r>
        <w:t>геоінформаційної</w:t>
      </w:r>
      <w:proofErr w:type="spellEnd"/>
      <w:r>
        <w:t xml:space="preserve"> системи містобудівного кадастру та його ведення для забезпечення інформаційних потреб учасників містобудівного процесу.</w:t>
      </w:r>
    </w:p>
    <w:p w:rsidR="00C23A16" w:rsidRDefault="00C23A16" w:rsidP="0021468D">
      <w:pPr>
        <w:pStyle w:val="3"/>
        <w:suppressAutoHyphens/>
        <w:rPr>
          <w:sz w:val="24"/>
          <w:szCs w:val="24"/>
        </w:rPr>
      </w:pPr>
      <w:r>
        <w:rPr>
          <w:sz w:val="24"/>
          <w:szCs w:val="24"/>
        </w:rPr>
        <w:t>Комплексність, повнота та достовірність даних системи містобудівного кадастру забезпечить виконавчі органи місцевого самоврядування актуальною інформацією для прийняття управлінських рішень щодо формування безпечного середовища життєдіяльності населення, захисту території від наслідків надзвичайних ситуацій техногенного і природного характеру, сприятиме зниженню рівня забруднення навколишнього природного середовища, ефективному і надійному функціонуванню об'єктів будівництва та інженерно-транспортної інфраструктури, охороні та раціональному використанню природних ресурсів і територій з особливим статусом, у тому числі ландшафтів, об'єктів історико-культурної спадщини, водних ресурсів відповідно пріоритетним напрямкам розвитку</w:t>
      </w:r>
      <w:r>
        <w:t xml:space="preserve"> </w:t>
      </w:r>
      <w:r>
        <w:rPr>
          <w:sz w:val="24"/>
          <w:szCs w:val="24"/>
        </w:rPr>
        <w:t xml:space="preserve">територіальної громади. </w:t>
      </w:r>
    </w:p>
    <w:p w:rsidR="00C23A16" w:rsidRDefault="00C23A16" w:rsidP="0021468D">
      <w:pPr>
        <w:pStyle w:val="3"/>
        <w:suppressAutoHyphens/>
        <w:ind w:firstLine="540"/>
        <w:rPr>
          <w:sz w:val="24"/>
          <w:szCs w:val="24"/>
        </w:rPr>
      </w:pPr>
      <w:r>
        <w:rPr>
          <w:sz w:val="24"/>
          <w:szCs w:val="24"/>
        </w:rPr>
        <w:t>Дані містобудівного кадастру, необхідні для забезпечення загальної доступності до матеріалів розробленої і затвердженої містобудівної документації та створення сприятливого інвестиційного середовища.</w:t>
      </w:r>
    </w:p>
    <w:p w:rsidR="00C23A16" w:rsidRDefault="00C23A16" w:rsidP="0021468D">
      <w:pPr>
        <w:rPr>
          <w:b/>
        </w:rPr>
        <w:sectPr w:rsidR="00C23A16">
          <w:pgSz w:w="11906" w:h="16838"/>
          <w:pgMar w:top="1134" w:right="567" w:bottom="1134" w:left="1701" w:header="709" w:footer="709" w:gutter="0"/>
          <w:cols w:space="720"/>
        </w:sectPr>
      </w:pPr>
    </w:p>
    <w:p w:rsidR="00C23A16" w:rsidRDefault="00C23A16" w:rsidP="0021468D">
      <w:pPr>
        <w:suppressAutoHyphens/>
        <w:jc w:val="center"/>
        <w:rPr>
          <w:b/>
        </w:rPr>
      </w:pPr>
      <w:r>
        <w:rPr>
          <w:b/>
        </w:rPr>
        <w:t>6. Напрями діяльності та заходи Програми</w:t>
      </w:r>
    </w:p>
    <w:p w:rsidR="00C23A16" w:rsidRDefault="00C23A16" w:rsidP="0021468D">
      <w:pPr>
        <w:suppressAutoHyphens/>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2048"/>
        <w:gridCol w:w="2411"/>
        <w:gridCol w:w="992"/>
        <w:gridCol w:w="2125"/>
        <w:gridCol w:w="1134"/>
        <w:gridCol w:w="996"/>
        <w:gridCol w:w="994"/>
        <w:gridCol w:w="992"/>
        <w:gridCol w:w="3119"/>
      </w:tblGrid>
      <w:tr w:rsidR="00C23A16" w:rsidTr="00A05966">
        <w:trPr>
          <w:cantSplit/>
          <w:trHeight w:val="1307"/>
        </w:trPr>
        <w:tc>
          <w:tcPr>
            <w:tcW w:w="465" w:type="dxa"/>
            <w:vMerge w:val="restart"/>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center"/>
            </w:pPr>
          </w:p>
          <w:p w:rsidR="00C23A16" w:rsidRDefault="00C23A16" w:rsidP="0021468D">
            <w:pPr>
              <w:suppressAutoHyphens/>
              <w:jc w:val="center"/>
            </w:pPr>
            <w:r>
              <w:t>№</w:t>
            </w:r>
          </w:p>
          <w:p w:rsidR="00C23A16" w:rsidRDefault="00C23A16" w:rsidP="0021468D">
            <w:pPr>
              <w:suppressAutoHyphens/>
              <w:ind w:left="-30" w:right="-52"/>
              <w:jc w:val="center"/>
            </w:pPr>
            <w:r>
              <w:t>з/п</w:t>
            </w:r>
          </w:p>
        </w:tc>
        <w:tc>
          <w:tcPr>
            <w:tcW w:w="2048"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Назва напряму діяльності</w:t>
            </w:r>
          </w:p>
        </w:tc>
        <w:tc>
          <w:tcPr>
            <w:tcW w:w="2411"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Перелік заходів Програми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right="-108"/>
            </w:pPr>
            <w:r>
              <w:t>Строк виконання заходу</w:t>
            </w:r>
          </w:p>
        </w:tc>
        <w:tc>
          <w:tcPr>
            <w:tcW w:w="2125"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Виконавці</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Джерела фінансування</w:t>
            </w:r>
          </w:p>
        </w:tc>
        <w:tc>
          <w:tcPr>
            <w:tcW w:w="2982" w:type="dxa"/>
            <w:gridSpan w:val="3"/>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rPr>
                <w:i/>
              </w:rPr>
            </w:pPr>
            <w:r>
              <w:t>Орієнтовні обсяги фінансування                   (вартість) тис. грн., у тому числі по роках</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rPr>
                <w:i/>
              </w:rPr>
            </w:pPr>
            <w:r>
              <w:t>Очікуваний результат</w:t>
            </w:r>
          </w:p>
        </w:tc>
      </w:tr>
      <w:tr w:rsidR="00C23A16" w:rsidTr="00A05966">
        <w:trPr>
          <w:cantSplit/>
          <w:trHeight w:val="28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2"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12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6"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w:t>
            </w:r>
          </w:p>
        </w:tc>
        <w:tc>
          <w:tcPr>
            <w:tcW w:w="99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2020</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2021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pPr>
              <w:rPr>
                <w:i/>
              </w:rPr>
            </w:pPr>
          </w:p>
        </w:tc>
      </w:tr>
      <w:tr w:rsidR="00C23A16" w:rsidTr="00A05966">
        <w:trPr>
          <w:trHeight w:val="270"/>
        </w:trPr>
        <w:tc>
          <w:tcPr>
            <w:tcW w:w="46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1</w:t>
            </w:r>
          </w:p>
        </w:tc>
        <w:tc>
          <w:tcPr>
            <w:tcW w:w="2048"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2</w:t>
            </w:r>
          </w:p>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4</w:t>
            </w:r>
          </w:p>
        </w:tc>
        <w:tc>
          <w:tcPr>
            <w:tcW w:w="212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6</w:t>
            </w:r>
          </w:p>
        </w:tc>
        <w:tc>
          <w:tcPr>
            <w:tcW w:w="996"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7</w:t>
            </w:r>
          </w:p>
        </w:tc>
        <w:tc>
          <w:tcPr>
            <w:tcW w:w="99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9</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10</w:t>
            </w:r>
          </w:p>
        </w:tc>
      </w:tr>
      <w:tr w:rsidR="00C23A16" w:rsidTr="00A05966">
        <w:trPr>
          <w:trHeight w:val="1406"/>
        </w:trPr>
        <w:tc>
          <w:tcPr>
            <w:tcW w:w="46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1.</w:t>
            </w:r>
          </w:p>
        </w:tc>
        <w:tc>
          <w:tcPr>
            <w:tcW w:w="2048"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Оновлення та актуалізація містобудівної документації</w:t>
            </w:r>
          </w:p>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w:t>
            </w:r>
          </w:p>
          <w:p w:rsidR="00C23A16" w:rsidRDefault="00C23A16" w:rsidP="0021468D">
            <w:pPr>
              <w:suppressAutoHyphens/>
            </w:pPr>
            <w:r>
              <w:t>2021</w:t>
            </w:r>
          </w:p>
          <w:p w:rsidR="00C23A16" w:rsidRDefault="00C23A16" w:rsidP="0021468D">
            <w:pPr>
              <w:suppressAutoHyphens/>
            </w:pPr>
            <w:r>
              <w:t>роки</w:t>
            </w:r>
          </w:p>
        </w:tc>
        <w:tc>
          <w:tcPr>
            <w:tcW w:w="212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Управління містобудування, архітектури та кадастру, сертифіковані відповідальні виконавці робіт, пов’язані із створенням об’єктів архітектури</w:t>
            </w:r>
          </w:p>
        </w:tc>
        <w:tc>
          <w:tcPr>
            <w:tcW w:w="113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Міський бюджет</w:t>
            </w:r>
          </w:p>
        </w:tc>
        <w:tc>
          <w:tcPr>
            <w:tcW w:w="996" w:type="dxa"/>
            <w:tcBorders>
              <w:top w:val="single" w:sz="4" w:space="0" w:color="auto"/>
              <w:left w:val="single" w:sz="4" w:space="0" w:color="auto"/>
              <w:bottom w:val="single" w:sz="4" w:space="0" w:color="auto"/>
              <w:right w:val="single" w:sz="4" w:space="0" w:color="auto"/>
            </w:tcBorders>
          </w:tcPr>
          <w:p w:rsidR="00C23A16" w:rsidRDefault="00924A86" w:rsidP="0021468D">
            <w:pPr>
              <w:suppressAutoHyphens/>
            </w:pPr>
            <w:r>
              <w:t>3100,0</w:t>
            </w:r>
          </w:p>
          <w:p w:rsidR="00C23A16" w:rsidRDefault="00C23A16" w:rsidP="0021468D">
            <w:pPr>
              <w:suppressAutoHyphens/>
            </w:pPr>
          </w:p>
          <w:p w:rsidR="00C23A16" w:rsidRDefault="00C23A16" w:rsidP="0021468D">
            <w:pPr>
              <w:suppressAutoHyphens/>
            </w:pPr>
          </w:p>
          <w:p w:rsidR="00C23A16" w:rsidRDefault="00C23A16" w:rsidP="0021468D">
            <w:pPr>
              <w:suppressAutoHyphens/>
              <w:jc w:val="center"/>
            </w:pP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r>
              <w:t>1450,0</w:t>
            </w:r>
          </w:p>
          <w:p w:rsidR="00C23A16" w:rsidRDefault="00C23A16" w:rsidP="0021468D">
            <w:pPr>
              <w:suppressAutoHyphens/>
            </w:pPr>
          </w:p>
        </w:tc>
        <w:tc>
          <w:tcPr>
            <w:tcW w:w="992" w:type="dxa"/>
            <w:tcBorders>
              <w:top w:val="single" w:sz="4" w:space="0" w:color="auto"/>
              <w:left w:val="single" w:sz="4" w:space="0" w:color="auto"/>
              <w:bottom w:val="single" w:sz="4" w:space="0" w:color="auto"/>
              <w:right w:val="single" w:sz="4" w:space="0" w:color="auto"/>
            </w:tcBorders>
          </w:tcPr>
          <w:p w:rsidR="00C23A16" w:rsidRDefault="00E37618" w:rsidP="0021468D">
            <w:pPr>
              <w:suppressAutoHyphens/>
            </w:pPr>
            <w:r w:rsidRPr="00C84947">
              <w:t>2030,0</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widowControl w:val="0"/>
              <w:spacing w:after="160" w:line="240" w:lineRule="atLeast"/>
              <w:jc w:val="both"/>
            </w:pPr>
            <w:r>
              <w:t>Уточнення планувальної структури і функціонального призначення територій, просторової композиції, параметрів забудови та ландшафтної організації житлових районів. Формування принципів планувальної організації забудови, забезпечення комплексності забудови території громади, встановлення «червоних ліній» та ліній регулювання забудови, визначення потреб у підприємствах та установах обслуговування, місць їх розташування, обґрунтування потреб формування нових земельних ділянок та визначення їх цільового призначення, визначення всіх планувальних обмежень використання території згідно з державними будівельними та санітарно-гігієнічними нормами. Передбачається розробити 8 проектів містобудівних документацій.</w:t>
            </w:r>
          </w:p>
        </w:tc>
      </w:tr>
      <w:tr w:rsidR="00C23A16" w:rsidTr="00A05966">
        <w:trPr>
          <w:trHeight w:val="703"/>
        </w:trPr>
        <w:tc>
          <w:tcPr>
            <w:tcW w:w="465"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2.</w:t>
            </w:r>
          </w:p>
        </w:tc>
        <w:tc>
          <w:tcPr>
            <w:tcW w:w="2048"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44" w:right="-47"/>
            </w:pPr>
            <w:r>
              <w:t xml:space="preserve">Впровадження </w:t>
            </w:r>
            <w:proofErr w:type="spellStart"/>
            <w:r>
              <w:t>геоінформаційної</w:t>
            </w:r>
            <w:proofErr w:type="spellEnd"/>
            <w:r>
              <w:t xml:space="preserve"> системи ведення містобудівного кадастру</w:t>
            </w:r>
          </w:p>
        </w:tc>
        <w:tc>
          <w:tcPr>
            <w:tcW w:w="2411"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w:t>
            </w:r>
          </w:p>
          <w:p w:rsidR="00C23A16" w:rsidRDefault="00C23A16" w:rsidP="0021468D">
            <w:pPr>
              <w:suppressAutoHyphens/>
            </w:pPr>
            <w:r>
              <w:t>2021</w:t>
            </w:r>
          </w:p>
          <w:p w:rsidR="00C23A16" w:rsidRDefault="00C23A16" w:rsidP="0021468D">
            <w:pPr>
              <w:suppressAutoHyphens/>
            </w:pPr>
            <w:r>
              <w:t>роки</w:t>
            </w:r>
          </w:p>
        </w:tc>
        <w:tc>
          <w:tcPr>
            <w:tcW w:w="2125"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tc>
        <w:tc>
          <w:tcPr>
            <w:tcW w:w="1134" w:type="dxa"/>
            <w:vMerge w:val="restart"/>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r>
              <w:t>Міський бюджет</w:t>
            </w:r>
          </w:p>
          <w:p w:rsidR="00C23A16" w:rsidRDefault="00C23A16" w:rsidP="0021468D">
            <w:pPr>
              <w:suppressAutoHyphens/>
            </w:pPr>
          </w:p>
        </w:tc>
        <w:tc>
          <w:tcPr>
            <w:tcW w:w="996"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1090,0</w:t>
            </w:r>
          </w:p>
        </w:tc>
        <w:tc>
          <w:tcPr>
            <w:tcW w:w="99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r>
              <w:t>-</w:t>
            </w:r>
          </w:p>
        </w:tc>
        <w:tc>
          <w:tcPr>
            <w:tcW w:w="3119" w:type="dxa"/>
            <w:tcBorders>
              <w:top w:val="single" w:sz="4" w:space="0" w:color="auto"/>
              <w:left w:val="single" w:sz="4" w:space="0" w:color="auto"/>
              <w:bottom w:val="single" w:sz="4" w:space="0" w:color="auto"/>
              <w:right w:val="single" w:sz="4" w:space="0" w:color="auto"/>
            </w:tcBorders>
          </w:tcPr>
          <w:p w:rsidR="00C23A16" w:rsidRDefault="00C23A16" w:rsidP="0021468D">
            <w:pPr>
              <w:widowControl w:val="0"/>
              <w:spacing w:after="160" w:line="240" w:lineRule="atLeast"/>
              <w:jc w:val="both"/>
            </w:pPr>
          </w:p>
        </w:tc>
      </w:tr>
      <w:tr w:rsidR="00C23A16" w:rsidTr="00A05966">
        <w:trPr>
          <w:trHeight w:val="1709"/>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2.1. Створення технічного регламенту роботи служби містобудівного кадастру </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 рік</w:t>
            </w:r>
          </w:p>
        </w:tc>
        <w:tc>
          <w:tcPr>
            <w:tcW w:w="2125" w:type="dxa"/>
            <w:vMerge w:val="restart"/>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Служба містобудівного кадастру у складі управління містобудування, архітектури та кадастру, суб'єкти господарювання, які надають послуги у сфері </w:t>
            </w:r>
            <w:proofErr w:type="spellStart"/>
            <w:r>
              <w:t>геоінформаційних</w:t>
            </w:r>
            <w:proofErr w:type="spellEnd"/>
            <w:r>
              <w:t xml:space="preserve"> технологій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30,0</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center"/>
            </w:pPr>
          </w:p>
          <w:p w:rsidR="00C23A16" w:rsidRDefault="00C23A16" w:rsidP="0021468D">
            <w:pPr>
              <w:suppressAutoHyphens/>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Розроблення технічного завдання та проекту на створення </w:t>
            </w:r>
            <w:proofErr w:type="spellStart"/>
            <w:r>
              <w:t>геоінформаційної</w:t>
            </w:r>
            <w:proofErr w:type="spellEnd"/>
            <w:r>
              <w:t xml:space="preserve"> </w:t>
            </w:r>
          </w:p>
          <w:p w:rsidR="00C23A16" w:rsidRDefault="00C23A16" w:rsidP="0021468D">
            <w:pPr>
              <w:suppressAutoHyphens/>
              <w:ind w:left="8"/>
            </w:pPr>
            <w:r>
              <w:t xml:space="preserve">системи та </w:t>
            </w:r>
            <w:proofErr w:type="spellStart"/>
            <w:r>
              <w:t>геопорталу</w:t>
            </w:r>
            <w:proofErr w:type="spellEnd"/>
            <w:r>
              <w:t xml:space="preserve"> містобудівного кадастру (1 одиниця)</w:t>
            </w:r>
          </w:p>
        </w:tc>
      </w:tr>
      <w:tr w:rsidR="00C23A16" w:rsidTr="00A05966">
        <w:trPr>
          <w:trHeight w:val="27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2"/>
            </w:pPr>
            <w:r>
              <w:t>2.2. Створення матеріально-технічної бази для ведення містобудівного кадастру</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 рік</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280,0</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jc w:val="center"/>
            </w:pPr>
          </w:p>
          <w:p w:rsidR="00C23A16" w:rsidRDefault="00C23A16" w:rsidP="0021468D">
            <w:pPr>
              <w:suppressAutoHyphens/>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8"/>
            </w:pPr>
            <w:r>
              <w:t>Придбання, встановлення та налаштування апаратного забезпечення для ведення містобудівного кадастру (1 сервер та 3 робочих місця користувача)</w:t>
            </w:r>
          </w:p>
        </w:tc>
      </w:tr>
      <w:tr w:rsidR="00C23A16" w:rsidTr="00A05966">
        <w:trPr>
          <w:trHeight w:val="27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2"/>
            </w:pPr>
            <w:r>
              <w:t>2.3. Створення інформаційної системи для ведення містобудівного кадастру</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w:t>
            </w:r>
          </w:p>
          <w:p w:rsidR="00C23A16" w:rsidRDefault="00C23A16" w:rsidP="0021468D">
            <w:pPr>
              <w:suppressAutoHyphens/>
            </w:pPr>
            <w:r>
              <w:t>рік</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480,0</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108"/>
              <w:jc w:val="center"/>
            </w:pPr>
          </w:p>
          <w:p w:rsidR="00C23A16" w:rsidRDefault="00C23A16" w:rsidP="0021468D">
            <w:pPr>
              <w:suppressAutoHyphens/>
              <w:ind w:left="-108"/>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ind w:left="-108"/>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Придбання, встановлення програмного забезпечення та створення компонентів містобудівного кадастру (5 програмних забезпечень).</w:t>
            </w:r>
          </w:p>
        </w:tc>
      </w:tr>
      <w:tr w:rsidR="00C23A16" w:rsidTr="00A05966">
        <w:trPr>
          <w:trHeight w:val="853"/>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2.4. Електронна обробка наявних матеріалів для їх введення до </w:t>
            </w:r>
            <w:proofErr w:type="spellStart"/>
            <w:r>
              <w:t>геоінформаційної</w:t>
            </w:r>
            <w:proofErr w:type="spellEnd"/>
            <w:r>
              <w:t xml:space="preserve"> системи містобудівного кадастру і наповнення</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 рік</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290,0</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p w:rsidR="00C23A16" w:rsidRDefault="00C23A16" w:rsidP="0021468D">
            <w:pPr>
              <w:suppressAutoHyphens/>
              <w:ind w:left="-114" w:right="-91"/>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ind w:left="-114" w:right="-91"/>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Створення бази </w:t>
            </w:r>
            <w:proofErr w:type="spellStart"/>
            <w:r>
              <w:t>геопросторових</w:t>
            </w:r>
            <w:proofErr w:type="spellEnd"/>
            <w:r>
              <w:t xml:space="preserve"> даних містобудівного кадастру (вся діюча містобудівна документація; реєстр адрес, вулиць та інших пойменованих об’єктів; цифрова топографічна основа; реєстр містобудівних умов і обмежень, будівельних паспортів, тимчасових споруд)</w:t>
            </w:r>
          </w:p>
        </w:tc>
      </w:tr>
      <w:tr w:rsidR="00C23A16" w:rsidTr="00A05966">
        <w:trPr>
          <w:trHeight w:val="139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pStyle w:val="2"/>
              <w:suppressAutoHyphens/>
              <w:jc w:val="left"/>
            </w:pPr>
            <w:r>
              <w:t xml:space="preserve">2.5. Фахова підготовка спеціалістів для роботи з </w:t>
            </w:r>
            <w:proofErr w:type="spellStart"/>
            <w:r>
              <w:t>геоінформаційною</w:t>
            </w:r>
            <w:proofErr w:type="spellEnd"/>
            <w:r>
              <w:t xml:space="preserve"> системою містобудівного кадастру</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2019 </w:t>
            </w:r>
          </w:p>
          <w:p w:rsidR="00C23A16" w:rsidRDefault="00C23A16" w:rsidP="0021468D">
            <w:pPr>
              <w:suppressAutoHyphens/>
            </w:pPr>
            <w:r>
              <w:t>рік</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10,0</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p w:rsidR="00C23A16" w:rsidRDefault="00C23A16" w:rsidP="0021468D">
            <w:pPr>
              <w:suppressAutoHyphens/>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Навчання роботи з спеціалізованим програмним забезпеченням та консультативна підтримка</w:t>
            </w:r>
          </w:p>
          <w:p w:rsidR="00C23A16" w:rsidRDefault="00C23A16" w:rsidP="0021468D">
            <w:pPr>
              <w:suppressAutoHyphens/>
            </w:pPr>
            <w:r>
              <w:t>(3 спеціаліста)</w:t>
            </w:r>
          </w:p>
        </w:tc>
      </w:tr>
      <w:tr w:rsidR="00C23A16" w:rsidTr="00A05966">
        <w:trPr>
          <w:trHeight w:val="27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048"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2.6. Інформаційне наповнення бази даних містобудівного кадастру</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2019-2021 роки</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23A16" w:rsidRDefault="00C23A16" w:rsidP="0021468D"/>
        </w:tc>
        <w:tc>
          <w:tcPr>
            <w:tcW w:w="113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108" w:right="-117"/>
              <w:jc w:val="center"/>
            </w:pPr>
            <w:r>
              <w:t>Не потребує коштів</w:t>
            </w:r>
          </w:p>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p w:rsidR="00C23A16" w:rsidRDefault="00C23A16" w:rsidP="0021468D">
            <w:pPr>
              <w:suppressAutoHyphens/>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Організація робіт зі збору та введення інформації до бази даних містобудівного кадастру</w:t>
            </w:r>
          </w:p>
        </w:tc>
      </w:tr>
      <w:tr w:rsidR="00C23A16" w:rsidTr="00A05966">
        <w:trPr>
          <w:trHeight w:val="270"/>
        </w:trPr>
        <w:tc>
          <w:tcPr>
            <w:tcW w:w="46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3.</w:t>
            </w:r>
          </w:p>
        </w:tc>
        <w:tc>
          <w:tcPr>
            <w:tcW w:w="2048"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Ведення містобудівного кадастру регіонального рівня</w:t>
            </w:r>
          </w:p>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Експлуатація </w:t>
            </w:r>
            <w:proofErr w:type="spellStart"/>
            <w:r>
              <w:t>геоінформаційної</w:t>
            </w:r>
            <w:proofErr w:type="spellEnd"/>
            <w:r>
              <w:t xml:space="preserve"> системи та </w:t>
            </w:r>
            <w:proofErr w:type="spellStart"/>
            <w:r>
              <w:t>геопорталу</w:t>
            </w:r>
            <w:proofErr w:type="spellEnd"/>
            <w:r>
              <w:t xml:space="preserve"> містобудівного кадастру для задоволення інформаційних потреб учасників містобудівного процесу</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rPr>
                <w:lang w:val="en-US"/>
              </w:rPr>
            </w:pPr>
            <w:r>
              <w:t>2020 -</w:t>
            </w:r>
            <w:r>
              <w:rPr>
                <w:lang w:val="en-US"/>
              </w:rPr>
              <w:t>2021</w:t>
            </w:r>
          </w:p>
          <w:p w:rsidR="00C23A16" w:rsidRDefault="00C23A16" w:rsidP="0021468D">
            <w:pPr>
              <w:suppressAutoHyphens/>
            </w:pPr>
            <w:r>
              <w:t>роки</w:t>
            </w:r>
          </w:p>
        </w:tc>
        <w:tc>
          <w:tcPr>
            <w:tcW w:w="212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Служба містобудівного кадастру у складі управління містобудування, архітектури та кадастру, суб'єкти господарювання, які надають послуги у сфері </w:t>
            </w:r>
            <w:proofErr w:type="spellStart"/>
            <w:r>
              <w:t>геоінформаційних</w:t>
            </w:r>
            <w:proofErr w:type="spellEnd"/>
            <w:r>
              <w:t xml:space="preserve"> технологій</w:t>
            </w:r>
          </w:p>
        </w:tc>
        <w:tc>
          <w:tcPr>
            <w:tcW w:w="113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108" w:right="-117"/>
              <w:jc w:val="center"/>
            </w:pPr>
            <w:r>
              <w:t>Не потребує коштів</w:t>
            </w:r>
          </w:p>
        </w:tc>
        <w:tc>
          <w:tcPr>
            <w:tcW w:w="996"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ind w:left="-92"/>
            </w:pPr>
          </w:p>
          <w:p w:rsidR="00C23A16" w:rsidRDefault="00C23A16" w:rsidP="0021468D">
            <w:pPr>
              <w:suppressAutoHyphens/>
              <w:ind w:left="-92"/>
              <w:jc w:val="center"/>
            </w:pPr>
            <w:r>
              <w:t>-</w:t>
            </w:r>
          </w:p>
        </w:tc>
        <w:tc>
          <w:tcPr>
            <w:tcW w:w="99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p>
          <w:p w:rsidR="00C23A16" w:rsidRDefault="00C23A16" w:rsidP="0021468D">
            <w:pPr>
              <w:suppressAutoHyphens/>
              <w:jc w:val="center"/>
            </w:pPr>
            <w:r>
              <w:t>-</w:t>
            </w:r>
          </w:p>
        </w:tc>
        <w:tc>
          <w:tcPr>
            <w:tcW w:w="992" w:type="dxa"/>
            <w:tcBorders>
              <w:top w:val="single" w:sz="4" w:space="0" w:color="auto"/>
              <w:left w:val="single" w:sz="4" w:space="0" w:color="auto"/>
              <w:bottom w:val="single" w:sz="4" w:space="0" w:color="auto"/>
              <w:right w:val="single" w:sz="4" w:space="0" w:color="auto"/>
            </w:tcBorders>
          </w:tcPr>
          <w:p w:rsidR="00C23A16" w:rsidRDefault="00C23A16" w:rsidP="0021468D"/>
          <w:p w:rsidR="00C23A16" w:rsidRDefault="00C23A16" w:rsidP="0021468D">
            <w:pPr>
              <w:suppressAutoHyphens/>
              <w:jc w:val="center"/>
            </w:pPr>
            <w:r>
              <w:t>-</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Надання виконавчим органам міської ради, підприємствам, установам, організаціям і громадянам містобудівної інформації, формування і видача на запит кадастрових документів та довідок</w:t>
            </w:r>
          </w:p>
        </w:tc>
      </w:tr>
      <w:tr w:rsidR="00C23A16" w:rsidTr="00A05966">
        <w:trPr>
          <w:trHeight w:val="270"/>
        </w:trPr>
        <w:tc>
          <w:tcPr>
            <w:tcW w:w="46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4.</w:t>
            </w:r>
          </w:p>
        </w:tc>
        <w:tc>
          <w:tcPr>
            <w:tcW w:w="2048"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Проведення топографо-геодезичних робіт по створенню топографічних планів у графічних та цифрових форматах</w:t>
            </w:r>
          </w:p>
        </w:tc>
        <w:tc>
          <w:tcPr>
            <w:tcW w:w="2411"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Цифрове аерознімання, актуалізація (оновлення) цифрових інженерно-топографічних планів</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2019-2021 роки</w:t>
            </w:r>
          </w:p>
        </w:tc>
        <w:tc>
          <w:tcPr>
            <w:tcW w:w="2125"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Служба містобудівного кадастру у складі управління містобудування, архітектури та кадастру, суб'єкти господарювання, які надають послуги у сфері топографо-геодезичного забезпечення</w:t>
            </w:r>
          </w:p>
        </w:tc>
        <w:tc>
          <w:tcPr>
            <w:tcW w:w="1134" w:type="dxa"/>
            <w:tcBorders>
              <w:top w:val="single" w:sz="4" w:space="0" w:color="auto"/>
              <w:left w:val="single" w:sz="4" w:space="0" w:color="auto"/>
              <w:bottom w:val="single" w:sz="4" w:space="0" w:color="auto"/>
              <w:right w:val="single" w:sz="4" w:space="0" w:color="auto"/>
            </w:tcBorders>
          </w:tcPr>
          <w:p w:rsidR="00C23A16" w:rsidRDefault="00C23A16" w:rsidP="0021468D">
            <w:pPr>
              <w:suppressAutoHyphens/>
            </w:pPr>
            <w:r>
              <w:t>Міський бюджет</w:t>
            </w:r>
          </w:p>
          <w:p w:rsidR="00C23A16" w:rsidRDefault="00C23A16" w:rsidP="0021468D">
            <w:pPr>
              <w:suppressAutoHyphens/>
              <w:ind w:left="-108" w:right="-117"/>
              <w:jc w:val="center"/>
            </w:pPr>
          </w:p>
        </w:tc>
        <w:tc>
          <w:tcPr>
            <w:tcW w:w="996"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92"/>
            </w:pPr>
            <w:r>
              <w:t>1400,0</w:t>
            </w:r>
          </w:p>
        </w:tc>
        <w:tc>
          <w:tcPr>
            <w:tcW w:w="99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1450,0</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E37618" w:rsidP="0021468D">
            <w:r w:rsidRPr="00C84947">
              <w:t>900,0</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pPr>
            <w:r>
              <w:t xml:space="preserve">Створення оновленої та актуалізованої цифрової </w:t>
            </w:r>
            <w:r>
              <w:rPr>
                <w:color w:val="000000"/>
                <w:shd w:val="clear" w:color="auto" w:fill="FFFFFF"/>
              </w:rPr>
              <w:t>топографо</w:t>
            </w:r>
            <w:r>
              <w:t>-геодезичної основи території міста для використання її суб’єктами містобудівної діяльності, виконавчими органами міської ради, зацікавленими підприємствами, установами, організаціями і громадянами</w:t>
            </w:r>
          </w:p>
        </w:tc>
      </w:tr>
      <w:tr w:rsidR="00A05966" w:rsidTr="00A05966">
        <w:trPr>
          <w:trHeight w:val="270"/>
        </w:trPr>
        <w:tc>
          <w:tcPr>
            <w:tcW w:w="465" w:type="dxa"/>
            <w:tcBorders>
              <w:top w:val="single" w:sz="4" w:space="0" w:color="auto"/>
              <w:left w:val="single" w:sz="4" w:space="0" w:color="auto"/>
              <w:bottom w:val="single" w:sz="4" w:space="0" w:color="auto"/>
              <w:right w:val="single" w:sz="4" w:space="0" w:color="auto"/>
            </w:tcBorders>
            <w:hideMark/>
          </w:tcPr>
          <w:p w:rsidR="00A05966" w:rsidRDefault="00A05966" w:rsidP="0021468D">
            <w:pPr>
              <w:suppressAutoHyphens/>
              <w:jc w:val="center"/>
            </w:pPr>
            <w:r>
              <w:t>5</w:t>
            </w:r>
          </w:p>
        </w:tc>
        <w:tc>
          <w:tcPr>
            <w:tcW w:w="2048"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suppressAutoHyphens/>
              <w:jc w:val="both"/>
            </w:pPr>
            <w:r w:rsidRPr="00531C6B">
              <w:t>Розробка схем та проектних рішень масового</w:t>
            </w:r>
            <w:r>
              <w:t xml:space="preserve"> використ</w:t>
            </w:r>
            <w:r w:rsidRPr="00531C6B">
              <w:t>ання</w:t>
            </w:r>
          </w:p>
        </w:tc>
        <w:tc>
          <w:tcPr>
            <w:tcW w:w="2411"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suppressAutoHyphens/>
              <w:jc w:val="both"/>
            </w:pPr>
            <w:r>
              <w:t>Розроблення комплексної схеми</w:t>
            </w:r>
            <w:r w:rsidRPr="00895A82">
              <w:t xml:space="preserve"> розташування тимчасових споруд на території міста</w:t>
            </w:r>
          </w:p>
        </w:tc>
        <w:tc>
          <w:tcPr>
            <w:tcW w:w="992"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suppressAutoHyphens/>
            </w:pPr>
            <w:r>
              <w:t>2019 рі</w:t>
            </w:r>
            <w:r w:rsidRPr="003E4293">
              <w:t>к</w:t>
            </w:r>
          </w:p>
        </w:tc>
        <w:tc>
          <w:tcPr>
            <w:tcW w:w="2125"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suppressAutoHyphens/>
              <w:jc w:val="both"/>
            </w:pPr>
            <w:r w:rsidRPr="003E4293">
              <w:t xml:space="preserve">Управління містобудування, архітектури та кадастру, </w:t>
            </w:r>
            <w:r w:rsidRPr="00CA567F">
              <w:rPr>
                <w:lang w:eastAsia="uk-UA"/>
              </w:rPr>
              <w:t>суб</w:t>
            </w:r>
            <w:r>
              <w:rPr>
                <w:lang w:eastAsia="uk-UA"/>
              </w:rPr>
              <w:t>’єкти</w:t>
            </w:r>
            <w:r w:rsidRPr="00CA567F">
              <w:rPr>
                <w:lang w:eastAsia="uk-UA"/>
              </w:rPr>
              <w:t xml:space="preserve"> господарюванн</w:t>
            </w:r>
            <w:r>
              <w:rPr>
                <w:lang w:eastAsia="uk-UA"/>
              </w:rPr>
              <w:t>я, які мають</w:t>
            </w:r>
            <w:r w:rsidRPr="00CA567F">
              <w:rPr>
                <w:lang w:eastAsia="uk-UA"/>
              </w:rPr>
              <w:t xml:space="preserve"> ліцензію на виконання п</w:t>
            </w:r>
            <w:r>
              <w:rPr>
                <w:lang w:eastAsia="uk-UA"/>
              </w:rPr>
              <w:t>роектних робіт або архітектори, які мають</w:t>
            </w:r>
            <w:r w:rsidRPr="00CA567F">
              <w:rPr>
                <w:lang w:eastAsia="uk-UA"/>
              </w:rPr>
              <w:t xml:space="preserve"> відповідний кваліфікаційний сертифікат</w:t>
            </w:r>
          </w:p>
        </w:tc>
        <w:tc>
          <w:tcPr>
            <w:tcW w:w="1134" w:type="dxa"/>
            <w:tcBorders>
              <w:top w:val="single" w:sz="4" w:space="0" w:color="auto"/>
              <w:left w:val="single" w:sz="4" w:space="0" w:color="auto"/>
              <w:bottom w:val="single" w:sz="4" w:space="0" w:color="auto"/>
              <w:right w:val="single" w:sz="4" w:space="0" w:color="auto"/>
            </w:tcBorders>
          </w:tcPr>
          <w:p w:rsidR="00A05966" w:rsidRPr="003E4293" w:rsidRDefault="00A05966" w:rsidP="00F53473">
            <w:pPr>
              <w:suppressAutoHyphens/>
            </w:pPr>
            <w:r w:rsidRPr="003E4293">
              <w:t>Міський бюджет</w:t>
            </w:r>
          </w:p>
        </w:tc>
        <w:tc>
          <w:tcPr>
            <w:tcW w:w="996"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suppressAutoHyphens/>
            </w:pPr>
            <w:r>
              <w:t>200,00</w:t>
            </w:r>
          </w:p>
          <w:p w:rsidR="00A05966" w:rsidRPr="003E4293" w:rsidRDefault="00A05966" w:rsidP="00F53473">
            <w:pPr>
              <w:suppressAutoHyphens/>
            </w:pPr>
          </w:p>
          <w:p w:rsidR="00A05966" w:rsidRPr="003E4293" w:rsidRDefault="00A05966" w:rsidP="00F53473">
            <w:pPr>
              <w:suppressAutoHyphens/>
            </w:pPr>
          </w:p>
          <w:p w:rsidR="00A05966" w:rsidRPr="003E4293" w:rsidRDefault="00A05966" w:rsidP="00F53473">
            <w:pPr>
              <w:suppressAutoHyphens/>
            </w:pPr>
          </w:p>
          <w:p w:rsidR="00A05966" w:rsidRPr="003E4293" w:rsidRDefault="00A05966" w:rsidP="00F53473">
            <w:pPr>
              <w:suppressAutoHyphens/>
              <w:jc w:val="center"/>
            </w:pPr>
          </w:p>
        </w:tc>
        <w:tc>
          <w:tcPr>
            <w:tcW w:w="994"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suppressAutoHyphens/>
              <w:jc w:val="center"/>
            </w:pPr>
            <w:r>
              <w:t>-</w:t>
            </w:r>
          </w:p>
          <w:p w:rsidR="00A05966" w:rsidRPr="003E4293" w:rsidRDefault="00A05966" w:rsidP="00F53473">
            <w:pPr>
              <w:suppressAutoHyphens/>
            </w:pPr>
          </w:p>
        </w:tc>
        <w:tc>
          <w:tcPr>
            <w:tcW w:w="992" w:type="dxa"/>
            <w:tcBorders>
              <w:top w:val="single" w:sz="4" w:space="0" w:color="auto"/>
              <w:left w:val="single" w:sz="4" w:space="0" w:color="auto"/>
              <w:bottom w:val="single" w:sz="4" w:space="0" w:color="auto"/>
              <w:right w:val="single" w:sz="4" w:space="0" w:color="auto"/>
            </w:tcBorders>
            <w:hideMark/>
          </w:tcPr>
          <w:p w:rsidR="00A05966" w:rsidRPr="003E4293" w:rsidRDefault="00A05966" w:rsidP="00F53473">
            <w:pPr>
              <w:jc w:val="center"/>
            </w:pPr>
            <w:r>
              <w:t>-</w:t>
            </w:r>
          </w:p>
          <w:p w:rsidR="00A05966" w:rsidRPr="003E4293" w:rsidRDefault="00A05966" w:rsidP="00F53473">
            <w:pPr>
              <w:suppressAutoHyphens/>
            </w:pPr>
          </w:p>
        </w:tc>
        <w:tc>
          <w:tcPr>
            <w:tcW w:w="3119" w:type="dxa"/>
            <w:tcBorders>
              <w:top w:val="single" w:sz="4" w:space="0" w:color="auto"/>
              <w:left w:val="single" w:sz="4" w:space="0" w:color="auto"/>
              <w:bottom w:val="single" w:sz="4" w:space="0" w:color="auto"/>
              <w:right w:val="single" w:sz="4" w:space="0" w:color="auto"/>
            </w:tcBorders>
            <w:hideMark/>
          </w:tcPr>
          <w:p w:rsidR="00A05966" w:rsidRPr="00D47776" w:rsidRDefault="00A05966" w:rsidP="00F53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eastAsia="uk-UA"/>
              </w:rPr>
              <w:t>Т</w:t>
            </w:r>
            <w:r w:rsidRPr="00D47776">
              <w:rPr>
                <w:lang w:eastAsia="uk-UA"/>
              </w:rPr>
              <w:t xml:space="preserve">екстові та графічні </w:t>
            </w:r>
            <w:r>
              <w:rPr>
                <w:lang w:eastAsia="uk-UA"/>
              </w:rPr>
              <w:t xml:space="preserve">матеріали, </w:t>
            </w:r>
            <w:r w:rsidRPr="00D47776">
              <w:rPr>
                <w:lang w:eastAsia="uk-UA"/>
              </w:rPr>
              <w:t xml:space="preserve">якими визначаються місця розташування ТС, розроблені з </w:t>
            </w:r>
            <w:r w:rsidRPr="00D47776">
              <w:rPr>
                <w:lang w:eastAsia="uk-UA"/>
              </w:rPr>
              <w:br/>
              <w:t xml:space="preserve">урахуванням вимог будівельних, санітарно-гігієнічних норм, а також </w:t>
            </w:r>
            <w:r w:rsidRPr="00D47776">
              <w:rPr>
                <w:lang w:eastAsia="uk-UA"/>
              </w:rPr>
              <w:br/>
              <w:t>і</w:t>
            </w:r>
            <w:r>
              <w:rPr>
                <w:lang w:eastAsia="uk-UA"/>
              </w:rPr>
              <w:t>снуючих містобудівних обмежень,</w:t>
            </w:r>
            <w:r w:rsidRPr="00D47776">
              <w:rPr>
                <w:lang w:eastAsia="uk-UA"/>
              </w:rPr>
              <w:t xml:space="preserve"> вимог щодо охо</w:t>
            </w:r>
            <w:r>
              <w:rPr>
                <w:lang w:eastAsia="uk-UA"/>
              </w:rPr>
              <w:t xml:space="preserve">рони навколишнього </w:t>
            </w:r>
            <w:r>
              <w:rPr>
                <w:lang w:eastAsia="uk-UA"/>
              </w:rPr>
              <w:br/>
              <w:t>природного середовища та</w:t>
            </w:r>
            <w:r w:rsidRPr="00D47776">
              <w:rPr>
                <w:lang w:eastAsia="uk-UA"/>
              </w:rPr>
              <w:t xml:space="preserve"> </w:t>
            </w:r>
            <w:r>
              <w:rPr>
                <w:lang w:eastAsia="uk-UA"/>
              </w:rPr>
              <w:t xml:space="preserve">раціонального </w:t>
            </w:r>
            <w:r w:rsidRPr="00D47776">
              <w:rPr>
                <w:lang w:eastAsia="uk-UA"/>
              </w:rPr>
              <w:t>ви</w:t>
            </w:r>
            <w:r>
              <w:rPr>
                <w:lang w:eastAsia="uk-UA"/>
              </w:rPr>
              <w:t xml:space="preserve">користання територій, </w:t>
            </w:r>
            <w:r>
              <w:rPr>
                <w:lang w:eastAsia="uk-UA"/>
              </w:rPr>
              <w:br/>
              <w:t xml:space="preserve">охорони історико-культурної </w:t>
            </w:r>
            <w:r w:rsidRPr="00D47776">
              <w:rPr>
                <w:lang w:eastAsia="uk-UA"/>
              </w:rPr>
              <w:t xml:space="preserve">спадщини,  </w:t>
            </w:r>
            <w:r>
              <w:rPr>
                <w:lang w:eastAsia="uk-UA"/>
              </w:rPr>
              <w:t xml:space="preserve"> земельно-господарського устрою</w:t>
            </w:r>
            <w:r w:rsidRPr="00D47776">
              <w:rPr>
                <w:lang w:eastAsia="uk-UA"/>
              </w:rPr>
              <w:t xml:space="preserve"> </w:t>
            </w:r>
          </w:p>
        </w:tc>
      </w:tr>
      <w:tr w:rsidR="00C23A16" w:rsidTr="00A05966">
        <w:trPr>
          <w:trHeight w:val="270"/>
        </w:trPr>
        <w:tc>
          <w:tcPr>
            <w:tcW w:w="9175" w:type="dxa"/>
            <w:gridSpan w:val="6"/>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jc w:val="center"/>
            </w:pPr>
            <w:r>
              <w:t>Усього за Програмою</w:t>
            </w:r>
          </w:p>
        </w:tc>
        <w:tc>
          <w:tcPr>
            <w:tcW w:w="996"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left="-92"/>
            </w:pPr>
            <w:r>
              <w:t>5790,0</w:t>
            </w:r>
          </w:p>
        </w:tc>
        <w:tc>
          <w:tcPr>
            <w:tcW w:w="994"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right="-74"/>
            </w:pPr>
            <w:r>
              <w:t>2900,0</w:t>
            </w:r>
          </w:p>
        </w:tc>
        <w:tc>
          <w:tcPr>
            <w:tcW w:w="992"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right="-74"/>
            </w:pPr>
            <w:r>
              <w:t>2930,0</w:t>
            </w:r>
          </w:p>
        </w:tc>
        <w:tc>
          <w:tcPr>
            <w:tcW w:w="3119" w:type="dxa"/>
            <w:tcBorders>
              <w:top w:val="single" w:sz="4" w:space="0" w:color="auto"/>
              <w:left w:val="single" w:sz="4" w:space="0" w:color="auto"/>
              <w:bottom w:val="single" w:sz="4" w:space="0" w:color="auto"/>
              <w:right w:val="single" w:sz="4" w:space="0" w:color="auto"/>
            </w:tcBorders>
            <w:hideMark/>
          </w:tcPr>
          <w:p w:rsidR="00C23A16" w:rsidRDefault="00C23A16" w:rsidP="0021468D">
            <w:pPr>
              <w:suppressAutoHyphens/>
              <w:ind w:right="-108"/>
              <w:rPr>
                <w:highlight w:val="yellow"/>
              </w:rPr>
            </w:pPr>
            <w:r>
              <w:t>11620,0 тис. гривень</w:t>
            </w:r>
          </w:p>
        </w:tc>
      </w:tr>
    </w:tbl>
    <w:p w:rsidR="00C23A16" w:rsidRDefault="00C23A16" w:rsidP="0021468D">
      <w:pPr>
        <w:sectPr w:rsidR="00C23A16">
          <w:pgSz w:w="16838" w:h="11906" w:orient="landscape"/>
          <w:pgMar w:top="567" w:right="510" w:bottom="851" w:left="567" w:header="709" w:footer="709" w:gutter="0"/>
          <w:cols w:space="720"/>
        </w:sectPr>
      </w:pPr>
    </w:p>
    <w:p w:rsidR="00C23A16" w:rsidRDefault="00C23A16" w:rsidP="0021468D">
      <w:pPr>
        <w:suppressAutoHyphens/>
        <w:jc w:val="center"/>
        <w:rPr>
          <w:b/>
        </w:rPr>
      </w:pPr>
      <w:r>
        <w:rPr>
          <w:b/>
        </w:rPr>
        <w:t>7. Координація та контроль за ходом виконання Програми</w:t>
      </w:r>
    </w:p>
    <w:p w:rsidR="00C23A16" w:rsidRDefault="00C23A16" w:rsidP="0021468D">
      <w:pPr>
        <w:suppressAutoHyphens/>
        <w:jc w:val="center"/>
        <w:rPr>
          <w:b/>
        </w:rPr>
      </w:pPr>
    </w:p>
    <w:p w:rsidR="00C23A16" w:rsidRDefault="00C23A16" w:rsidP="0021468D">
      <w:pPr>
        <w:pStyle w:val="a3"/>
        <w:spacing w:before="0" w:beforeAutospacing="0" w:after="0" w:afterAutospacing="0"/>
        <w:ind w:firstLine="720"/>
        <w:jc w:val="both"/>
        <w:rPr>
          <w:rFonts w:ascii="Times New Roman" w:hAnsi="Times New Roman"/>
          <w:lang w:val="uk-UA"/>
        </w:rPr>
      </w:pPr>
      <w:r>
        <w:rPr>
          <w:rFonts w:ascii="Times New Roman" w:hAnsi="Times New Roman"/>
          <w:lang w:val="uk-UA"/>
        </w:rPr>
        <w:t>Виконання Програми здійснюється шляхом реалізації її заходів і завдань.</w:t>
      </w:r>
    </w:p>
    <w:p w:rsidR="00C23A16" w:rsidRDefault="00C23A16" w:rsidP="0021468D">
      <w:pPr>
        <w:pStyle w:val="a3"/>
        <w:spacing w:before="0" w:beforeAutospacing="0" w:after="0" w:afterAutospacing="0"/>
        <w:ind w:firstLine="720"/>
        <w:jc w:val="both"/>
        <w:rPr>
          <w:rFonts w:ascii="Times New Roman" w:hAnsi="Times New Roman"/>
          <w:lang w:val="uk-UA"/>
        </w:rPr>
      </w:pPr>
      <w:r>
        <w:rPr>
          <w:rFonts w:ascii="Times New Roman" w:hAnsi="Times New Roman"/>
          <w:lang w:val="uk-UA"/>
        </w:rPr>
        <w:t>Контроль за виконанням заходів та досягненням очікуваних результатів Програми здійснюється виконавчим комітетом Тернопільської міської ради та управлінням містобудування, архітектури та кадастру.</w:t>
      </w:r>
    </w:p>
    <w:p w:rsidR="00C23A16" w:rsidRDefault="00C23A16" w:rsidP="0021468D">
      <w:pPr>
        <w:pStyle w:val="a3"/>
        <w:spacing w:before="0" w:beforeAutospacing="0" w:after="0" w:afterAutospacing="0"/>
        <w:ind w:firstLine="720"/>
        <w:jc w:val="both"/>
        <w:rPr>
          <w:rFonts w:ascii="Times New Roman" w:hAnsi="Times New Roman"/>
          <w:lang w:val="uk-UA"/>
        </w:rPr>
      </w:pPr>
      <w:r>
        <w:rPr>
          <w:rFonts w:ascii="Times New Roman" w:hAnsi="Times New Roman"/>
          <w:lang w:val="uk-UA"/>
        </w:rPr>
        <w:t>Звіт щодо виконання Програми щорічно виноситься на розгляд сесії міської ради.</w:t>
      </w:r>
    </w:p>
    <w:p w:rsidR="00C23A16" w:rsidRDefault="00C23A16" w:rsidP="0021468D">
      <w:pPr>
        <w:suppressAutoHyphens/>
        <w:rPr>
          <w:b/>
        </w:rPr>
      </w:pPr>
    </w:p>
    <w:p w:rsidR="00C23A16" w:rsidRDefault="00C23A16" w:rsidP="0021468D">
      <w:pPr>
        <w:ind w:firstLine="708"/>
        <w:jc w:val="both"/>
      </w:pPr>
      <w:r>
        <w:t>Міський голова</w:t>
      </w:r>
      <w:r>
        <w:tab/>
      </w:r>
      <w:r>
        <w:tab/>
      </w:r>
      <w:r>
        <w:tab/>
      </w:r>
      <w:r>
        <w:tab/>
      </w:r>
      <w:r>
        <w:tab/>
      </w:r>
      <w:r>
        <w:tab/>
      </w:r>
      <w:r>
        <w:tab/>
      </w:r>
      <w:r>
        <w:tab/>
        <w:t>С.В. Надал</w:t>
      </w:r>
    </w:p>
    <w:p w:rsidR="00C23A16" w:rsidRDefault="00C23A16" w:rsidP="0021468D">
      <w:bookmarkStart w:id="0" w:name="_GoBack"/>
      <w:bookmarkEnd w:id="0"/>
    </w:p>
    <w:sectPr w:rsidR="00C23A16" w:rsidSect="00032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3009D"/>
    <w:multiLevelType w:val="hybridMultilevel"/>
    <w:tmpl w:val="A6CA0206"/>
    <w:lvl w:ilvl="0" w:tplc="5194EBCC">
      <w:start w:val="5"/>
      <w:numFmt w:val="bullet"/>
      <w:lvlText w:val="-"/>
      <w:lvlJc w:val="left"/>
      <w:pPr>
        <w:ind w:left="900"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C23A16"/>
    <w:rsid w:val="000C56E3"/>
    <w:rsid w:val="00267805"/>
    <w:rsid w:val="006301B0"/>
    <w:rsid w:val="00672101"/>
    <w:rsid w:val="006F54C2"/>
    <w:rsid w:val="00784B0B"/>
    <w:rsid w:val="00911138"/>
    <w:rsid w:val="00924A86"/>
    <w:rsid w:val="009568A7"/>
    <w:rsid w:val="00A05966"/>
    <w:rsid w:val="00B07C5D"/>
    <w:rsid w:val="00C23A16"/>
    <w:rsid w:val="00C96B20"/>
    <w:rsid w:val="00D21BE8"/>
    <w:rsid w:val="00DB1317"/>
    <w:rsid w:val="00DD4CD0"/>
    <w:rsid w:val="00E04F5A"/>
    <w:rsid w:val="00E37618"/>
    <w:rsid w:val="00F379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1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3A16"/>
    <w:pPr>
      <w:spacing w:before="100" w:beforeAutospacing="1" w:after="100" w:afterAutospacing="1"/>
    </w:pPr>
    <w:rPr>
      <w:rFonts w:ascii="Arial Unicode MS" w:hAnsi="Arial Unicode MS"/>
      <w:lang w:val="ru-RU"/>
    </w:rPr>
  </w:style>
  <w:style w:type="paragraph" w:styleId="a4">
    <w:name w:val="footer"/>
    <w:basedOn w:val="a"/>
    <w:link w:val="a5"/>
    <w:uiPriority w:val="99"/>
    <w:semiHidden/>
    <w:unhideWhenUsed/>
    <w:rsid w:val="00C23A16"/>
    <w:pPr>
      <w:tabs>
        <w:tab w:val="center" w:pos="4819"/>
        <w:tab w:val="right" w:pos="9639"/>
      </w:tabs>
    </w:pPr>
  </w:style>
  <w:style w:type="character" w:customStyle="1" w:styleId="a5">
    <w:name w:val="Нижний колонтитул Знак"/>
    <w:basedOn w:val="a0"/>
    <w:link w:val="a4"/>
    <w:uiPriority w:val="99"/>
    <w:semiHidden/>
    <w:rsid w:val="00C23A16"/>
    <w:rPr>
      <w:rFonts w:ascii="Times New Roman" w:eastAsia="Times New Roman" w:hAnsi="Times New Roman" w:cs="Times New Roman"/>
      <w:sz w:val="24"/>
      <w:szCs w:val="24"/>
      <w:lang w:val="uk-UA" w:eastAsia="ru-RU"/>
    </w:rPr>
  </w:style>
  <w:style w:type="paragraph" w:styleId="a6">
    <w:name w:val="Body Text Indent"/>
    <w:basedOn w:val="a"/>
    <w:link w:val="a7"/>
    <w:semiHidden/>
    <w:unhideWhenUsed/>
    <w:rsid w:val="00C23A16"/>
    <w:pPr>
      <w:spacing w:after="120"/>
      <w:ind w:left="283"/>
    </w:pPr>
    <w:rPr>
      <w:lang w:eastAsia="uk-UA"/>
    </w:rPr>
  </w:style>
  <w:style w:type="character" w:customStyle="1" w:styleId="a7">
    <w:name w:val="Основной текст с отступом Знак"/>
    <w:basedOn w:val="a0"/>
    <w:link w:val="a6"/>
    <w:semiHidden/>
    <w:rsid w:val="00C23A16"/>
    <w:rPr>
      <w:rFonts w:ascii="Times New Roman" w:eastAsia="Times New Roman" w:hAnsi="Times New Roman" w:cs="Times New Roman"/>
      <w:sz w:val="24"/>
      <w:szCs w:val="24"/>
      <w:lang w:val="uk-UA" w:eastAsia="uk-UA"/>
    </w:rPr>
  </w:style>
  <w:style w:type="paragraph" w:styleId="2">
    <w:name w:val="Body Text 2"/>
    <w:basedOn w:val="a"/>
    <w:link w:val="20"/>
    <w:semiHidden/>
    <w:unhideWhenUsed/>
    <w:rsid w:val="00C23A16"/>
    <w:pPr>
      <w:jc w:val="both"/>
    </w:pPr>
  </w:style>
  <w:style w:type="character" w:customStyle="1" w:styleId="20">
    <w:name w:val="Основной текст 2 Знак"/>
    <w:basedOn w:val="a0"/>
    <w:link w:val="2"/>
    <w:semiHidden/>
    <w:rsid w:val="00C23A16"/>
    <w:rPr>
      <w:rFonts w:ascii="Times New Roman" w:eastAsia="Times New Roman" w:hAnsi="Times New Roman" w:cs="Times New Roman"/>
      <w:sz w:val="24"/>
      <w:szCs w:val="24"/>
      <w:lang w:val="uk-UA" w:eastAsia="ru-RU"/>
    </w:rPr>
  </w:style>
  <w:style w:type="paragraph" w:styleId="3">
    <w:name w:val="Body Text Indent 3"/>
    <w:basedOn w:val="a"/>
    <w:link w:val="30"/>
    <w:semiHidden/>
    <w:unhideWhenUsed/>
    <w:rsid w:val="00C23A16"/>
    <w:pPr>
      <w:ind w:firstLine="708"/>
      <w:jc w:val="both"/>
    </w:pPr>
    <w:rPr>
      <w:sz w:val="28"/>
      <w:szCs w:val="22"/>
    </w:rPr>
  </w:style>
  <w:style w:type="character" w:customStyle="1" w:styleId="30">
    <w:name w:val="Основной текст с отступом 3 Знак"/>
    <w:basedOn w:val="a0"/>
    <w:link w:val="3"/>
    <w:semiHidden/>
    <w:rsid w:val="00C23A16"/>
    <w:rPr>
      <w:rFonts w:ascii="Times New Roman" w:eastAsia="Times New Roman" w:hAnsi="Times New Roman" w:cs="Times New Roman"/>
      <w:sz w:val="28"/>
      <w:lang w:val="uk-UA" w:eastAsia="ru-RU"/>
    </w:rPr>
  </w:style>
  <w:style w:type="paragraph" w:customStyle="1" w:styleId="a8">
    <w:name w:val="Знак Знак Знак Знак Знак Знак Знак Знак Знак Знак Знак Знак Знак"/>
    <w:basedOn w:val="a"/>
    <w:rsid w:val="00C23A16"/>
    <w:rPr>
      <w:rFonts w:ascii="Verdana" w:hAnsi="Verdana" w:cs="Verdana"/>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12950</Words>
  <Characters>7383</Characters>
  <Application>Microsoft Office Word</Application>
  <DocSecurity>0</DocSecurity>
  <Lines>61</Lines>
  <Paragraphs>40</Paragraphs>
  <ScaleCrop>false</ScaleCrop>
  <Company>Microsoft</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1</cp:revision>
  <dcterms:created xsi:type="dcterms:W3CDTF">2021-04-27T12:37:00Z</dcterms:created>
  <dcterms:modified xsi:type="dcterms:W3CDTF">2021-04-27T12:37:00Z</dcterms:modified>
</cp:coreProperties>
</file>