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FF" w:rsidRDefault="009803FF" w:rsidP="009803FF">
      <w:pPr>
        <w:pStyle w:val="a3"/>
        <w:shd w:val="clear" w:color="auto" w:fill="FFFFFF"/>
        <w:spacing w:before="0" w:beforeAutospacing="0" w:after="120" w:afterAutospacing="0"/>
        <w:textAlignment w:val="baseline"/>
        <w:rPr>
          <w:rStyle w:val="a4"/>
          <w:b w:val="0"/>
          <w:bCs w:val="0"/>
          <w:color w:val="212529"/>
          <w:bdr w:val="none" w:sz="0" w:space="0" w:color="auto" w:frame="1"/>
        </w:rPr>
      </w:pPr>
    </w:p>
    <w:p w:rsidR="009803FF" w:rsidRDefault="009803FF" w:rsidP="009803FF">
      <w:pPr>
        <w:pStyle w:val="a3"/>
        <w:shd w:val="clear" w:color="auto" w:fill="FFFFFF"/>
        <w:spacing w:before="0" w:beforeAutospacing="0" w:after="0" w:afterAutospacing="0"/>
        <w:ind w:left="6372"/>
        <w:textAlignment w:val="baseline"/>
        <w:rPr>
          <w:rStyle w:val="a4"/>
          <w:b w:val="0"/>
          <w:bCs w:val="0"/>
          <w:color w:val="212529"/>
          <w:bdr w:val="none" w:sz="0" w:space="0" w:color="auto" w:frame="1"/>
        </w:rPr>
      </w:pPr>
      <w:bookmarkStart w:id="0" w:name="_GoBack"/>
      <w:bookmarkEnd w:id="0"/>
      <w:r>
        <w:rPr>
          <w:rStyle w:val="a4"/>
          <w:b w:val="0"/>
          <w:bCs w:val="0"/>
          <w:color w:val="212529"/>
          <w:bdr w:val="none" w:sz="0" w:space="0" w:color="auto" w:frame="1"/>
        </w:rPr>
        <w:t xml:space="preserve">Додаток до рішення виконавчого комітету </w:t>
      </w:r>
    </w:p>
    <w:p w:rsidR="009803FF" w:rsidRDefault="009803FF" w:rsidP="009803FF">
      <w:pPr>
        <w:pStyle w:val="a3"/>
        <w:shd w:val="clear" w:color="auto" w:fill="FFFFFF"/>
        <w:spacing w:before="0" w:beforeAutospacing="0" w:after="0" w:afterAutospacing="0"/>
        <w:ind w:left="6372"/>
        <w:textAlignment w:val="baseline"/>
        <w:rPr>
          <w:rStyle w:val="a4"/>
          <w:b w:val="0"/>
          <w:bCs w:val="0"/>
          <w:color w:val="212529"/>
          <w:bdr w:val="none" w:sz="0" w:space="0" w:color="auto" w:frame="1"/>
        </w:rPr>
      </w:pPr>
      <w:r>
        <w:rPr>
          <w:rStyle w:val="a4"/>
          <w:b w:val="0"/>
          <w:bCs w:val="0"/>
          <w:color w:val="212529"/>
          <w:bdr w:val="none" w:sz="0" w:space="0" w:color="auto" w:frame="1"/>
        </w:rPr>
        <w:t>№717 від 23.09.2020р.</w:t>
      </w:r>
    </w:p>
    <w:p w:rsidR="009803FF" w:rsidRDefault="009803FF" w:rsidP="009803FF">
      <w:pPr>
        <w:pStyle w:val="a3"/>
        <w:shd w:val="clear" w:color="auto" w:fill="FFFFFF"/>
        <w:spacing w:before="0" w:beforeAutospacing="0" w:after="0" w:afterAutospacing="0"/>
        <w:textAlignment w:val="baseline"/>
        <w:rPr>
          <w:rStyle w:val="a4"/>
          <w:color w:val="212529"/>
          <w:bdr w:val="none" w:sz="0" w:space="0" w:color="auto" w:frame="1"/>
        </w:rPr>
      </w:pPr>
    </w:p>
    <w:p w:rsidR="009803FF" w:rsidRDefault="009803FF" w:rsidP="009803FF">
      <w:pPr>
        <w:pStyle w:val="a3"/>
        <w:shd w:val="clear" w:color="auto" w:fill="FFFFFF"/>
        <w:spacing w:before="0" w:beforeAutospacing="0" w:after="120" w:afterAutospacing="0"/>
        <w:textAlignment w:val="baseline"/>
        <w:rPr>
          <w:rStyle w:val="a4"/>
          <w:color w:val="212529"/>
          <w:bdr w:val="none" w:sz="0" w:space="0" w:color="auto" w:frame="1"/>
        </w:rPr>
      </w:pPr>
    </w:p>
    <w:p w:rsidR="009803FF" w:rsidRDefault="009803FF" w:rsidP="009803FF">
      <w:pPr>
        <w:pStyle w:val="a3"/>
        <w:shd w:val="clear" w:color="auto" w:fill="FFFFFF"/>
        <w:spacing w:before="0" w:beforeAutospacing="0" w:after="120" w:afterAutospacing="0"/>
        <w:jc w:val="center"/>
        <w:textAlignment w:val="baseline"/>
      </w:pPr>
      <w:r>
        <w:rPr>
          <w:rStyle w:val="a4"/>
          <w:color w:val="212529"/>
          <w:bdr w:val="none" w:sz="0" w:space="0" w:color="auto" w:frame="1"/>
        </w:rPr>
        <w:t>ПОЛОЖЕННЯ</w:t>
      </w:r>
      <w:r>
        <w:rPr>
          <w:color w:val="212529"/>
        </w:rPr>
        <w:br/>
      </w:r>
      <w:r>
        <w:rPr>
          <w:rStyle w:val="a4"/>
          <w:color w:val="212529"/>
          <w:bdr w:val="none" w:sz="0" w:space="0" w:color="auto" w:frame="1"/>
        </w:rPr>
        <w:t>про громадський простір в Тернопільській міській територіальній громаді та участь жителів громади в його плануванні.</w:t>
      </w:r>
    </w:p>
    <w:p w:rsidR="009803FF" w:rsidRDefault="009803FF" w:rsidP="009803FF">
      <w:pPr>
        <w:pStyle w:val="a3"/>
        <w:shd w:val="clear" w:color="auto" w:fill="FFFFFF"/>
        <w:spacing w:before="0" w:beforeAutospacing="0" w:after="120" w:afterAutospacing="0"/>
        <w:jc w:val="both"/>
        <w:textAlignment w:val="baseline"/>
      </w:pPr>
      <w:r>
        <w:rPr>
          <w:color w:val="212529"/>
        </w:rPr>
        <w:t>Це положення визначає загальні засади створення громадських просторів та порядок участі жителів Тернопільської міської територіальної громади під час підготовки завдань на їх проектування та розроблення проектів шляхом проведення публічних консультацій та врахування пропозицій жителів громади.</w:t>
      </w:r>
    </w:p>
    <w:p w:rsidR="009803FF" w:rsidRDefault="009803FF" w:rsidP="009803FF">
      <w:pPr>
        <w:pStyle w:val="a3"/>
        <w:shd w:val="clear" w:color="auto" w:fill="FFFFFF"/>
        <w:spacing w:before="0" w:beforeAutospacing="0" w:after="120" w:afterAutospacing="0"/>
        <w:jc w:val="both"/>
        <w:textAlignment w:val="baseline"/>
        <w:rPr>
          <w:color w:val="212529"/>
        </w:rPr>
      </w:pPr>
      <w:r>
        <w:rPr>
          <w:rStyle w:val="a4"/>
          <w:color w:val="212529"/>
          <w:bdr w:val="none" w:sz="0" w:space="0" w:color="auto" w:frame="1"/>
        </w:rPr>
        <w:t>Загальні засади формування громадських просторів</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Громадський простір – це складова простору в межах населеного пункту, яка є відкритою та доступною для всіх її користувачів, що також включає території загального користування, визначені відповідно до містобудівної документації, а також будівлі і споруди, які знаходяться у комунальній власності, спеціально призначені для використання необмеженим колом осіб з метою проведення комунікацій, дозвілля, рекреації, проведення масових заходів, організації пішохідних потоків тощо.</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Громадський простір створюється громадою з метою забезпечення можливостей для відпочинку, реалізації комунікативного потенціалу, задоволення соціальних та суспільних потреб, сталого та гармонійного розвитку її територій.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До громадського простору відносяться також:</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пам’ятки культурної та історичної спадщини;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будівлі і споруди, які знаходяться у комунальній власності, спеціально призначені для використання необмеженим колом осіб з метою проведення комунікацій, дозвілля, рекреації, масових заходів, організації пішохідних потоків тощо;</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майдани, площі, бульвари, проспекти;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вулиці, дороги, провулки, узвози, проїзди, пішохідні та велосипедні доріжки;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пляжі;</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кладовища;</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8) інші території загального користування (у тому числі приватні за ініціативи власника);</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Громадський простір створюється за наступними принципами: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врахування потреб різних соціальних груп населення та заінтересованих сторін;</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доступність, рівність та інклюзивний підхід у праві використання для всіх верств населення;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пріоритетність пішохідного руху;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обов`язкова інфраструктура для задоволення базових потреб (громадські вбиральні, питна вода тощо);</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результатом створеного громадського простору має бути забезпечення реалізації його комунікативної, соціальної, суспільної та інших пов’язаних функцій;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6) міська рада визначає основні цілі та пріоритети міста, які входять до стратегії чи програми розвитку громадських просторів на основі єдиного системного підходу при плануванні громадських просторів;</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жителі громади можуть бути залучені до процесу планування громадського простору на етапі розроблення концепції до затвердження завдання на проектування та розроблення проекту;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8) чітке розміщення та можливість ведення підприємницької діяльності у визначених проектом місцях із відповідною інженерною інфраструктурою;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9) чітке позначення простору та розмежування від приватних територій (прибудинкові території, двори тощо) в місті;</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10) наявність у балансоутримувача проектної (планувальної) документації, що регламентує функціонування громадського простору (проектна документація, комплексні схеми, правила використання та догляду за територією тощо);</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11) громадський простір має бути доступним, безпечним, чистим, естетичним, багатофункціональним, комфортним;</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12) робоча група залучається на всіх етапах планування громадського простору до введення об’єкту в експлуатацію;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13) робота над громадським простором повинна бути прозорою, відкритою, публічною та підзвітною, зокрема, проектні матеріали мають бути опубліковані на сайті органу місцевого самоврядування.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Планування громадського простору – це системна процедура (послідовність дій, кроків), що включає в себе процеси з підготовки завдання на проектування та розроблення проекту, що в кінцевому результаті призведе до створення громадського простору, в тому числі в частині його функціонального призначення.</w:t>
      </w:r>
    </w:p>
    <w:p w:rsidR="009803FF" w:rsidRDefault="009803FF" w:rsidP="009803FF">
      <w:pPr>
        <w:pStyle w:val="a3"/>
        <w:shd w:val="clear" w:color="auto" w:fill="FFFFFF"/>
        <w:spacing w:before="0" w:beforeAutospacing="0" w:after="120" w:afterAutospacing="0"/>
        <w:jc w:val="both"/>
        <w:textAlignment w:val="baseline"/>
        <w:rPr>
          <w:color w:val="212529"/>
        </w:rPr>
      </w:pPr>
      <w:r>
        <w:rPr>
          <w:rStyle w:val="a4"/>
          <w:color w:val="212529"/>
          <w:bdr w:val="none" w:sz="0" w:space="0" w:color="auto" w:frame="1"/>
        </w:rPr>
        <w:t>Порядок організації та проведення публічних консультацій з жителями громади щодо планування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Публічні консультації щодо планування громадського простору (далі – публічні консультації) проводяться з метою врахування інтересів жителів громади, потреб різних соціальних груп населення та заінтересованих сторін під час створення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Ініціаторами публічних консультацій можуть бути: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структурні підрозділи Тернопільської міської ради, виконавчий комітет Тернопільської міської ради відповідальні за створення громадських просторів, організацію благоустрою, створення проектів окремих об’єктів містобудування, організацію діяльності закладів та установ культурного, освітнього, молодіжного, комунікаційного спрямування в Тернопільській міській територіальній  громаді (далі - відповідальний структурний підрозділ);</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інститути громадянського суспільства, які відповідно до відомостей єдиного державного реєстру, зареєстровані на території громади;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жителі Тернопільської міської територіальної громади;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власники територій, на яких планується створення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8. Під інститутами громадянського суспільства у цьому Положенні розуміються громадські об’єднання, благодійні організації, професійні спілки, їх об’єднання та інші неприбуткові організації – юридичні особи приватного права, легалізовані відповідно до законодавства, та місцезнаходження яких зареєстровано на території Тернопільської міської територіальної громади.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9. Публічні консультації організовуються відповідальним структурним підрозділом та поділяються на два типи: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1) збір пропозицій від громадськості – це отримання письмових та електронних пропозицій (за допомогою сервісу «Електронні консультації») щодо планування громадського простору від жителів громади. Відповідно до отриманих пропозицій готується завдання на проектування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збір пропозиції за участі робочої групи – це порядок, який включає в себе створення робочої групи для організації процесу публічних консультацій, збір пропозицій (відповідно до першого типу публічних консультацій) та наступне проведення публічного заходу (-</w:t>
      </w:r>
      <w:proofErr w:type="spellStart"/>
      <w:r>
        <w:rPr>
          <w:color w:val="212529"/>
        </w:rPr>
        <w:t>ів</w:t>
      </w:r>
      <w:proofErr w:type="spellEnd"/>
      <w:r>
        <w:rPr>
          <w:color w:val="212529"/>
        </w:rPr>
        <w:t xml:space="preserve">) (громадські слухання, круглий стіл, </w:t>
      </w:r>
      <w:proofErr w:type="spellStart"/>
      <w:r>
        <w:rPr>
          <w:color w:val="212529"/>
        </w:rPr>
        <w:t>воркшоп</w:t>
      </w:r>
      <w:proofErr w:type="spellEnd"/>
      <w:r>
        <w:rPr>
          <w:color w:val="212529"/>
        </w:rPr>
        <w:t xml:space="preserve"> тощо), під час якого презентуються зібрані пропозиції жителів громади та результати опитування (у випадку його проведення), а також проводиться їх обговорення та збираються повторно пропозиції, відповідно до яких приймаються остаточні рішення щодо їх врахування. Відповідно до врахованих пропозицій готується завдання на проектування та розробляється проект. Відповідальний структурний підрозділ самостійно визначає тип необхідних консультацій на основі рекомендацій ініціатора.</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10. Публічні консультації проводяться у випадку надходження письмових звернень відносно одного й того ж громадського простору не менше ніж від десяти інститутів громадянського суспільства, які діють у межах Тернопільської міської територіальної громади. При цьому в письмовому зверненні подається обґрунтування необхідності проведення публічних консультацій, а до самого звернення додається відповідний протокол загальних зборів. До протоколу додається список осіб, присутніх на загальних зборах інституту громадянського суспільства. У списку зазначається прізвище, ім’я та по батькові особи, дата та рік народження, адреса реєстрації та особистий підпис.</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11. Жителі територіальної громади можуть ініціювати публічні консультації щодо всіх форм громадських просторів шляхом збору 300 підписів повнолітніх дієздатних фізичних осіб, які зареєстровані на території громади, у письмовому зверненні або за допомогою спеціальних електронних сервісів для збору підписів (наприклад, «Електронних петицій»).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12. Повідомлення про проведення публічних консультацій щодо планування громадського простору подається міському голові у вигляді письмового звернення, оформленого відповідно до вимог, передбачених Законом України “Про звернення громадян”.</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13. У письмовому зверненні зазначаються: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інформація щодо необхідності проведення публічних консультацій з вказанням місця розташування майбутнього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прізвища, імена і по батькові, адреси реєстрації та контакти членів ініціативної групи чи ініціатора;</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прізвище, ім’я та по батькові підписантів, дата та рік народження, адреса реєстрації та особистий підпис.</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14. Для організації процесу публічних консультацій за участі робочої групи відповідальний структурний підрозділ готує розпорядження міського голови про створення робочої групи з планування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15. В робочу групу з планування громадського простору входять:</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не більше 5 представників профільних структурних підрозділів виконавчого комітету Тернопільської міської ради, відповідальних за створення громадських просторів, організацію благоустрою, створення проектів окремих об’єктів містобудування, організацію діяльності закладів та установ культурного, освітнього, молодіжного, комунікаційного спрямування в Тернопільській міській територіальній громаді;</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представник балансоутримувача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 2 представники координаційної ради у справах осіб з інвалідністю;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2 представники молодіжної ради;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не більше 3 представників інститутів громадянського суспільства, якщо вони виступають ініціаторами публічних консультацій (по одному від кожного з інститутів громадянського суспільства, що виступає ініціатором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xml:space="preserve">– не більше 5 представників Тернопільської міської територіальної громади (крім представників інститутів громадянського суспільства та ініціативної групи) за умови їх письмового або електронного звернення до відповідального структурного підрозділу. У випадку надходження більше </w:t>
      </w:r>
      <w:proofErr w:type="spellStart"/>
      <w:r>
        <w:rPr>
          <w:color w:val="212529"/>
        </w:rPr>
        <w:t>пяти</w:t>
      </w:r>
      <w:proofErr w:type="spellEnd"/>
      <w:r>
        <w:rPr>
          <w:color w:val="212529"/>
        </w:rPr>
        <w:t xml:space="preserve"> звернень від представників Тернопільської міської територіальної громади проводиться відкрите жеребкування. Про час і місце проведення жеребкування повідомляється не пізніше ніж за 1 добу до його проведення.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16. Робоча група працює у формі засідань. Рішення на засіданні робочої групи ухвалюються більшістю членів від присутніх та враховуються відповідальними структурними підрозділами міської ради під час планування громадського простору. Міський голова та депутати ради можуть брати участь в засіданнях робочої групи з правом дорадчого голосу. Робоча група діє на постійній основі до моменту прийняття громадського простору на баланс балансоутримувачем.</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xml:space="preserve">17. Для проведення публічного заходу можливе можуть залучитися </w:t>
      </w:r>
      <w:proofErr w:type="spellStart"/>
      <w:r>
        <w:rPr>
          <w:color w:val="212529"/>
        </w:rPr>
        <w:t>фахівціта</w:t>
      </w:r>
      <w:proofErr w:type="spellEnd"/>
      <w:r>
        <w:rPr>
          <w:color w:val="212529"/>
        </w:rPr>
        <w:t xml:space="preserve"> інші спеціалісти у сфері колективного розв’язання проблем.</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18. Інформаційне повідомлення про проведення публічних консультацій має містити: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найменування Ради, відповідального структурного підрозділу, інформацію про керівника відповідального структурного підрозділу та ініціатора, який ініціює публічні консультації, відомості про склад робочої групи з планування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інформацію про мету публічних консультацій, а також посилання на опублікований на офіційному веб-сайті Тернопільської міської ради акт про проведення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основні техніко-економічні показники, зокрема графічні матеріали, що стосуються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інформацію про соціальні групи населення та заінтересовані сторони, на яких впливає створення громадського простору;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відомості про строки збору електронних пропозицій, а також посилання на електронні консультації;</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адреса, строк і форма подання письмових пропозицій та зауважень;</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відомості про місце і час проведення публічного заходу (у випадку другого типу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8) прізвище, ім’я контактної особи з числа членів робочої групи;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9) строк і спосіб оприлюднення результатів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19. Збір пропозицій на всіх етапах публічних консультацій здійснюється шляхом отримання від жителів громади у письмовій та електронній формі, а також висловлення усних пропозицій під час проведення публічних заходів.</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20. Жителі громади подають пропозиції і зауваження у письмовій формі на ім’я керівника відповідального структурного підрозділу, який проводить консультації. Керівник відповідального структурного підрозділу передає пропозиції на розгляд робочій групі з планування громадського простору (у випадку другого типу публічних консультацій). Анонімні пропозиції не реєструються і не розглядаються.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21. Публічні консультації першого типу щодо планування громадського простору проводяться в такому порядку: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 xml:space="preserve">1) Підготовка відповідальним структурним підрозділом розпорядження про проведення публічних </w:t>
      </w:r>
      <w:proofErr w:type="spellStart"/>
      <w:r>
        <w:rPr>
          <w:color w:val="212529"/>
        </w:rPr>
        <w:t>консультаційта</w:t>
      </w:r>
      <w:proofErr w:type="spellEnd"/>
      <w:r>
        <w:rPr>
          <w:color w:val="212529"/>
        </w:rPr>
        <w:t xml:space="preserve"> його підписання міським головою;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Оприлюднення відповідальним структурним підрозділом не пізніш як за 5 днів після підписання міським головою розпорядження про проведення публічних консультацій відповідного інформаційного повідомлення на офіційному веб-сайті Тернопільської міської ради та в інший прийнятний спосіб;</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Публікація відповідальним структурним підрозділом інформації для проведення публічних консультацій на офіційному веб-сайті Тернопільської міської ради та за допомогою сервісу «Е-консультації»;</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Збір та аналіз відповідальним структурним підрозділом пропозицій, які надійшли у письмовій та електронній формі від заінтересованих осіб;</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Аналіз відповідальним структурним підрозділом отриманих пропозицій;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Врахування результатів консультацій під час прийняття остаточного рішення відповідальним структурним підрозділом;</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Формування та оприлюднення відповідальним структурним підрозділом або іншою уповноваженою особою результатів консультацій на офіційному веб-сайті Тернопільської міської ради, в розділі «Участь громадськості».</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22. Публічні консультації другого типу щодо планування громадського простору проводяться в такому порядку: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Оприлюднення повідомлення про формування робочої групи з планування громадського простору на офіційному веб-сайті Тернопільської міської ради та про можливість участі в робочій групі жителів Тернопільської міської територіальної громади за умови письмового або електронного звернення;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Підписання не пізніш як через10 робочих днів розпорядження міського голови про проведення публічних консультацій та затвердження складу робочої групи з планування громадського простору після оприлюднення повідомлення на офіційному веб-сайті Тернопільської міської ради про формування робочої групи;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 Розроблення плану заходів робочою групою з організації та проведення консультацій, опитування (за потреби);</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Вжиття заходів робочою групою для забезпечення залучення жителів, користувачів, суб’єктів господарювання, а також інститутів громадянського суспільства до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Оприлюднення робочою групою не пізніш як через 5 днів після підписання міським головою розпорядження про проведення публічних консультацій відповідного інформаційного повідомлення на офіційному веб-сайті Тернопільської міської ради та в інший прийнятний спосіб;</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Публікація робочою групою інформації для проведення публічних консультацій відповідно в розділі «Участь громадськості» на офіційному веб-сайті Тернопільської міської ради та за допомогою сервісу «Е- консультації»;</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7) Збір та аналіз робочою групою пропозицій, які надійшли у письмовій та електронній формі від заінтересованих осіб;</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8) Проведення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 а також обговорюються нові пропозиції, що надійшли під час заходу щодо підготовки завдання.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9) Аналіз робочою групою отриманих пропозицій;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10) Врахування результатів консультацій під час прийняття остаточного рішення робочою групою;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11) Формування та оприлюднення відповідальним структурним підрозділом результатів консультацій на офіційному веб-сайті Тернопільської міської ради, в розділі «Участь громадськості».</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xml:space="preserve">23. За результатами консультацій </w:t>
      </w:r>
      <w:r>
        <w:rPr>
          <w:bCs/>
          <w:color w:val="212529"/>
        </w:rPr>
        <w:t xml:space="preserve">готується остаточне </w:t>
      </w:r>
      <w:proofErr w:type="spellStart"/>
      <w:r>
        <w:rPr>
          <w:bCs/>
          <w:color w:val="212529"/>
        </w:rPr>
        <w:t>завдання</w:t>
      </w:r>
      <w:r>
        <w:rPr>
          <w:color w:val="212529"/>
        </w:rPr>
        <w:t>на</w:t>
      </w:r>
      <w:proofErr w:type="spellEnd"/>
      <w:r>
        <w:rPr>
          <w:color w:val="212529"/>
        </w:rPr>
        <w:t xml:space="preserve"> проектування громадського простору. </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24. Публічні консультації розпочинаються з дня оприлюднення інформаційного повідомлення про проведення консультацій. Строк проведення публічних консультацій визначається відповідальним структурним підрозділом або створеною робочою групою, але не може бути меншим за 14 робочих днів.</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25. Пропозиції від учасників публічних консультацій, що надійшли в письмовому форматі та на сервісі «Е-консультації», із зазначенням імені автора або назви організації, що подала пропозицію, оприлюднюються на офіційному сайті ради не пізніше 3 робочих днів з дня надходження.</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26. Пропозиції жителів громади що надійшли у письмовій формі та з сервісу «Е- консультацій» щодо підготовки завдання на проектування громадського простору розглядаються відповідальним структурним підрозділом та робочою групою не більше 10 робочих днів, з моменту закінчення строку збору пропозицій. При проведенні публічних консультацій першого типу автору пропозицій надається обґрунтована письмова відповідь про врахування чи неврахування їхніх пропозицій. При проведенні публічних консультацій другого типу автору пропозицій надається письмова відповідь з інформацією про дату, час та місце проведення публічного заходу з планування громадського простору, де буде розглядатися його пропозиція. При потребі автори пропозицій повідомляються про захід за допомогою технічних засобів електрозв’язку.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27. Публічний захід з обговорення пропозицій, що надійшли від жителів громади проводиться протягом 3 робочих днів, з моменту закінчення строку розгляду пропозицій відповідальним структурним підрозділом та робочою групою.</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28. За потреби робоча група може провести додатково кілька публічних заходів. При цьому проміжок часу відведений для проведення публічних заходів не може перевищувати 20 робочих днів з моменту закінчення строку розгляду пропозицій відповідальним структурним підрозділом та робочою групою. За необхідності окремим розпорядженням міського голови термін, відведений для публічних консультацій, може бути продовжено.</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29. Під час проведення публічних заходів у рамках публічних консультацій робочою групою з планування громадського простору ведеться протокол, у якому фіксуються висловлені в усній формі пропозиції та зауваження.</w:t>
      </w:r>
    </w:p>
    <w:p w:rsidR="009803FF" w:rsidRDefault="009803FF" w:rsidP="009803FF">
      <w:pPr>
        <w:pStyle w:val="a3"/>
        <w:shd w:val="clear" w:color="auto" w:fill="FFFFFF"/>
        <w:spacing w:before="0" w:beforeAutospacing="0" w:after="120" w:afterAutospacing="0"/>
        <w:jc w:val="both"/>
        <w:textAlignment w:val="baseline"/>
        <w:rPr>
          <w:color w:val="212529"/>
          <w:lang w:val="ru-RU"/>
        </w:rPr>
      </w:pPr>
      <w:r>
        <w:rPr>
          <w:color w:val="212529"/>
        </w:rPr>
        <w:t>30. Всі пропозиції та зауваження, що надійшли протягом проведення консультацій, протоколи публічних заходів оприлюднюються на офіційному веб-сайті Тернопільської міської ради в розділі «Участь громадськості».</w:t>
      </w:r>
      <w:r>
        <w:t xml:space="preserve"> За результатами публічних консультацій </w:t>
      </w:r>
      <w:proofErr w:type="spellStart"/>
      <w:r>
        <w:t>щодо</w:t>
      </w:r>
      <w:r>
        <w:rPr>
          <w:bCs/>
          <w:color w:val="212529"/>
        </w:rPr>
        <w:t>підготовки</w:t>
      </w:r>
      <w:proofErr w:type="spellEnd"/>
      <w:r>
        <w:rPr>
          <w:bCs/>
          <w:color w:val="212529"/>
        </w:rPr>
        <w:t xml:space="preserve"> завдання на проектування громадського простору готується звіт протягом 15 робочих</w:t>
      </w:r>
      <w:r>
        <w:rPr>
          <w:color w:val="212529"/>
        </w:rPr>
        <w:t xml:space="preserve"> днів з моменту завершення збору пропозицій у випадку публічних консультацій першого типу або проведення останнього публічного заходу – у випадку публічних консультацій другого типу. В звіті зазначається інформація про всі заходи, проведені в рамках публічних консультацій, а саме:</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1) найменування Ради, відповідального структурного підрозділу, інформація про ініціатора публічних консультацій, склад робочої групи з планування громадського простору, які проводили консультації (у випадку публічних консультацій другого типу);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2) зміст питання, що було подане на публічні консультації;</w:t>
      </w:r>
      <w:r>
        <w:rPr>
          <w:color w:val="212529"/>
        </w:rPr>
        <w:br/>
        <w:t>3) інформація про осіб, що взяли участь в консультаціях (у випадку публічних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lastRenderedPageBreak/>
        <w:t>другого типу);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4) інформація про пропозиції, що надійшли за результатами обговорення, із зазначенням імені автора кожної пропозиції;</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5) інформація про врахування пропозицій та зауважень з обов’язковим обґрунтуванням прийнятого рішення та причин відхилення пропозицій та зауважень;</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6) остаточний варіант завдання на проектування громадського простору, розробленого та ухваленого робочою групою за результатами консультацій.</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32. Звіт про результати публічних консультацій оприлюднюється на офіційному веб-сайті в розділі «Участь громадськості» не пізніше 17 робочих днів з моменту завершення збору пропозицій у випадку публічних консультацій першого типу або проведення останнього публічного заходу – у випадку публічних консультацій другого типу.</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xml:space="preserve">33. Результати проведення публічних консультацій враховуються Радою, її виконавчими органами під час підготовки завдання на проектування громадського простору. </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 xml:space="preserve">34. Робоча група здійснює постійний контроль за дотриманням завдання на проектування громадського простору та при необхідності подає пропозиції відповідній організації, що розробляє проект, та відповідальному структурному підрозділу. </w:t>
      </w:r>
    </w:p>
    <w:p w:rsidR="009803FF" w:rsidRDefault="009803FF" w:rsidP="009803FF">
      <w:pPr>
        <w:pStyle w:val="a3"/>
        <w:shd w:val="clear" w:color="auto" w:fill="FFFFFF"/>
        <w:spacing w:before="0" w:beforeAutospacing="0" w:after="120" w:afterAutospacing="0"/>
        <w:jc w:val="both"/>
        <w:textAlignment w:val="baseline"/>
        <w:rPr>
          <w:color w:val="212529"/>
        </w:rPr>
      </w:pPr>
      <w:r>
        <w:rPr>
          <w:color w:val="212529"/>
        </w:rPr>
        <w:t>35. Проекти з планування громадських просторів, що пройшли публічні консультації і по яких розроблено проектно-кошторисну документацію, є пріоритетними для фінансування в міському бюджеті Тернопільської міської територіальної громади на наступний календарний рік в межах видатків, передбачених відповідальними структурними підрозділами на створення громадських просторів та організацію благоустрою.</w:t>
      </w:r>
    </w:p>
    <w:p w:rsidR="009803FF" w:rsidRDefault="009803FF" w:rsidP="009803FF">
      <w:pPr>
        <w:spacing w:after="120" w:line="240" w:lineRule="auto"/>
        <w:jc w:val="both"/>
        <w:rPr>
          <w:rFonts w:ascii="Times New Roman" w:hAnsi="Times New Roman" w:cs="Times New Roman"/>
          <w:sz w:val="24"/>
          <w:szCs w:val="24"/>
        </w:rPr>
      </w:pPr>
    </w:p>
    <w:p w:rsidR="009803FF" w:rsidRDefault="009803FF" w:rsidP="009803FF">
      <w:pPr>
        <w:spacing w:after="120" w:line="240" w:lineRule="auto"/>
        <w:jc w:val="both"/>
        <w:rPr>
          <w:rFonts w:ascii="Times New Roman" w:hAnsi="Times New Roman" w:cs="Times New Roman"/>
          <w:sz w:val="24"/>
          <w:szCs w:val="24"/>
        </w:rPr>
      </w:pPr>
    </w:p>
    <w:p w:rsidR="009803FF" w:rsidRDefault="009803FF" w:rsidP="009803FF">
      <w:pPr>
        <w:spacing w:after="120" w:line="240" w:lineRule="auto"/>
        <w:jc w:val="both"/>
        <w:rPr>
          <w:rFonts w:ascii="Times New Roman" w:hAnsi="Times New Roman" w:cs="Times New Roman"/>
          <w:sz w:val="24"/>
          <w:szCs w:val="24"/>
        </w:rPr>
      </w:pPr>
    </w:p>
    <w:p w:rsidR="009803FF" w:rsidRDefault="009803FF" w:rsidP="009803FF">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Міський голова                                                                                        </w:t>
      </w:r>
      <w:proofErr w:type="spellStart"/>
      <w:r>
        <w:rPr>
          <w:rFonts w:ascii="Times New Roman" w:hAnsi="Times New Roman" w:cs="Times New Roman"/>
          <w:b/>
          <w:bCs/>
          <w:sz w:val="24"/>
          <w:szCs w:val="24"/>
        </w:rPr>
        <w:t>С.В.Надал</w:t>
      </w:r>
      <w:proofErr w:type="spellEnd"/>
    </w:p>
    <w:p w:rsidR="00ED2514" w:rsidRDefault="00ED2514"/>
    <w:sectPr w:rsidR="00ED25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FF"/>
    <w:rsid w:val="004C07A6"/>
    <w:rsid w:val="009803FF"/>
    <w:rsid w:val="00ED2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F64"/>
  <w15:docId w15:val="{37FCA28E-A6D9-4F46-A07B-D0941C86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0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2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13207</Words>
  <Characters>7528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d01-Zvarych</cp:lastModifiedBy>
  <cp:revision>2</cp:revision>
  <dcterms:created xsi:type="dcterms:W3CDTF">2020-09-28T13:30:00Z</dcterms:created>
  <dcterms:modified xsi:type="dcterms:W3CDTF">2020-09-28T13:30:00Z</dcterms:modified>
</cp:coreProperties>
</file>