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B8" w:rsidRDefault="00A210B8" w:rsidP="00A210B8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10B8" w:rsidRDefault="00A210B8" w:rsidP="00A210B8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10B8" w:rsidRDefault="00A210B8" w:rsidP="00A210B8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10B8" w:rsidRDefault="00A210B8" w:rsidP="00A210B8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10B8" w:rsidRDefault="00A210B8" w:rsidP="00A210B8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ДОГОВІР</w:t>
      </w:r>
    </w:p>
    <w:p w:rsidR="00A210B8" w:rsidRDefault="00A210B8" w:rsidP="00A210B8">
      <w:pPr>
        <w:pStyle w:val="a3"/>
        <w:spacing w:after="0" w:line="240" w:lineRule="auto"/>
        <w:ind w:firstLine="14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міжбюджетний трансферт на 2020 рік</w:t>
      </w:r>
    </w:p>
    <w:p w:rsidR="00A210B8" w:rsidRDefault="00A210B8" w:rsidP="00A210B8">
      <w:pPr>
        <w:pStyle w:val="a3"/>
        <w:spacing w:after="0" w:line="240" w:lineRule="auto"/>
        <w:ind w:firstLine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A210B8" w:rsidRDefault="00A210B8" w:rsidP="00A210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«___» _________ 2020 р.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210B8" w:rsidRDefault="00A210B8" w:rsidP="00A210B8">
      <w:pPr>
        <w:pStyle w:val="a3"/>
        <w:spacing w:after="0" w:line="240" w:lineRule="auto"/>
        <w:ind w:right="139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Тернопільська міська рада в особі міського голови Надала Сергія Віталійовича, який діє на підставі Закону України “Про місцеве самоврядування в Україні”, з однієї сторони та Байковецька сільська рада в особі сільського голови Кулика  Анатолія Романовича, який діє на підставі Закону України “Про місцеве самоврядування в Україні”, з другої сторони (надалі спільно іменовано – Сторони), відповідно до 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атей 93, 101  Бюджетного кодексу України уклали цей Договір про наступне:</w:t>
      </w:r>
    </w:p>
    <w:p w:rsidR="00A210B8" w:rsidRDefault="00A210B8" w:rsidP="00A210B8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Предмет Договору</w:t>
      </w:r>
    </w:p>
    <w:p w:rsidR="00A210B8" w:rsidRDefault="00A210B8" w:rsidP="00A210B8">
      <w:pPr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1.1 Байковецька сільська рада передбачає в сільському бюджеті на 2020 рік передачу коштів у вигляді міжбюджетного трансферту місцевому бюджету Тернопільської міської територіальної громади на відшкодування вартості придбаних медикаментів для хворих на цукровий та нецукровий діабет мешканців Байковецької об’єднаної територіальної громади.</w:t>
      </w:r>
    </w:p>
    <w:p w:rsidR="00A210B8" w:rsidRDefault="00A210B8" w:rsidP="00A210B8">
      <w:pPr>
        <w:pStyle w:val="a3"/>
        <w:tabs>
          <w:tab w:val="left" w:pos="7740"/>
        </w:tabs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Права та обов’язки Сторін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Тернопільської міської ради зобов’язується здійснювати відшкодування вартості придбаних медикаментів для хворих осіб Байковецької об’єднаної територіальної громади, при умові передачі Байковецькою сільською радою міжбюджетного трансферту місцевому бюджету Тернопільської міської територіальної громади.</w:t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Байковецька сільська рада зобов’язується забезпечити оплату отриманих послуг шляхом здійснення міжбюджетного трансферту.</w:t>
      </w:r>
    </w:p>
    <w:p w:rsidR="00A210B8" w:rsidRDefault="00A210B8" w:rsidP="00A210B8">
      <w:pPr>
        <w:pStyle w:val="a3"/>
        <w:spacing w:after="0" w:line="240" w:lineRule="auto"/>
        <w:ind w:firstLine="30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Порядок передачі видатків</w:t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Передача видатків здійснюється відповідно до статей  93,  101 Бюджетного кодексу України шляхом затвердження Байковецькою сільською радою на 2020 рік міжбюджетного трансферту місцевому бюджету Тернопільської міської територіальної громади в сумі 219 000 грн. (Двісті дев’ятнадцять тисяч  грн.) 00 коп. </w:t>
      </w:r>
    </w:p>
    <w:p w:rsidR="00A210B8" w:rsidRDefault="00A210B8" w:rsidP="00A210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Порядок перерахування і використання отриманих коштів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Перерахування коштів здійснюється впродовж 2020 року у таких обсягах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Вересень 54 750,00 (п’ятдесят чотири тисячі сімсот п’ятдесят) грн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Жовтень 54 750,00 (п’ятдесят чотири тисячі сімсот п’ятдесят) грн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  54 750,00 (п’ятдесят чотири тисячі сімсот п’ятдесят) грн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Грудень </w:t>
      </w:r>
      <w:r>
        <w:rPr>
          <w:rFonts w:ascii="Times New Roman" w:hAnsi="Times New Roman" w:cs="Times New Roman"/>
          <w:sz w:val="28"/>
          <w:szCs w:val="28"/>
          <w:lang w:val="uk-UA"/>
        </w:rPr>
        <w:t>54 750,00 (п’ятдесят чотири тисячі сімсот п’ятдесят) грн.</w:t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Кошти перераховується щомісячно, не пізніше 15 числа наступного місяця (крім грудня) відповідно до розпису загального фонду бюджету на рахунок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загального фонду місцевого бюджету Тернопільської міської територіальної громади, відкритого в управлінні Державної  казначейської служби України у Тернопільської  області в м. Тернополі.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Взаєморозрахунки між місцевим бюджетом Тернопільської міської територіальної громади та сільським бюджетом Байковецької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 за грудень поточного року, що випливають з умов, визначених абзацом першого цього підпункту, здійснюються не пізніше 10 грудня 2020 року.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Кошти спрямовується головному розпоряднику коштів на фінансування закладів охорони здоров’я  м.Тернополя за надані медичні послуги  мешканцям територіальної громади, згідно поданих ними розрахунків.</w:t>
      </w:r>
    </w:p>
    <w:p w:rsidR="00A210B8" w:rsidRDefault="00A210B8" w:rsidP="00A210B8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Інші умови</w:t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5.1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За невиконання або неналежне виконання умов Договору  Сторони  несуть відповідальність, передбачену чинним законодавством.</w:t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5.2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Внесення змін до Договору може здійснюватися лише за письмовою згодою обох Сторін.</w:t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5.3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Одностороння відмова від Договору не допускається, за винятком випадків, коли  одна із Сторін порушує умови Договору і взяті за ним зобов’язання.</w:t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5.4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Усі  спори та розбіжності,  що можуть виникнути при виконанні Договору, підлягають вирішенню шляхом  проведення переговорів між Сторонами.</w:t>
      </w:r>
    </w:p>
    <w:p w:rsidR="00A210B8" w:rsidRDefault="00A210B8" w:rsidP="00A210B8">
      <w:pPr>
        <w:pStyle w:val="a3"/>
        <w:tabs>
          <w:tab w:val="left" w:pos="993"/>
        </w:tabs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5.5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У випадку неможливості вирішення спорів шляхом переговорів, вони підлягають розгляду і вирішенню в судовому порядку.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5.6 Даний Договір укладено у двох  примірниках, кожен з яких має однакову юридичну силу. Один примірних Договору зберігається у </w:t>
      </w:r>
      <w:r>
        <w:rPr>
          <w:rFonts w:ascii="Times New Roman" w:hAnsi="Times New Roman" w:cs="Times New Roman"/>
          <w:sz w:val="28"/>
          <w:szCs w:val="28"/>
          <w:lang w:val="uk-UA"/>
        </w:rPr>
        <w:t>Байковецькій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сільській раді, другий – у Тернопільській міській раді.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5.7. Даний Договір вступає в силу з дня його підписання обома Сторонами і діє по 31 грудня 2020 року.</w:t>
      </w:r>
    </w:p>
    <w:p w:rsidR="00A210B8" w:rsidRDefault="00A210B8" w:rsidP="00A210B8">
      <w:pPr>
        <w:pStyle w:val="a3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A210B8" w:rsidRDefault="00A210B8" w:rsidP="00A210B8">
      <w:pPr>
        <w:pStyle w:val="a3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Юридична адреса та реквізити Сторін: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  <w:gridCol w:w="4927"/>
      </w:tblGrid>
      <w:tr w:rsidR="00A210B8" w:rsidTr="00A210B8">
        <w:trPr>
          <w:trHeight w:val="3918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8" w:rsidRDefault="00A210B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Байковецька сільська рада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47711, Тернопільська обл., 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р-н, 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Байківці, 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Січових Стрільців,43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р/р _________________________________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___________________________________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КОД04394846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 А.Р.Кулик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«___» _________________ 2020 р.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8" w:rsidRDefault="00A210B8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Тернопільська міська рада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46000, 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46000,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Тернопіль, 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Листопадова,5 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р/р ________________________________ 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в__________________________________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34334305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____________________ С.В.Надал</w:t>
            </w: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210B8" w:rsidRDefault="00A210B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«___» _________________ 2020 р.</w:t>
            </w:r>
          </w:p>
        </w:tc>
      </w:tr>
    </w:tbl>
    <w:p w:rsidR="00A210B8" w:rsidRDefault="00A210B8" w:rsidP="00A210B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000" w:rsidRDefault="00A210B8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210B8"/>
    <w:rsid w:val="00A2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10B8"/>
    <w:pPr>
      <w:spacing w:after="22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210B8"/>
    <w:rPr>
      <w:rFonts w:ascii="Arial" w:eastAsia="Times New Roman" w:hAnsi="Arial" w:cs="Arial"/>
      <w:spacing w:val="-5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2820</Words>
  <Characters>1608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2020-09-30T13:55:00Z</dcterms:created>
  <dcterms:modified xsi:type="dcterms:W3CDTF">2020-09-30T13:55:00Z</dcterms:modified>
</cp:coreProperties>
</file>