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79" w:rsidRPr="002B2779" w:rsidRDefault="002B2779" w:rsidP="002B2779">
      <w:pPr>
        <w:spacing w:after="0" w:line="240" w:lineRule="auto"/>
        <w:ind w:right="-81" w:firstLine="539"/>
        <w:jc w:val="right"/>
        <w:rPr>
          <w:rFonts w:ascii="Times New Roman" w:hAnsi="Times New Roman" w:cs="Times New Roman"/>
          <w:b/>
          <w:sz w:val="24"/>
          <w:szCs w:val="24"/>
        </w:rPr>
      </w:pPr>
    </w:p>
    <w:p w:rsidR="002B2779" w:rsidRPr="002B2779" w:rsidRDefault="002B2779" w:rsidP="002B2779">
      <w:pPr>
        <w:spacing w:after="0" w:line="240" w:lineRule="auto"/>
        <w:ind w:right="-81" w:firstLine="539"/>
        <w:jc w:val="right"/>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r w:rsidRPr="002B2779">
        <w:rPr>
          <w:rFonts w:ascii="Times New Roman" w:hAnsi="Times New Roman" w:cs="Times New Roman"/>
          <w:b/>
          <w:sz w:val="24"/>
          <w:szCs w:val="24"/>
        </w:rPr>
        <w:t xml:space="preserve">ПЛАН  РОЗВИТКУ </w:t>
      </w:r>
    </w:p>
    <w:p w:rsidR="002B2779" w:rsidRPr="002B2779" w:rsidRDefault="002B2779" w:rsidP="002B2779">
      <w:pPr>
        <w:spacing w:after="0" w:line="240" w:lineRule="auto"/>
        <w:ind w:right="-81" w:firstLine="539"/>
        <w:jc w:val="center"/>
        <w:rPr>
          <w:rFonts w:ascii="Times New Roman" w:hAnsi="Times New Roman" w:cs="Times New Roman"/>
          <w:b/>
          <w:sz w:val="24"/>
          <w:szCs w:val="24"/>
        </w:rPr>
      </w:pPr>
      <w:r w:rsidRPr="002B2779">
        <w:rPr>
          <w:rFonts w:ascii="Times New Roman" w:hAnsi="Times New Roman" w:cs="Times New Roman"/>
          <w:b/>
          <w:sz w:val="24"/>
          <w:szCs w:val="24"/>
        </w:rPr>
        <w:t>комунального некомерційного підприємства «Тернопільська стоматологічна поліклініка» Тернопільської міської ради</w:t>
      </w: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r w:rsidRPr="002B2779">
        <w:rPr>
          <w:rFonts w:ascii="Times New Roman" w:hAnsi="Times New Roman" w:cs="Times New Roman"/>
          <w:b/>
          <w:sz w:val="24"/>
          <w:szCs w:val="24"/>
        </w:rPr>
        <w:t>Тернопіль 2020р.</w:t>
      </w: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right="-81" w:firstLine="539"/>
        <w:jc w:val="center"/>
        <w:rPr>
          <w:rFonts w:ascii="Times New Roman" w:hAnsi="Times New Roman" w:cs="Times New Roman"/>
          <w:b/>
          <w:sz w:val="24"/>
          <w:szCs w:val="24"/>
        </w:rPr>
      </w:pPr>
    </w:p>
    <w:p w:rsidR="002B2779" w:rsidRPr="002B2779" w:rsidRDefault="002B2779" w:rsidP="002B2779">
      <w:pPr>
        <w:spacing w:after="0" w:line="240" w:lineRule="auto"/>
        <w:ind w:left="360"/>
        <w:jc w:val="center"/>
        <w:rPr>
          <w:rFonts w:ascii="Times New Roman" w:hAnsi="Times New Roman" w:cs="Times New Roman"/>
          <w:b/>
          <w:sz w:val="24"/>
          <w:szCs w:val="24"/>
          <w:lang w:val="ru-RU"/>
        </w:rPr>
      </w:pPr>
      <w:r w:rsidRPr="002B2779">
        <w:rPr>
          <w:rFonts w:ascii="Times New Roman" w:hAnsi="Times New Roman" w:cs="Times New Roman"/>
          <w:b/>
          <w:sz w:val="24"/>
          <w:szCs w:val="24"/>
          <w:lang w:val="en-US"/>
        </w:rPr>
        <w:lastRenderedPageBreak/>
        <w:t>I</w:t>
      </w:r>
      <w:r w:rsidRPr="002B2779">
        <w:rPr>
          <w:rFonts w:ascii="Times New Roman" w:hAnsi="Times New Roman" w:cs="Times New Roman"/>
          <w:b/>
          <w:sz w:val="24"/>
          <w:szCs w:val="24"/>
        </w:rPr>
        <w:t>. Описова частина</w:t>
      </w:r>
    </w:p>
    <w:p w:rsidR="002B2779" w:rsidRPr="002B2779" w:rsidRDefault="002B2779" w:rsidP="002B2779">
      <w:pPr>
        <w:spacing w:after="0" w:line="240" w:lineRule="auto"/>
        <w:ind w:left="568"/>
        <w:rPr>
          <w:rFonts w:ascii="Times New Roman" w:hAnsi="Times New Roman" w:cs="Times New Roman"/>
          <w:b/>
          <w:sz w:val="24"/>
          <w:szCs w:val="24"/>
        </w:rPr>
      </w:pPr>
      <w:proofErr w:type="gramStart"/>
      <w:r w:rsidRPr="002B2779">
        <w:rPr>
          <w:rFonts w:ascii="Times New Roman" w:hAnsi="Times New Roman" w:cs="Times New Roman"/>
          <w:b/>
          <w:sz w:val="24"/>
          <w:szCs w:val="24"/>
          <w:lang w:val="en-US"/>
        </w:rPr>
        <w:t>I</w:t>
      </w:r>
      <w:r w:rsidRPr="002B2779">
        <w:rPr>
          <w:rFonts w:ascii="Times New Roman" w:hAnsi="Times New Roman" w:cs="Times New Roman"/>
          <w:b/>
          <w:sz w:val="24"/>
          <w:szCs w:val="24"/>
        </w:rPr>
        <w:t>.</w:t>
      </w:r>
      <w:r w:rsidRPr="002B2779">
        <w:rPr>
          <w:rFonts w:ascii="Times New Roman" w:hAnsi="Times New Roman" w:cs="Times New Roman"/>
          <w:b/>
          <w:sz w:val="24"/>
          <w:szCs w:val="24"/>
          <w:lang w:val="en-US"/>
        </w:rPr>
        <w:t>I</w:t>
      </w:r>
      <w:r w:rsidRPr="002B2779">
        <w:rPr>
          <w:rFonts w:ascii="Times New Roman" w:hAnsi="Times New Roman" w:cs="Times New Roman"/>
          <w:b/>
          <w:sz w:val="24"/>
          <w:szCs w:val="24"/>
        </w:rPr>
        <w:t>. Аналітична довідка.</w:t>
      </w:r>
      <w:proofErr w:type="gramEnd"/>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КНП «Тернопільська стоматологічна поліклініка»  ТМР  є закладом охорони здоров’я,  який діє у відповідності до законодавства України  про охорону здоров’я та Статуту підприємства. Підприємство складається з трьох підрозділів: госпрозрахункове лікувальне відділення платних послуг№1, госпрозрахункове лікувальне відділення платних послуг №2, госпрозрахункове ортопедичне відділення платних послуг, кабінет надання допомоги пільговим категоріям населення. Загальна кількість працівників 116 осіб, з яких: лікарів - 40 осіб, сестер медичних – 19 осіб, молодших сестер  медичних – 14 осіб.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Станом на сьогодні з НСЗУ укладено наступні договори про медичне обслуговування населення за програмою медичних гарантій Договір  №2045-Е420-Р000 від 30.04.2020 р. і Договір № 4832-Е920-Р000 від 30.09.2020 р. Надання ургентної стоматологічної допомоги дорослим.</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Зона обслуговування: </w:t>
      </w:r>
      <w:proofErr w:type="spellStart"/>
      <w:r w:rsidRPr="002B2779">
        <w:rPr>
          <w:rFonts w:ascii="Times New Roman" w:hAnsi="Times New Roman" w:cs="Times New Roman"/>
          <w:sz w:val="24"/>
          <w:szCs w:val="24"/>
        </w:rPr>
        <w:t>м.Тернопіль</w:t>
      </w:r>
      <w:proofErr w:type="spellEnd"/>
      <w:r w:rsidRPr="002B2779">
        <w:rPr>
          <w:rFonts w:ascii="Times New Roman" w:hAnsi="Times New Roman" w:cs="Times New Roman"/>
          <w:sz w:val="24"/>
          <w:szCs w:val="24"/>
        </w:rPr>
        <w:t>, 221820 жителів, об’єднана Тернопільська територіальна громада  224364 особи.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b/>
          <w:sz w:val="24"/>
          <w:szCs w:val="24"/>
        </w:rPr>
        <w:t xml:space="preserve">              Основні показники роботи  за  2018-2020 рр</w:t>
      </w: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Проліковано хворих у 2018 році – 49902, пролікованих хворих у 2019 році -27181, за 6 місяців 2020 р. – 6566 (у зв’язку з карантином через епідемію COVID-19).  </w:t>
      </w:r>
    </w:p>
    <w:p w:rsidR="002B2779" w:rsidRPr="002B2779" w:rsidRDefault="002B2779" w:rsidP="002B2779">
      <w:pPr>
        <w:spacing w:after="0" w:line="240" w:lineRule="auto"/>
        <w:ind w:left="142" w:hanging="426"/>
        <w:jc w:val="both"/>
        <w:rPr>
          <w:rFonts w:ascii="Times New Roman" w:hAnsi="Times New Roman" w:cs="Times New Roman"/>
          <w:b/>
          <w:sz w:val="24"/>
          <w:szCs w:val="24"/>
        </w:rPr>
      </w:pPr>
      <w:r w:rsidRPr="002B2779">
        <w:rPr>
          <w:rFonts w:ascii="Times New Roman" w:hAnsi="Times New Roman" w:cs="Times New Roman"/>
          <w:b/>
          <w:sz w:val="24"/>
          <w:szCs w:val="24"/>
        </w:rPr>
        <w:t xml:space="preserve">               2. Програма організаційно-управлінських змін.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2.1. Актуальна інформація про адміністрацію з коротким резюме керівників:</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керівник підприємства – директор </w:t>
      </w:r>
      <w:proofErr w:type="spellStart"/>
      <w:r w:rsidRPr="002B2779">
        <w:rPr>
          <w:rFonts w:ascii="Times New Roman" w:hAnsi="Times New Roman" w:cs="Times New Roman"/>
          <w:sz w:val="24"/>
          <w:szCs w:val="24"/>
        </w:rPr>
        <w:t>Нищота</w:t>
      </w:r>
      <w:proofErr w:type="spellEnd"/>
      <w:r w:rsidRPr="002B2779">
        <w:rPr>
          <w:rFonts w:ascii="Times New Roman" w:hAnsi="Times New Roman" w:cs="Times New Roman"/>
          <w:sz w:val="24"/>
          <w:szCs w:val="24"/>
        </w:rPr>
        <w:t xml:space="preserve"> Андрій Юрійович, 1982 </w:t>
      </w:r>
      <w:proofErr w:type="spellStart"/>
      <w:r w:rsidRPr="002B2779">
        <w:rPr>
          <w:rFonts w:ascii="Times New Roman" w:hAnsi="Times New Roman" w:cs="Times New Roman"/>
          <w:sz w:val="24"/>
          <w:szCs w:val="24"/>
        </w:rPr>
        <w:t>р.н</w:t>
      </w:r>
      <w:proofErr w:type="spellEnd"/>
      <w:r w:rsidRPr="002B2779">
        <w:rPr>
          <w:rFonts w:ascii="Times New Roman" w:hAnsi="Times New Roman" w:cs="Times New Roman"/>
          <w:sz w:val="24"/>
          <w:szCs w:val="24"/>
        </w:rPr>
        <w:t xml:space="preserve">.,   освіта вища. У 2004 році закінчив Львівський національний медичний університет </w:t>
      </w:r>
      <w:proofErr w:type="spellStart"/>
      <w:r w:rsidRPr="002B2779">
        <w:rPr>
          <w:rFonts w:ascii="Times New Roman" w:hAnsi="Times New Roman" w:cs="Times New Roman"/>
          <w:sz w:val="24"/>
          <w:szCs w:val="24"/>
        </w:rPr>
        <w:t>ім.Д.Галицького</w:t>
      </w:r>
      <w:proofErr w:type="spellEnd"/>
      <w:r w:rsidRPr="002B2779">
        <w:rPr>
          <w:rFonts w:ascii="Times New Roman" w:hAnsi="Times New Roman" w:cs="Times New Roman"/>
          <w:sz w:val="24"/>
          <w:szCs w:val="24"/>
        </w:rPr>
        <w:t xml:space="preserve"> за спеціальність «Стоматологія». У 2014 році закінчив Львівський інститут післядипломної освіти та </w:t>
      </w:r>
      <w:proofErr w:type="spellStart"/>
      <w:r w:rsidRPr="002B2779">
        <w:rPr>
          <w:rFonts w:ascii="Times New Roman" w:hAnsi="Times New Roman" w:cs="Times New Roman"/>
          <w:sz w:val="24"/>
          <w:szCs w:val="24"/>
        </w:rPr>
        <w:t>доуніверситетської</w:t>
      </w:r>
      <w:proofErr w:type="spellEnd"/>
      <w:r w:rsidRPr="002B2779">
        <w:rPr>
          <w:rFonts w:ascii="Times New Roman" w:hAnsi="Times New Roman" w:cs="Times New Roman"/>
          <w:sz w:val="24"/>
          <w:szCs w:val="24"/>
        </w:rPr>
        <w:t xml:space="preserve"> підготовки Львівського національного університету </w:t>
      </w:r>
      <w:proofErr w:type="spellStart"/>
      <w:r w:rsidRPr="002B2779">
        <w:rPr>
          <w:rFonts w:ascii="Times New Roman" w:hAnsi="Times New Roman" w:cs="Times New Roman"/>
          <w:sz w:val="24"/>
          <w:szCs w:val="24"/>
        </w:rPr>
        <w:t>ім.І.Франка</w:t>
      </w:r>
      <w:proofErr w:type="spellEnd"/>
      <w:r w:rsidRPr="002B2779">
        <w:rPr>
          <w:rFonts w:ascii="Times New Roman" w:hAnsi="Times New Roman" w:cs="Times New Roman"/>
          <w:sz w:val="24"/>
          <w:szCs w:val="24"/>
        </w:rPr>
        <w:t xml:space="preserve"> за спеціальність «Правознавство», спеціалізація «Правове забезпечення господарської діяльності». </w:t>
      </w:r>
      <w:proofErr w:type="spellStart"/>
      <w:r w:rsidRPr="002B2779">
        <w:rPr>
          <w:rFonts w:ascii="Times New Roman" w:hAnsi="Times New Roman" w:cs="Times New Roman"/>
          <w:sz w:val="24"/>
          <w:szCs w:val="24"/>
        </w:rPr>
        <w:t>Нищота</w:t>
      </w:r>
      <w:proofErr w:type="spellEnd"/>
      <w:r w:rsidRPr="002B2779">
        <w:rPr>
          <w:rFonts w:ascii="Times New Roman" w:hAnsi="Times New Roman" w:cs="Times New Roman"/>
          <w:sz w:val="24"/>
          <w:szCs w:val="24"/>
        </w:rPr>
        <w:t xml:space="preserve"> А.Ю. </w:t>
      </w:r>
      <w:proofErr w:type="spellStart"/>
      <w:r w:rsidRPr="002B2779">
        <w:rPr>
          <w:rFonts w:ascii="Times New Roman" w:hAnsi="Times New Roman" w:cs="Times New Roman"/>
          <w:sz w:val="24"/>
          <w:szCs w:val="24"/>
        </w:rPr>
        <w:t>працюва</w:t>
      </w:r>
      <w:proofErr w:type="spellEnd"/>
      <w:r w:rsidRPr="002B2779">
        <w:rPr>
          <w:rFonts w:ascii="Times New Roman" w:hAnsi="Times New Roman" w:cs="Times New Roman"/>
          <w:sz w:val="24"/>
          <w:szCs w:val="24"/>
        </w:rPr>
        <w:t xml:space="preserve"> на посаді лікаря-стоматолога ортопеда з 02.08.2005 р., наказ № 81. Розпорядженням міського голови №236-К від 15.07.2020 року призначений на посаду директора КНП «ТСП»ТМР.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2.2. Розроблення та впровадження  ефективної структури управління.</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З метою оптимізації  виробничого процесу було проведено скорочення ряду посад, які не є необхідними в організації лікувального процесу, або життєзабезпечення підприємства в. т.ч. посада заступника директора з медичних питань, 5  лікарів, 1 сестра медична та троє працівників ГЧ.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2.3. Розроблення та підписання Колективного Договору.</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Колективний Договір був укладений 27.05.2019 року.  Передбачається  перегляд Договору і внесення змін у зв’язку з переходом на відрядну оплату праці.</w:t>
      </w:r>
    </w:p>
    <w:p w:rsidR="002B2779" w:rsidRPr="002B2779" w:rsidRDefault="002B2779" w:rsidP="002B2779">
      <w:pPr>
        <w:spacing w:after="0" w:line="240" w:lineRule="auto"/>
        <w:ind w:left="142" w:hanging="426"/>
        <w:jc w:val="both"/>
        <w:rPr>
          <w:rFonts w:ascii="Times New Roman" w:hAnsi="Times New Roman" w:cs="Times New Roman"/>
          <w:b/>
          <w:sz w:val="24"/>
          <w:szCs w:val="24"/>
        </w:rPr>
      </w:pPr>
      <w:r w:rsidRPr="002B2779">
        <w:rPr>
          <w:rFonts w:ascii="Times New Roman" w:hAnsi="Times New Roman" w:cs="Times New Roman"/>
          <w:b/>
          <w:sz w:val="24"/>
          <w:szCs w:val="24"/>
        </w:rPr>
        <w:t xml:space="preserve">                  3. Програма фінансово-економічної діяльності.</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b/>
          <w:sz w:val="24"/>
          <w:szCs w:val="24"/>
        </w:rPr>
        <w:t xml:space="preserve"> </w:t>
      </w:r>
      <w:r w:rsidRPr="002B2779">
        <w:rPr>
          <w:rFonts w:ascii="Times New Roman" w:hAnsi="Times New Roman" w:cs="Times New Roman"/>
          <w:sz w:val="24"/>
          <w:szCs w:val="24"/>
        </w:rPr>
        <w:t xml:space="preserve">    </w:t>
      </w:r>
      <w:r w:rsidRPr="002B2779">
        <w:rPr>
          <w:rFonts w:ascii="Times New Roman" w:hAnsi="Times New Roman" w:cs="Times New Roman"/>
          <w:b/>
          <w:sz w:val="24"/>
          <w:szCs w:val="24"/>
        </w:rPr>
        <w:t xml:space="preserve">  </w:t>
      </w:r>
      <w:r w:rsidRPr="002B2779">
        <w:rPr>
          <w:rFonts w:ascii="Times New Roman" w:hAnsi="Times New Roman" w:cs="Times New Roman"/>
          <w:sz w:val="24"/>
          <w:szCs w:val="24"/>
        </w:rPr>
        <w:t xml:space="preserve">3.1. Оцінка стану фінансування </w:t>
      </w:r>
      <w:proofErr w:type="spellStart"/>
      <w:r w:rsidRPr="002B2779">
        <w:rPr>
          <w:rFonts w:ascii="Times New Roman" w:hAnsi="Times New Roman" w:cs="Times New Roman"/>
          <w:sz w:val="24"/>
          <w:szCs w:val="24"/>
        </w:rPr>
        <w:t>ЗОЗ</w:t>
      </w:r>
      <w:proofErr w:type="spellEnd"/>
      <w:r w:rsidRPr="002B2779">
        <w:rPr>
          <w:rFonts w:ascii="Times New Roman" w:hAnsi="Times New Roman" w:cs="Times New Roman"/>
          <w:sz w:val="24"/>
          <w:szCs w:val="24"/>
        </w:rPr>
        <w:t xml:space="preserve"> за поточний і попередні два роки: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2018 р. – 6038700 грн. – кошти державної субвенції;</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2776069 грн. - кошти місцевого бюджету;</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2019 р. – 8243202 грн. – кошти державної субвенції;</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1549020 грн. – кошти місцевого бюджету;</w:t>
      </w:r>
    </w:p>
    <w:p w:rsidR="002B2779" w:rsidRPr="002B2779" w:rsidRDefault="002B2779" w:rsidP="002B2779">
      <w:pPr>
        <w:spacing w:after="0" w:line="240" w:lineRule="auto"/>
        <w:ind w:left="142" w:hanging="426"/>
        <w:jc w:val="both"/>
        <w:rPr>
          <w:rFonts w:ascii="Times New Roman" w:hAnsi="Times New Roman" w:cs="Times New Roman"/>
          <w:sz w:val="24"/>
          <w:szCs w:val="24"/>
        </w:rPr>
      </w:pP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2020 р. – 1116100 грн.  - кошти державної субвенції;</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2054500 грн. -  кошти місцевого бюджету;</w:t>
      </w:r>
    </w:p>
    <w:p w:rsidR="002B2779" w:rsidRPr="002B2779" w:rsidRDefault="002B2779" w:rsidP="002B2779">
      <w:pPr>
        <w:spacing w:after="0" w:line="240" w:lineRule="auto"/>
        <w:ind w:left="142" w:hanging="426"/>
        <w:jc w:val="both"/>
        <w:rPr>
          <w:rFonts w:ascii="Times New Roman" w:hAnsi="Times New Roman" w:cs="Times New Roman"/>
          <w:sz w:val="24"/>
          <w:szCs w:val="24"/>
        </w:rPr>
      </w:pP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3.2.  Договір  НСЗУ (про медичне обслуговування населення за програмою медичних гарантій ) – 343885,68 грн. –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Надання ургентної стоматологічної допомоги дорослим із наступними захворюваннями: </w:t>
      </w:r>
    </w:p>
    <w:p w:rsidR="002B2779" w:rsidRPr="002B2779" w:rsidRDefault="002B2779" w:rsidP="002B2779">
      <w:pPr>
        <w:pStyle w:val="1"/>
        <w:numPr>
          <w:ilvl w:val="0"/>
          <w:numId w:val="1"/>
        </w:numPr>
        <w:spacing w:after="0" w:line="240" w:lineRule="auto"/>
        <w:jc w:val="both"/>
        <w:rPr>
          <w:rFonts w:ascii="Times New Roman" w:hAnsi="Times New Roman"/>
          <w:sz w:val="24"/>
          <w:szCs w:val="24"/>
        </w:rPr>
      </w:pPr>
      <w:proofErr w:type="spellStart"/>
      <w:r w:rsidRPr="002B2779">
        <w:rPr>
          <w:rFonts w:ascii="Times New Roman" w:hAnsi="Times New Roman"/>
          <w:sz w:val="24"/>
          <w:szCs w:val="24"/>
        </w:rPr>
        <w:t>пульпі</w:t>
      </w:r>
      <w:proofErr w:type="gramStart"/>
      <w:r w:rsidRPr="002B2779">
        <w:rPr>
          <w:rFonts w:ascii="Times New Roman" w:hAnsi="Times New Roman"/>
          <w:sz w:val="24"/>
          <w:szCs w:val="24"/>
        </w:rPr>
        <w:t>т</w:t>
      </w:r>
      <w:proofErr w:type="spellEnd"/>
      <w:proofErr w:type="gramEnd"/>
      <w:r w:rsidRPr="002B2779">
        <w:rPr>
          <w:rFonts w:ascii="Times New Roman" w:hAnsi="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 xml:space="preserve">гострі та загострені </w:t>
      </w:r>
      <w:proofErr w:type="spellStart"/>
      <w:r w:rsidRPr="002B2779">
        <w:rPr>
          <w:rFonts w:ascii="Times New Roman" w:hAnsi="Times New Roman" w:cs="Times New Roman"/>
          <w:sz w:val="24"/>
          <w:szCs w:val="24"/>
        </w:rPr>
        <w:t>періодонтити</w:t>
      </w:r>
      <w:proofErr w:type="spellEnd"/>
      <w:r w:rsidRPr="002B2779">
        <w:rPr>
          <w:rFonts w:ascii="Times New Roman" w:hAnsi="Times New Roman" w:cs="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хімічні опіки слизової оболонки порожнини рота;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lastRenderedPageBreak/>
        <w:t xml:space="preserve">виразково-некротичний стоматит </w:t>
      </w:r>
      <w:proofErr w:type="spellStart"/>
      <w:r w:rsidRPr="002B2779">
        <w:rPr>
          <w:rFonts w:ascii="Times New Roman" w:hAnsi="Times New Roman" w:cs="Times New Roman"/>
          <w:sz w:val="24"/>
          <w:szCs w:val="24"/>
        </w:rPr>
        <w:t>Венсана</w:t>
      </w:r>
      <w:proofErr w:type="spellEnd"/>
      <w:r w:rsidRPr="002B2779">
        <w:rPr>
          <w:rFonts w:ascii="Times New Roman" w:hAnsi="Times New Roman" w:cs="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герпетичний</w:t>
      </w:r>
      <w:proofErr w:type="spellEnd"/>
      <w:r w:rsidRPr="002B2779">
        <w:rPr>
          <w:rFonts w:ascii="Times New Roman" w:hAnsi="Times New Roman" w:cs="Times New Roman"/>
          <w:sz w:val="24"/>
          <w:szCs w:val="24"/>
        </w:rPr>
        <w:t xml:space="preserve"> </w:t>
      </w:r>
      <w:proofErr w:type="spellStart"/>
      <w:r w:rsidRPr="002B2779">
        <w:rPr>
          <w:rFonts w:ascii="Times New Roman" w:hAnsi="Times New Roman" w:cs="Times New Roman"/>
          <w:sz w:val="24"/>
          <w:szCs w:val="24"/>
        </w:rPr>
        <w:t>гінгіво-стоматит</w:t>
      </w:r>
      <w:proofErr w:type="spellEnd"/>
      <w:r w:rsidRPr="002B2779">
        <w:rPr>
          <w:rFonts w:ascii="Times New Roman" w:hAnsi="Times New Roman" w:cs="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багатоформна</w:t>
      </w:r>
      <w:proofErr w:type="spellEnd"/>
      <w:r w:rsidRPr="002B2779">
        <w:rPr>
          <w:rFonts w:ascii="Times New Roman" w:hAnsi="Times New Roman" w:cs="Times New Roman"/>
          <w:sz w:val="24"/>
          <w:szCs w:val="24"/>
        </w:rPr>
        <w:t xml:space="preserve"> ексудативна еритема;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перикоронарит</w:t>
      </w:r>
      <w:proofErr w:type="spellEnd"/>
      <w:r w:rsidRPr="002B2779">
        <w:rPr>
          <w:rFonts w:ascii="Times New Roman" w:hAnsi="Times New Roman" w:cs="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паріостит</w:t>
      </w:r>
      <w:proofErr w:type="spellEnd"/>
      <w:r w:rsidRPr="002B2779">
        <w:rPr>
          <w:rFonts w:ascii="Times New Roman" w:hAnsi="Times New Roman" w:cs="Times New Roman"/>
          <w:sz w:val="24"/>
          <w:szCs w:val="24"/>
        </w:rPr>
        <w:t>;</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альвеоліт</w:t>
      </w:r>
      <w:proofErr w:type="spellEnd"/>
      <w:r w:rsidRPr="002B2779">
        <w:rPr>
          <w:rFonts w:ascii="Times New Roman" w:hAnsi="Times New Roman" w:cs="Times New Roman"/>
          <w:sz w:val="24"/>
          <w:szCs w:val="24"/>
        </w:rPr>
        <w:t xml:space="preserve"> щелепи;</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proofErr w:type="spellStart"/>
      <w:r w:rsidRPr="002B2779">
        <w:rPr>
          <w:rFonts w:ascii="Times New Roman" w:hAnsi="Times New Roman" w:cs="Times New Roman"/>
          <w:sz w:val="24"/>
          <w:szCs w:val="24"/>
        </w:rPr>
        <w:t>слинокам</w:t>
      </w:r>
      <w:proofErr w:type="spellEnd"/>
      <w:r w:rsidRPr="002B2779">
        <w:rPr>
          <w:rFonts w:ascii="Times New Roman" w:hAnsi="Times New Roman" w:cs="Times New Roman"/>
          <w:sz w:val="24"/>
          <w:szCs w:val="24"/>
          <w:lang w:val="en-US"/>
        </w:rPr>
        <w:t>’</w:t>
      </w:r>
      <w:proofErr w:type="spellStart"/>
      <w:r w:rsidRPr="002B2779">
        <w:rPr>
          <w:rFonts w:ascii="Times New Roman" w:hAnsi="Times New Roman" w:cs="Times New Roman"/>
          <w:sz w:val="24"/>
          <w:szCs w:val="24"/>
        </w:rPr>
        <w:t>яна</w:t>
      </w:r>
      <w:proofErr w:type="spellEnd"/>
      <w:r w:rsidRPr="002B2779">
        <w:rPr>
          <w:rFonts w:ascii="Times New Roman" w:hAnsi="Times New Roman" w:cs="Times New Roman"/>
          <w:sz w:val="24"/>
          <w:szCs w:val="24"/>
        </w:rPr>
        <w:t xml:space="preserve"> хвороба;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перелом зуба;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вивих зуба;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невралгія трійчастого нерва;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вивих висково-нижньощелепного суглоба;</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абсцеси щелепно-лицевої ділянки;</w:t>
      </w:r>
    </w:p>
    <w:p w:rsidR="002B2779" w:rsidRPr="002B2779" w:rsidRDefault="002B2779" w:rsidP="002B2779">
      <w:pPr>
        <w:numPr>
          <w:ilvl w:val="0"/>
          <w:numId w:val="1"/>
        </w:numPr>
        <w:spacing w:after="0" w:line="240" w:lineRule="auto"/>
        <w:contextualSpacing/>
        <w:jc w:val="both"/>
        <w:rPr>
          <w:rFonts w:ascii="Times New Roman" w:hAnsi="Times New Roman" w:cs="Times New Roman"/>
          <w:sz w:val="24"/>
          <w:szCs w:val="24"/>
        </w:rPr>
      </w:pPr>
      <w:r w:rsidRPr="002B2779">
        <w:rPr>
          <w:rFonts w:ascii="Times New Roman" w:hAnsi="Times New Roman" w:cs="Times New Roman"/>
          <w:sz w:val="24"/>
          <w:szCs w:val="24"/>
        </w:rPr>
        <w:t>карбункул і фурункул щелепно-лицевої ділянки, губ, слизової оболонки порожнини рота та язика.</w:t>
      </w:r>
    </w:p>
    <w:p w:rsidR="002B2779" w:rsidRPr="002B2779" w:rsidRDefault="002B2779" w:rsidP="002B2779">
      <w:pPr>
        <w:spacing w:after="0" w:line="240" w:lineRule="auto"/>
        <w:ind w:left="142" w:hanging="426"/>
        <w:jc w:val="both"/>
        <w:rPr>
          <w:rFonts w:ascii="Times New Roman" w:hAnsi="Times New Roman" w:cs="Times New Roman"/>
          <w:sz w:val="24"/>
          <w:szCs w:val="24"/>
          <w:lang w:eastAsia="en-US"/>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lang w:eastAsia="ru-RU"/>
        </w:rPr>
      </w:pPr>
      <w:r w:rsidRPr="002B2779">
        <w:rPr>
          <w:rFonts w:ascii="Times New Roman" w:hAnsi="Times New Roman" w:cs="Times New Roman"/>
          <w:sz w:val="24"/>
          <w:szCs w:val="24"/>
        </w:rPr>
        <w:t xml:space="preserve">                            Пакет 33 (перехідне фінансове забезпечення комплексного надання медичних послуг </w:t>
      </w:r>
      <w:proofErr w:type="spellStart"/>
      <w:r w:rsidRPr="002B2779">
        <w:rPr>
          <w:rFonts w:ascii="Times New Roman" w:hAnsi="Times New Roman" w:cs="Times New Roman"/>
          <w:sz w:val="24"/>
          <w:szCs w:val="24"/>
        </w:rPr>
        <w:t>ЗОЗ</w:t>
      </w:r>
      <w:proofErr w:type="spellEnd"/>
      <w:r w:rsidRPr="002B2779">
        <w:rPr>
          <w:rFonts w:ascii="Times New Roman" w:hAnsi="Times New Roman" w:cs="Times New Roman"/>
          <w:sz w:val="24"/>
          <w:szCs w:val="24"/>
        </w:rPr>
        <w:t xml:space="preserve">, умови яких застосовуються з 01.09.2020 р  )  –            1083554  грн.  </w:t>
      </w:r>
    </w:p>
    <w:p w:rsidR="002B2779" w:rsidRPr="002B2779" w:rsidRDefault="002B2779" w:rsidP="002B2779">
      <w:pPr>
        <w:spacing w:after="0" w:line="240" w:lineRule="auto"/>
        <w:ind w:left="142" w:hanging="426"/>
        <w:jc w:val="both"/>
        <w:rPr>
          <w:rFonts w:ascii="Times New Roman" w:hAnsi="Times New Roman" w:cs="Times New Roman"/>
          <w:sz w:val="24"/>
          <w:szCs w:val="24"/>
        </w:rPr>
      </w:pP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Коштів, які надходять від  НСЗУ, вистачає лише на виплату заробітної плати лише двом лікарям. Для того, щоб підприємство могло розвиватись, фінансування має бути не меншим, ніж субвенція 2019 року (8243202 грн. на рік, 686934 грн. на місяць).  Враховуючи збільшення з 01 вересня заробітної плати на 6% фінансування має бути не менше                     Це дозволить запросити на роботу необхідних спеціалістів, закуповувати обладнання та здійснювати поточні ремонти приміщень.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3.4.  Кошти місцевого бюджету – 2054500 грн.</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3.5. Благодійні пожертви –58600 грн.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3.8. Затверджено перелік платних послуг: Наказ ВОЗ та </w:t>
      </w:r>
      <w:proofErr w:type="spellStart"/>
      <w:r w:rsidRPr="002B2779">
        <w:rPr>
          <w:rFonts w:ascii="Times New Roman" w:hAnsi="Times New Roman" w:cs="Times New Roman"/>
          <w:sz w:val="24"/>
          <w:szCs w:val="24"/>
        </w:rPr>
        <w:t>МЗ</w:t>
      </w:r>
      <w:proofErr w:type="spellEnd"/>
      <w:r w:rsidRPr="002B2779">
        <w:rPr>
          <w:rFonts w:ascii="Times New Roman" w:hAnsi="Times New Roman" w:cs="Times New Roman"/>
          <w:sz w:val="24"/>
          <w:szCs w:val="24"/>
        </w:rPr>
        <w:t xml:space="preserve"> ТМР № 140</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від 26.12.2019 р.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3.9. Планується заміна освітлювальних приладів на енергозберігаючі у лікувальних кабінетах.</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3.10.  Впровадження послуги з утилізації медичних відходів.</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3.11. На сайті підприємства у відкритому доступі знаходиться публічна інформація  з дотриманням принципу прозорості. Також робота закладу висвітлюється на сторінці у </w:t>
      </w:r>
      <w:proofErr w:type="spellStart"/>
      <w:r w:rsidRPr="002B2779">
        <w:rPr>
          <w:rFonts w:ascii="Times New Roman" w:hAnsi="Times New Roman" w:cs="Times New Roman"/>
          <w:sz w:val="24"/>
          <w:szCs w:val="24"/>
        </w:rPr>
        <w:t>Fac</w:t>
      </w:r>
      <w:r w:rsidRPr="002B2779">
        <w:rPr>
          <w:rFonts w:ascii="Times New Roman" w:hAnsi="Times New Roman" w:cs="Times New Roman"/>
          <w:sz w:val="24"/>
          <w:szCs w:val="24"/>
          <w:lang w:val="en-US"/>
        </w:rPr>
        <w:t>ebook</w:t>
      </w:r>
      <w:proofErr w:type="spellEnd"/>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b/>
          <w:sz w:val="24"/>
          <w:szCs w:val="24"/>
        </w:rPr>
      </w:pPr>
      <w:r w:rsidRPr="002B2779">
        <w:rPr>
          <w:rFonts w:ascii="Times New Roman" w:hAnsi="Times New Roman" w:cs="Times New Roman"/>
          <w:sz w:val="24"/>
          <w:szCs w:val="24"/>
        </w:rPr>
        <w:t xml:space="preserve">         </w:t>
      </w:r>
      <w:r w:rsidRPr="002B2779">
        <w:rPr>
          <w:rFonts w:ascii="Times New Roman" w:hAnsi="Times New Roman" w:cs="Times New Roman"/>
          <w:b/>
          <w:sz w:val="24"/>
          <w:szCs w:val="24"/>
        </w:rPr>
        <w:t>4. Програма управління якістю надання медичної допомоги.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b/>
          <w:sz w:val="24"/>
          <w:szCs w:val="24"/>
        </w:rPr>
        <w:t xml:space="preserve">         </w:t>
      </w:r>
      <w:r w:rsidRPr="002B2779">
        <w:rPr>
          <w:rFonts w:ascii="Times New Roman" w:hAnsi="Times New Roman" w:cs="Times New Roman"/>
          <w:sz w:val="24"/>
          <w:szCs w:val="24"/>
        </w:rPr>
        <w:t>4.1. Впровадження критеріїв та індикаторів якості надання стоматологічної допомоги: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своєчасність організації медичних заходів;</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відповідність стоматологічної допомоги (діагностичної та лікувальної) клінічним протоколам;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показник необґрунтованої діагностики з подальшою госпіталізацією;</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показник спалахів госпітальної інфекції;</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показник кількості скарг хворих;</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постійне навчання та удосконалення знань;</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відсутність обґрунтованих скарг хворих;</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4.2. Розроблення стандартів сервісного обслуговування пацієнтів при наданні стоматологічної допомоги.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створення електронного запису пацієнтів  </w:t>
      </w:r>
      <w:proofErr w:type="spellStart"/>
      <w:r w:rsidRPr="002B2779">
        <w:rPr>
          <w:rFonts w:ascii="Times New Roman" w:hAnsi="Times New Roman" w:cs="Times New Roman"/>
          <w:sz w:val="24"/>
          <w:szCs w:val="24"/>
        </w:rPr>
        <w:t>онлайн</w:t>
      </w:r>
      <w:proofErr w:type="spellEnd"/>
      <w:r w:rsidRPr="002B2779">
        <w:rPr>
          <w:rFonts w:ascii="Times New Roman" w:hAnsi="Times New Roman" w:cs="Times New Roman"/>
          <w:sz w:val="24"/>
          <w:szCs w:val="24"/>
        </w:rPr>
        <w:t xml:space="preserve"> на базі системи </w:t>
      </w:r>
      <w:proofErr w:type="spellStart"/>
      <w:r w:rsidRPr="002B2779">
        <w:rPr>
          <w:rFonts w:ascii="Times New Roman" w:hAnsi="Times New Roman" w:cs="Times New Roman"/>
          <w:sz w:val="24"/>
          <w:szCs w:val="24"/>
          <w:lang w:val="en-US"/>
        </w:rPr>
        <w:t>eHealth</w:t>
      </w:r>
      <w:proofErr w:type="spellEnd"/>
      <w:r w:rsidRPr="002B2779">
        <w:rPr>
          <w:rFonts w:ascii="Times New Roman" w:hAnsi="Times New Roman" w:cs="Times New Roman"/>
          <w:sz w:val="24"/>
          <w:szCs w:val="24"/>
        </w:rPr>
        <w:t>;</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w:t>
      </w:r>
      <w:r w:rsidRPr="002B2779">
        <w:rPr>
          <w:rFonts w:ascii="Times New Roman" w:hAnsi="Times New Roman" w:cs="Times New Roman"/>
          <w:sz w:val="24"/>
          <w:szCs w:val="24"/>
          <w:lang w:val="en-US"/>
        </w:rPr>
        <w:t>c</w:t>
      </w:r>
      <w:r w:rsidRPr="002B2779">
        <w:rPr>
          <w:rFonts w:ascii="Times New Roman" w:hAnsi="Times New Roman" w:cs="Times New Roman"/>
          <w:sz w:val="24"/>
          <w:szCs w:val="24"/>
        </w:rPr>
        <w:t xml:space="preserve">творення довірчих відносин між пацієнтами та персоналом;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створення алгоритмів роботи персоналу: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робота адміністрації та реєстратури;</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запис пацієнта на прийом;</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первинний та повторний прийом пацієнтів;</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співпраця підрозділів підприємства;</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lastRenderedPageBreak/>
        <w:t xml:space="preserve">                            робота з скаргами пацієнтів.</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4.3. Впровадження заходів інфекційного контролю.</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проведення навчальних заходів з персоналом з питань інфекційного контролю;</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дотримання методики </w:t>
      </w:r>
      <w:proofErr w:type="spellStart"/>
      <w:r w:rsidRPr="002B2779">
        <w:rPr>
          <w:rFonts w:ascii="Times New Roman" w:hAnsi="Times New Roman" w:cs="Times New Roman"/>
          <w:sz w:val="24"/>
          <w:szCs w:val="24"/>
        </w:rPr>
        <w:t>передстерилізаційної</w:t>
      </w:r>
      <w:proofErr w:type="spellEnd"/>
      <w:r w:rsidRPr="002B2779">
        <w:rPr>
          <w:rFonts w:ascii="Times New Roman" w:hAnsi="Times New Roman" w:cs="Times New Roman"/>
          <w:sz w:val="24"/>
          <w:szCs w:val="24"/>
        </w:rPr>
        <w:t xml:space="preserve"> обробки та стерилізації інструментарію (наявний автоклав, </w:t>
      </w:r>
      <w:proofErr w:type="spellStart"/>
      <w:r w:rsidRPr="002B2779">
        <w:rPr>
          <w:rFonts w:ascii="Times New Roman" w:hAnsi="Times New Roman" w:cs="Times New Roman"/>
          <w:sz w:val="24"/>
          <w:szCs w:val="24"/>
        </w:rPr>
        <w:t>сухожарові</w:t>
      </w:r>
      <w:proofErr w:type="spellEnd"/>
      <w:r w:rsidRPr="002B2779">
        <w:rPr>
          <w:rFonts w:ascii="Times New Roman" w:hAnsi="Times New Roman" w:cs="Times New Roman"/>
          <w:sz w:val="24"/>
          <w:szCs w:val="24"/>
        </w:rPr>
        <w:t xml:space="preserve"> шафи, бактерицидні </w:t>
      </w:r>
      <w:proofErr w:type="spellStart"/>
      <w:r w:rsidRPr="002B2779">
        <w:rPr>
          <w:rFonts w:ascii="Times New Roman" w:hAnsi="Times New Roman" w:cs="Times New Roman"/>
          <w:sz w:val="24"/>
          <w:szCs w:val="24"/>
        </w:rPr>
        <w:t>опромінювачі</w:t>
      </w:r>
      <w:proofErr w:type="spellEnd"/>
      <w:r w:rsidRPr="002B2779">
        <w:rPr>
          <w:rFonts w:ascii="Times New Roman" w:hAnsi="Times New Roman" w:cs="Times New Roman"/>
          <w:sz w:val="24"/>
          <w:szCs w:val="24"/>
        </w:rPr>
        <w:t>);</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моніторинг застосування дезінфікуючих засобів (контроль керівників підрозділів за обробкою приміщень, генеральних прибирань);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 проведення лабораторного контролю за санітарним станом приміщень.       </w:t>
      </w:r>
    </w:p>
    <w:p w:rsidR="002B2779" w:rsidRPr="002B2779" w:rsidRDefault="002B2779" w:rsidP="002B2779">
      <w:pPr>
        <w:spacing w:after="0" w:line="240" w:lineRule="auto"/>
        <w:ind w:left="142" w:hanging="426"/>
        <w:jc w:val="both"/>
        <w:rPr>
          <w:rFonts w:ascii="Times New Roman" w:hAnsi="Times New Roman" w:cs="Times New Roman"/>
          <w:sz w:val="24"/>
          <w:szCs w:val="24"/>
        </w:rPr>
      </w:pPr>
      <w:r w:rsidRPr="002B2779">
        <w:rPr>
          <w:rFonts w:ascii="Times New Roman" w:hAnsi="Times New Roman" w:cs="Times New Roman"/>
          <w:sz w:val="24"/>
          <w:szCs w:val="24"/>
        </w:rPr>
        <w:t xml:space="preserve">           </w:t>
      </w:r>
    </w:p>
    <w:p w:rsidR="002B2779" w:rsidRPr="002B2779" w:rsidRDefault="002B2779" w:rsidP="002B2779">
      <w:pPr>
        <w:spacing w:after="0" w:line="240" w:lineRule="auto"/>
        <w:ind w:left="142" w:hanging="426"/>
        <w:jc w:val="both"/>
        <w:rPr>
          <w:rFonts w:ascii="Times New Roman" w:hAnsi="Times New Roman" w:cs="Times New Roman"/>
          <w:sz w:val="24"/>
          <w:szCs w:val="24"/>
        </w:rPr>
      </w:pPr>
    </w:p>
    <w:p w:rsidR="002B2779" w:rsidRPr="002B2779" w:rsidRDefault="002B2779" w:rsidP="002B2779">
      <w:pPr>
        <w:spacing w:after="0" w:line="240" w:lineRule="auto"/>
        <w:jc w:val="both"/>
        <w:rPr>
          <w:rFonts w:ascii="Times New Roman" w:hAnsi="Times New Roman" w:cs="Times New Roman"/>
          <w:sz w:val="24"/>
          <w:szCs w:val="24"/>
        </w:rPr>
      </w:pPr>
    </w:p>
    <w:p w:rsidR="00000000" w:rsidRPr="002B2779" w:rsidRDefault="002B2779" w:rsidP="002B2779">
      <w:pPr>
        <w:spacing w:after="0" w:line="240" w:lineRule="auto"/>
        <w:rPr>
          <w:rFonts w:ascii="Times New Roman" w:hAnsi="Times New Roman" w:cs="Times New Roman"/>
          <w:sz w:val="24"/>
          <w:szCs w:val="24"/>
        </w:rPr>
      </w:pPr>
    </w:p>
    <w:sectPr w:rsidR="00000000" w:rsidRPr="002B27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C28D7"/>
    <w:multiLevelType w:val="hybridMultilevel"/>
    <w:tmpl w:val="38BE3AC4"/>
    <w:lvl w:ilvl="0" w:tplc="4AD418EA">
      <w:start w:val="4"/>
      <w:numFmt w:val="bullet"/>
      <w:lvlText w:val="-"/>
      <w:lvlJc w:val="left"/>
      <w:pPr>
        <w:ind w:left="202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2779"/>
    <w:rsid w:val="002B27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B2779"/>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225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4658</Words>
  <Characters>2656</Characters>
  <Application>Microsoft Office Word</Application>
  <DocSecurity>0</DocSecurity>
  <Lines>22</Lines>
  <Paragraphs>14</Paragraphs>
  <ScaleCrop>false</ScaleCrop>
  <Company>Reanimator Extreme Edition</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2020-10-07T13:50:00Z</dcterms:created>
  <dcterms:modified xsi:type="dcterms:W3CDTF">2020-10-07T13:51:00Z</dcterms:modified>
</cp:coreProperties>
</file>