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E0" w:rsidRPr="0007479A" w:rsidRDefault="004F75E0" w:rsidP="004F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val="ru-RU"/>
        </w:rPr>
      </w:pPr>
      <w:bookmarkStart w:id="0" w:name="_GoBack"/>
      <w:bookmarkEnd w:id="0"/>
      <w:proofErr w:type="spellStart"/>
      <w:r w:rsidRPr="0007479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/>
        </w:rPr>
        <w:t>Аналіз</w:t>
      </w:r>
      <w:proofErr w:type="spellEnd"/>
      <w:r w:rsidRPr="0007479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/>
        </w:rPr>
        <w:t xml:space="preserve"> регуляторного </w:t>
      </w:r>
      <w:proofErr w:type="spellStart"/>
      <w:r w:rsidRPr="0007479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val="ru-RU"/>
        </w:rPr>
        <w:t>впливу</w:t>
      </w:r>
      <w:proofErr w:type="spellEnd"/>
    </w:p>
    <w:p w:rsidR="004F75E0" w:rsidRPr="0007479A" w:rsidRDefault="004F75E0" w:rsidP="004F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проекту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рішення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</w:t>
      </w:r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міської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</w:p>
    <w:p w:rsidR="004F75E0" w:rsidRPr="0007479A" w:rsidRDefault="004F75E0" w:rsidP="004F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«Про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затвердження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технічної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документації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 міської територіальної громади</w:t>
      </w:r>
      <w:r w:rsidRPr="0007479A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»</w:t>
      </w:r>
    </w:p>
    <w:p w:rsidR="004F75E0" w:rsidRPr="0007479A" w:rsidRDefault="004F75E0" w:rsidP="004F75E0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1.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і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аналіз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проблеми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, яку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передбачається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розв’язати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шляхом державного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регулювання</w:t>
      </w:r>
      <w:proofErr w:type="spellEnd"/>
    </w:p>
    <w:p w:rsidR="004F75E0" w:rsidRPr="004F75E0" w:rsidRDefault="004F75E0" w:rsidP="004F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Цей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регуляторний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акт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забезпечує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застосування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 міської територіальної громади</w:t>
      </w:r>
      <w:proofErr w:type="gram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  <w:proofErr w:type="gram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4F75E0" w:rsidRPr="004F75E0" w:rsidRDefault="004F75E0" w:rsidP="004F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Відповідно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ст. 18 Закону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України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«Про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земель» нормативна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ділянок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розташованих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gram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у межах</w:t>
      </w:r>
      <w:proofErr w:type="gram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населених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пунктів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незалежно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їх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цільового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проводиться не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рідше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ніж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один раз на 5 – 7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років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Роботи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поновлення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 міської територіальної громади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проведені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приватним</w:t>
      </w:r>
      <w:proofErr w:type="spellEnd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підприємством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«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Зембудпроект</w:t>
      </w:r>
      <w:proofErr w:type="spellEnd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»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замовлення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Тернопільської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міської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ради.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2.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Цілі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державного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регулювання</w:t>
      </w:r>
      <w:proofErr w:type="spellEnd"/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Нормативно-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є основою для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розміру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податку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державного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мита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при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спадкуванні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даруванні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ділянок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відповідно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орендної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плати за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ділянки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державної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комунальної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власності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продажу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забудованих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проведенні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аукціонів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зумовлює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надходження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додаткових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коштів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gram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 бюджету</w:t>
      </w:r>
      <w:proofErr w:type="gram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3.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оцінка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усіх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прийнятих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альтернативних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способів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досягнення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встановлених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цілей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з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аргументацією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переваг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обраного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способу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     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Зважаючи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те,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що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чинне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чітко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регламентує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порядок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земель, не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існує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альтернативи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стосовно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її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4.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Механізм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реалізації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мети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Реалізація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запропонованого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регулювання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буде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здійснюватися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шляхом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впровадження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наступних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заходів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: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-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 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proofErr w:type="gram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рішенням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чітких</w:t>
      </w:r>
      <w:proofErr w:type="spellEnd"/>
      <w:proofErr w:type="gram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термінів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вводу в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дію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 міської територіальної громади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;</w:t>
      </w:r>
    </w:p>
    <w:p w:rsidR="004F75E0" w:rsidRPr="0030318D" w:rsidRDefault="004F75E0" w:rsidP="004F75E0">
      <w:pPr>
        <w:pStyle w:val="a3"/>
        <w:spacing w:line="440" w:lineRule="atLeast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-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 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органів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які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сприятимуть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введенню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в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дію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</w:rPr>
        <w:t>Тернопільської міської територіальної громади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саме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: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міської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ради,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її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виконавчого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органу,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головне 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управління</w:t>
      </w:r>
      <w:proofErr w:type="spellEnd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ДПС в 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Тернопільській</w:t>
      </w:r>
      <w:proofErr w:type="spellEnd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області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r w:rsidRPr="0030318D">
        <w:rPr>
          <w:rFonts w:ascii="Times New Roman" w:hAnsi="Times New Roman" w:cs="Times New Roman"/>
          <w:b w:val="0"/>
          <w:sz w:val="24"/>
          <w:szCs w:val="24"/>
        </w:rPr>
        <w:t xml:space="preserve">міськрайонне управління у Тернопільському районі та </w:t>
      </w:r>
      <w:proofErr w:type="spellStart"/>
      <w:r w:rsidRPr="0030318D">
        <w:rPr>
          <w:rFonts w:ascii="Times New Roman" w:hAnsi="Times New Roman" w:cs="Times New Roman"/>
          <w:b w:val="0"/>
          <w:sz w:val="24"/>
          <w:szCs w:val="24"/>
        </w:rPr>
        <w:t>м.Тернополі</w:t>
      </w:r>
      <w:proofErr w:type="spellEnd"/>
      <w:r w:rsidRPr="0030318D">
        <w:rPr>
          <w:rFonts w:ascii="Times New Roman" w:hAnsi="Times New Roman" w:cs="Times New Roman"/>
          <w:b w:val="0"/>
          <w:sz w:val="24"/>
          <w:szCs w:val="24"/>
        </w:rPr>
        <w:t xml:space="preserve"> Головного </w:t>
      </w:r>
      <w:proofErr w:type="gramStart"/>
      <w:r w:rsidRPr="0030318D">
        <w:rPr>
          <w:rFonts w:ascii="Times New Roman" w:hAnsi="Times New Roman" w:cs="Times New Roman"/>
          <w:b w:val="0"/>
          <w:sz w:val="24"/>
          <w:szCs w:val="24"/>
        </w:rPr>
        <w:t xml:space="preserve">управління  </w:t>
      </w:r>
      <w:proofErr w:type="spellStart"/>
      <w:r w:rsidRPr="0030318D">
        <w:rPr>
          <w:rFonts w:ascii="Times New Roman" w:hAnsi="Times New Roman" w:cs="Times New Roman"/>
          <w:b w:val="0"/>
          <w:sz w:val="24"/>
          <w:szCs w:val="24"/>
        </w:rPr>
        <w:t>Держгеокадастру</w:t>
      </w:r>
      <w:proofErr w:type="spellEnd"/>
      <w:proofErr w:type="gramEnd"/>
      <w:r w:rsidRPr="003031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F7D0E">
        <w:rPr>
          <w:rFonts w:ascii="Times New Roman" w:hAnsi="Times New Roman" w:cs="Times New Roman"/>
          <w:b w:val="0"/>
          <w:sz w:val="24"/>
          <w:szCs w:val="24"/>
        </w:rPr>
        <w:t>у</w:t>
      </w:r>
      <w:r w:rsidRPr="0030318D">
        <w:rPr>
          <w:rFonts w:ascii="Times New Roman" w:hAnsi="Times New Roman" w:cs="Times New Roman"/>
          <w:b w:val="0"/>
          <w:sz w:val="24"/>
          <w:szCs w:val="24"/>
        </w:rPr>
        <w:t>Тернопільській</w:t>
      </w:r>
      <w:proofErr w:type="spellEnd"/>
      <w:r w:rsidRPr="0030318D">
        <w:rPr>
          <w:rFonts w:ascii="Times New Roman" w:hAnsi="Times New Roman" w:cs="Times New Roman"/>
          <w:b w:val="0"/>
          <w:sz w:val="24"/>
          <w:szCs w:val="24"/>
        </w:rPr>
        <w:t xml:space="preserve"> області</w:t>
      </w:r>
      <w:r w:rsidR="004F15DD">
        <w:rPr>
          <w:rFonts w:ascii="Times New Roman" w:hAnsi="Times New Roman" w:cs="Times New Roman"/>
          <w:b w:val="0"/>
          <w:sz w:val="24"/>
          <w:szCs w:val="24"/>
        </w:rPr>
        <w:t xml:space="preserve">, відділ </w:t>
      </w:r>
      <w:proofErr w:type="spellStart"/>
      <w:r w:rsidR="004F15DD">
        <w:rPr>
          <w:rFonts w:ascii="Times New Roman" w:hAnsi="Times New Roman" w:cs="Times New Roman"/>
          <w:b w:val="0"/>
          <w:sz w:val="24"/>
          <w:szCs w:val="24"/>
        </w:rPr>
        <w:t>Держгеокадастру</w:t>
      </w:r>
      <w:proofErr w:type="spellEnd"/>
      <w:r w:rsidR="004F15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F15DD">
        <w:rPr>
          <w:rFonts w:ascii="Times New Roman" w:hAnsi="Times New Roman" w:cs="Times New Roman"/>
          <w:b w:val="0"/>
          <w:sz w:val="24"/>
          <w:szCs w:val="24"/>
        </w:rPr>
        <w:t>Зборівсьеого</w:t>
      </w:r>
      <w:proofErr w:type="spellEnd"/>
      <w:r w:rsidR="004F15DD">
        <w:rPr>
          <w:rFonts w:ascii="Times New Roman" w:hAnsi="Times New Roman" w:cs="Times New Roman"/>
          <w:b w:val="0"/>
          <w:sz w:val="24"/>
          <w:szCs w:val="24"/>
        </w:rPr>
        <w:t xml:space="preserve"> району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Представленим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проектом регуляторного акту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передбачається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встановлення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розміру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відповідно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якого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будуть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проведені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перерахунки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плати за землю.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Запровадження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 дозволить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максимізувати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корисність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використання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ресурсного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потенціалу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територіальної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громади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мінімізує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можливості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збитків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або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неефективної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експлуатації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комунального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майна.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5.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Обґрунтування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можливості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досягнення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поставлених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цілей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у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разі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затвердження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запропонованого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 і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оцінка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можливості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проведення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і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виконання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вимог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Застосування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нормативної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грошової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 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uk-UA"/>
        </w:rPr>
        <w:t>Тернопільської міської територіальної громади</w:t>
      </w:r>
      <w:r w:rsidRPr="0030318D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забезпечить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збільшення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надходжень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gram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 бюджету</w:t>
      </w:r>
      <w:proofErr w:type="gram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міської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ради та 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lastRenderedPageBreak/>
        <w:t xml:space="preserve">дозволить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направити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додаткові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кошти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здійснення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програми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соціально-економічного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розвитку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збільшення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фінансування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соціальної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сфери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інші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цілі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згідно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6.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очікуваних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результатів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ухвалення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запропонованого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Регулювання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впливає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кожну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трьох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базових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сфер: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інтереси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громадян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суб’єктів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господарювання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власності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користуванні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яких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знаходяться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ділянки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інтереси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держави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органу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місцевого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самоврядування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7.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Обґрунтування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запропонованого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терміну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дії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Пропонується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встановити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строк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запропонованого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відповідно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чинного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.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Зміни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регуляторного акта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вноситимуться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в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разі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потреби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або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за результатами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звіту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про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його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разі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внесення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змін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8.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показників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Стимулювання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ефективного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раціонального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використання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землі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засадах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ринкової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економіки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ринкової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вартості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ділянок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.</w:t>
      </w:r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Збільшення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доходів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місцевого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бюджету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надходжень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плати за землю.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9.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Визначення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способів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, за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допомогою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яких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здійснюватиметься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регуляторного акта у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разі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його</w:t>
      </w:r>
      <w:proofErr w:type="spellEnd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val="ru-RU"/>
        </w:rPr>
        <w:t>ухвалення</w:t>
      </w:r>
      <w:proofErr w:type="spellEnd"/>
    </w:p>
    <w:p w:rsidR="004F75E0" w:rsidRPr="004F75E0" w:rsidRDefault="004F75E0" w:rsidP="004F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Головним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зовнішнім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чинником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що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впливатиме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дію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 є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зміна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законодавства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та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підзаконних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актів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сфері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земельних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відносин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оцінки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земель.</w:t>
      </w:r>
    </w:p>
    <w:p w:rsidR="004F75E0" w:rsidRPr="004F75E0" w:rsidRDefault="004F75E0" w:rsidP="004F75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акта буде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здійснюватись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шляхом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проведення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: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-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базового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 до дня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набрання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чинності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акту.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-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повторного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 через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рік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після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набрання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ним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чинності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, але не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пізніше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двох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років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з дня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набрання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чинності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цим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актом.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-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      </w:t>
      </w: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періодичного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акта через три роки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після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проведення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повторного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відстеження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результативності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регуляторного акту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відповідно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до ст. 10 Закону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України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«Про засади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державної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регуляторної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політики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у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сфері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господарської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 xml:space="preserve"> </w:t>
      </w:r>
      <w:proofErr w:type="spellStart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діяльності</w:t>
      </w:r>
      <w:proofErr w:type="spellEnd"/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  <w:t>»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4F75E0" w:rsidRPr="004F75E0" w:rsidRDefault="004F75E0" w:rsidP="004F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4F75E0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07479A" w:rsidRPr="0007479A" w:rsidRDefault="0007479A" w:rsidP="000747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Зауваження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та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пропозиції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приймаються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протягом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місяця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з дня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оприлюднення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у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письмовому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та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електронному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вигляді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за </w:t>
      </w:r>
      <w:proofErr w:type="spellStart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адресою</w:t>
      </w:r>
      <w:proofErr w:type="spellEnd"/>
      <w:r w:rsidRPr="0007479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07479A" w:rsidRPr="0007479A" w:rsidRDefault="0007479A" w:rsidP="000747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79A">
        <w:rPr>
          <w:rFonts w:ascii="Times New Roman" w:hAnsi="Times New Roman" w:cs="Times New Roman"/>
          <w:sz w:val="24"/>
          <w:szCs w:val="24"/>
          <w:lang w:val="ru-RU"/>
        </w:rPr>
        <w:t xml:space="preserve">     - </w:t>
      </w:r>
      <w:proofErr w:type="spellStart"/>
      <w:r w:rsidRPr="0007479A">
        <w:rPr>
          <w:rFonts w:ascii="Times New Roman" w:hAnsi="Times New Roman" w:cs="Times New Roman"/>
          <w:sz w:val="24"/>
          <w:szCs w:val="24"/>
          <w:lang w:val="ru-RU"/>
        </w:rPr>
        <w:t>Тернопільська</w:t>
      </w:r>
      <w:proofErr w:type="spellEnd"/>
      <w:r w:rsidRPr="000747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479A">
        <w:rPr>
          <w:rFonts w:ascii="Times New Roman" w:hAnsi="Times New Roman" w:cs="Times New Roman"/>
          <w:sz w:val="24"/>
          <w:szCs w:val="24"/>
          <w:lang w:val="ru-RU"/>
        </w:rPr>
        <w:t>міська</w:t>
      </w:r>
      <w:proofErr w:type="spellEnd"/>
      <w:r w:rsidRPr="0007479A">
        <w:rPr>
          <w:rFonts w:ascii="Times New Roman" w:hAnsi="Times New Roman" w:cs="Times New Roman"/>
          <w:sz w:val="24"/>
          <w:szCs w:val="24"/>
          <w:lang w:val="ru-RU"/>
        </w:rPr>
        <w:t xml:space="preserve"> рада: 46000, м. </w:t>
      </w:r>
      <w:proofErr w:type="spellStart"/>
      <w:r w:rsidRPr="0007479A">
        <w:rPr>
          <w:rFonts w:ascii="Times New Roman" w:hAnsi="Times New Roman" w:cs="Times New Roman"/>
          <w:sz w:val="24"/>
          <w:szCs w:val="24"/>
          <w:lang w:val="ru-RU"/>
        </w:rPr>
        <w:t>Тернопіль</w:t>
      </w:r>
      <w:proofErr w:type="spellEnd"/>
      <w:r w:rsidRPr="000747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479A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07479A">
        <w:rPr>
          <w:rFonts w:ascii="Times New Roman" w:hAnsi="Times New Roman" w:cs="Times New Roman"/>
          <w:sz w:val="24"/>
          <w:szCs w:val="24"/>
          <w:lang w:val="ru-RU"/>
        </w:rPr>
        <w:t>. Листопадова,5, тел./факс            40-41-54, 40-41-57, e-</w:t>
      </w:r>
      <w:proofErr w:type="spellStart"/>
      <w:r w:rsidRPr="0007479A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07479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7479A">
        <w:rPr>
          <w:rStyle w:val="40"/>
          <w:rFonts w:eastAsiaTheme="minorHAnsi"/>
          <w:b w:val="0"/>
          <w:bCs w:val="0"/>
          <w:color w:val="000000"/>
        </w:rPr>
        <w:t xml:space="preserve"> </w:t>
      </w:r>
      <w:proofErr w:type="spellStart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vzr</w:t>
      </w:r>
      <w:proofErr w:type="spellEnd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</w:t>
      </w:r>
      <w:proofErr w:type="spellStart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tmr</w:t>
      </w:r>
      <w:proofErr w:type="spellEnd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_2011@</w:t>
      </w:r>
      <w:proofErr w:type="spellStart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ukr</w:t>
      </w:r>
      <w:proofErr w:type="spellEnd"/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7479A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net</w:t>
      </w:r>
    </w:p>
    <w:p w:rsidR="00332055" w:rsidRPr="0030318D" w:rsidRDefault="0033205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32055" w:rsidRPr="003031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0"/>
    <w:rsid w:val="0007479A"/>
    <w:rsid w:val="0030318D"/>
    <w:rsid w:val="00332055"/>
    <w:rsid w:val="004F15DD"/>
    <w:rsid w:val="004F75E0"/>
    <w:rsid w:val="009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96BF-6606-435A-8EAB-7AE5093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4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F75E0"/>
    <w:pPr>
      <w:spacing w:after="0" w:line="240" w:lineRule="auto"/>
      <w:jc w:val="center"/>
    </w:pPr>
    <w:rPr>
      <w:b/>
      <w:sz w:val="40"/>
      <w:lang w:val="uk-UA"/>
    </w:rPr>
  </w:style>
  <w:style w:type="character" w:customStyle="1" w:styleId="a5">
    <w:name w:val="Название Знак"/>
    <w:basedOn w:val="a0"/>
    <w:link w:val="a3"/>
    <w:rsid w:val="004F75E0"/>
    <w:rPr>
      <w:b/>
      <w:sz w:val="40"/>
      <w:lang w:val="uk-UA"/>
    </w:rPr>
  </w:style>
  <w:style w:type="paragraph" w:styleId="a4">
    <w:name w:val="Title"/>
    <w:basedOn w:val="a"/>
    <w:next w:val="a"/>
    <w:link w:val="a6"/>
    <w:uiPriority w:val="10"/>
    <w:qFormat/>
    <w:rsid w:val="004F7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F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07479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07479A"/>
  </w:style>
  <w:style w:type="paragraph" w:styleId="a7">
    <w:name w:val="Balloon Text"/>
    <w:basedOn w:val="a"/>
    <w:link w:val="a8"/>
    <w:uiPriority w:val="99"/>
    <w:semiHidden/>
    <w:unhideWhenUsed/>
    <w:rsid w:val="0007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Тратчук</dc:creator>
  <cp:keywords/>
  <dc:description/>
  <cp:lastModifiedBy>А. Тратчук</cp:lastModifiedBy>
  <cp:revision>4</cp:revision>
  <cp:lastPrinted>2020-06-10T11:26:00Z</cp:lastPrinted>
  <dcterms:created xsi:type="dcterms:W3CDTF">2020-06-10T10:19:00Z</dcterms:created>
  <dcterms:modified xsi:type="dcterms:W3CDTF">2020-06-10T11:26:00Z</dcterms:modified>
</cp:coreProperties>
</file>