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AF" w:rsidRDefault="00F566AF">
      <w:pPr>
        <w:pStyle w:val="BodyText"/>
        <w:spacing w:after="0"/>
        <w:ind w:firstLine="709"/>
        <w:jc w:val="center"/>
      </w:pPr>
      <w:r>
        <w:rPr>
          <w:rStyle w:val="a"/>
          <w:b/>
          <w:color w:val="000000"/>
          <w:sz w:val="28"/>
          <w:szCs w:val="28"/>
        </w:rPr>
        <w:t>МІСЦЕВІ ПРАВИЛА</w:t>
      </w:r>
      <w:r>
        <w:rPr>
          <w:rStyle w:val="a"/>
          <w:color w:val="000000"/>
          <w:sz w:val="28"/>
          <w:szCs w:val="28"/>
        </w:rPr>
        <w:br/>
      </w:r>
      <w:r>
        <w:rPr>
          <w:rStyle w:val="a"/>
          <w:b/>
          <w:color w:val="000000"/>
          <w:sz w:val="28"/>
          <w:szCs w:val="28"/>
        </w:rPr>
        <w:t>приймання стічних вод до систем централізованого водовідведення міста Тернопіль</w:t>
      </w:r>
    </w:p>
    <w:p w:rsidR="00F566AF" w:rsidRDefault="00F566AF">
      <w:pPr>
        <w:pStyle w:val="BodyText"/>
        <w:spacing w:after="0"/>
        <w:ind w:firstLine="709"/>
        <w:jc w:val="both"/>
        <w:rPr>
          <w:b/>
          <w:color w:val="000000"/>
          <w:sz w:val="28"/>
          <w:szCs w:val="28"/>
        </w:rPr>
      </w:pPr>
    </w:p>
    <w:tbl>
      <w:tblPr>
        <w:tblW w:w="14788" w:type="dxa"/>
        <w:tblInd w:w="-5"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000"/>
      </w:tblPr>
      <w:tblGrid>
        <w:gridCol w:w="33"/>
        <w:gridCol w:w="1173"/>
        <w:gridCol w:w="6511"/>
        <w:gridCol w:w="7071"/>
      </w:tblGrid>
      <w:tr w:rsidR="00F566AF">
        <w:tc>
          <w:tcPr>
            <w:tcW w:w="1175" w:type="dxa"/>
            <w:gridSpan w:val="2"/>
            <w:tcMar>
              <w:left w:w="12" w:type="dxa"/>
            </w:tcMar>
          </w:tcPr>
          <w:p w:rsidR="00F566AF" w:rsidRDefault="00F566AF">
            <w:pPr>
              <w:pStyle w:val="a9"/>
              <w:jc w:val="center"/>
              <w:rPr>
                <w:b/>
                <w:bCs/>
                <w:sz w:val="20"/>
                <w:szCs w:val="20"/>
              </w:rPr>
            </w:pPr>
            <w:r>
              <w:rPr>
                <w:b/>
                <w:bCs/>
                <w:sz w:val="20"/>
                <w:szCs w:val="20"/>
              </w:rPr>
              <w:t>Пункт</w:t>
            </w:r>
          </w:p>
        </w:tc>
        <w:tc>
          <w:tcPr>
            <w:tcW w:w="6525" w:type="dxa"/>
            <w:tcBorders>
              <w:left w:val="single" w:sz="2" w:space="0" w:color="000001"/>
            </w:tcBorders>
            <w:tcMar>
              <w:left w:w="12" w:type="dxa"/>
            </w:tcMar>
          </w:tcPr>
          <w:p w:rsidR="00F566AF" w:rsidRDefault="00F566AF">
            <w:pPr>
              <w:pStyle w:val="a9"/>
              <w:jc w:val="center"/>
              <w:rPr>
                <w:b/>
                <w:bCs/>
                <w:sz w:val="20"/>
                <w:szCs w:val="20"/>
              </w:rPr>
            </w:pPr>
            <w:r>
              <w:rPr>
                <w:b/>
                <w:bCs/>
                <w:sz w:val="20"/>
                <w:szCs w:val="20"/>
              </w:rPr>
              <w:t>Чинна редакція</w:t>
            </w:r>
          </w:p>
        </w:tc>
        <w:tc>
          <w:tcPr>
            <w:tcW w:w="7088" w:type="dxa"/>
            <w:tcBorders>
              <w:left w:val="single" w:sz="2" w:space="0" w:color="000001"/>
              <w:right w:val="single" w:sz="2" w:space="0" w:color="000001"/>
            </w:tcBorders>
            <w:tcMar>
              <w:left w:w="12" w:type="dxa"/>
            </w:tcMar>
          </w:tcPr>
          <w:p w:rsidR="00F566AF" w:rsidRDefault="00F566AF">
            <w:pPr>
              <w:pStyle w:val="a9"/>
              <w:jc w:val="center"/>
              <w:rPr>
                <w:b/>
                <w:bCs/>
                <w:sz w:val="20"/>
                <w:szCs w:val="20"/>
              </w:rPr>
            </w:pPr>
            <w:r>
              <w:rPr>
                <w:b/>
                <w:bCs/>
                <w:sz w:val="20"/>
                <w:szCs w:val="20"/>
              </w:rPr>
              <w:t>Пропонована редакція</w:t>
            </w:r>
          </w:p>
        </w:tc>
      </w:tr>
      <w:tr w:rsidR="00F566AF">
        <w:tc>
          <w:tcPr>
            <w:tcW w:w="14788" w:type="dxa"/>
            <w:gridSpan w:val="4"/>
            <w:tcBorders>
              <w:right w:val="single" w:sz="2" w:space="0" w:color="000001"/>
            </w:tcBorders>
            <w:tcMar>
              <w:left w:w="12" w:type="dxa"/>
            </w:tcMar>
          </w:tcPr>
          <w:p w:rsidR="00F566AF" w:rsidRDefault="00F566AF">
            <w:pPr>
              <w:pStyle w:val="BodyText"/>
              <w:spacing w:after="0"/>
              <w:ind w:firstLine="709"/>
              <w:jc w:val="center"/>
              <w:rPr>
                <w:b/>
                <w:color w:val="000000"/>
                <w:sz w:val="20"/>
                <w:szCs w:val="20"/>
              </w:rPr>
            </w:pPr>
            <w:r>
              <w:rPr>
                <w:b/>
                <w:color w:val="000000"/>
                <w:sz w:val="20"/>
                <w:szCs w:val="20"/>
              </w:rPr>
              <w:t>І. Загальні положення</w:t>
            </w:r>
          </w:p>
        </w:tc>
      </w:tr>
      <w:tr w:rsidR="00F566AF">
        <w:tc>
          <w:tcPr>
            <w:tcW w:w="1175" w:type="dxa"/>
            <w:gridSpan w:val="2"/>
            <w:tcMar>
              <w:left w:w="12" w:type="dxa"/>
            </w:tcMar>
          </w:tcPr>
          <w:p w:rsidR="00F566AF" w:rsidRDefault="00F566AF">
            <w:pPr>
              <w:pStyle w:val="a9"/>
              <w:rPr>
                <w:sz w:val="20"/>
                <w:szCs w:val="20"/>
              </w:rPr>
            </w:pPr>
            <w:r>
              <w:rPr>
                <w:sz w:val="20"/>
                <w:szCs w:val="20"/>
              </w:rPr>
              <w:t>2</w:t>
            </w:r>
          </w:p>
        </w:tc>
        <w:tc>
          <w:tcPr>
            <w:tcW w:w="6525" w:type="dxa"/>
            <w:tcBorders>
              <w:left w:val="single" w:sz="2" w:space="0" w:color="000001"/>
            </w:tcBorders>
            <w:tcMar>
              <w:left w:w="12" w:type="dxa"/>
            </w:tcMar>
          </w:tcPr>
          <w:p w:rsidR="00F566AF" w:rsidRDefault="00F566AF">
            <w:pPr>
              <w:pStyle w:val="BodyText"/>
              <w:spacing w:after="0"/>
              <w:ind w:firstLine="709"/>
              <w:jc w:val="both"/>
              <w:rPr>
                <w:color w:val="000000"/>
                <w:sz w:val="20"/>
                <w:szCs w:val="20"/>
              </w:rPr>
            </w:pPr>
            <w:r>
              <w:rPr>
                <w:color w:val="000000"/>
                <w:sz w:val="20"/>
                <w:szCs w:val="20"/>
              </w:rPr>
              <w:t>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F566AF" w:rsidRDefault="00F566AF">
            <w:pPr>
              <w:pStyle w:val="BodyText"/>
              <w:spacing w:after="0"/>
              <w:ind w:firstLine="709"/>
              <w:jc w:val="both"/>
              <w:rPr>
                <w:color w:val="000000"/>
                <w:sz w:val="20"/>
                <w:szCs w:val="20"/>
              </w:rPr>
            </w:pPr>
            <w:r>
              <w:rPr>
                <w:color w:val="000000"/>
                <w:sz w:val="20"/>
                <w:szCs w:val="20"/>
              </w:rPr>
              <w:t>Ці Правила поширюються на усіх споживачів, які скидають стічні води до систем централізованого водовідведення міста Тернопіль, як тих, що знаходяться в місті Тернопіль, так і тих, що знаходяться поза межами міста Тернопіль, незалежно від місця знаходження об’єктів водовідведення.</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b/>
                <w:bCs/>
                <w:color w:val="000000"/>
                <w:sz w:val="20"/>
                <w:szCs w:val="20"/>
              </w:rPr>
              <w:t>За суб’єктним складом</w:t>
            </w:r>
            <w:r>
              <w:rPr>
                <w:color w:val="000000"/>
                <w:sz w:val="20"/>
                <w:szCs w:val="20"/>
              </w:rPr>
              <w:t xml:space="preserve"> 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F566AF" w:rsidRDefault="00F566AF">
            <w:pPr>
              <w:pStyle w:val="BodyText"/>
              <w:spacing w:after="0"/>
              <w:ind w:firstLine="709"/>
              <w:jc w:val="both"/>
            </w:pPr>
            <w:r>
              <w:rPr>
                <w:b/>
                <w:bCs/>
                <w:color w:val="000000"/>
                <w:sz w:val="20"/>
                <w:szCs w:val="20"/>
              </w:rPr>
              <w:t xml:space="preserve">За територіальною ознакою </w:t>
            </w:r>
            <w:r>
              <w:rPr>
                <w:color w:val="000000"/>
                <w:sz w:val="20"/>
                <w:szCs w:val="20"/>
              </w:rPr>
              <w:t xml:space="preserve">ці Правила поширюються на усіх споживачів, які скидають стічні води до систем централізованого водовідведення міста Тернопіль, як тих, що знаходяться в місті Тернопіль </w:t>
            </w:r>
            <w:r w:rsidRPr="007C4EF1">
              <w:rPr>
                <w:b/>
                <w:bCs/>
                <w:color w:val="000000"/>
                <w:sz w:val="20"/>
                <w:szCs w:val="20"/>
              </w:rPr>
              <w:t>(</w:t>
            </w:r>
            <w:r>
              <w:rPr>
                <w:b/>
                <w:bCs/>
                <w:color w:val="000000"/>
                <w:sz w:val="20"/>
                <w:szCs w:val="20"/>
              </w:rPr>
              <w:t>громади</w:t>
            </w:r>
            <w:r w:rsidRPr="007C4EF1">
              <w:rPr>
                <w:b/>
                <w:bCs/>
                <w:color w:val="000000"/>
                <w:sz w:val="20"/>
                <w:szCs w:val="20"/>
              </w:rPr>
              <w:t>)</w:t>
            </w:r>
            <w:r>
              <w:rPr>
                <w:color w:val="000000"/>
                <w:sz w:val="20"/>
                <w:szCs w:val="20"/>
              </w:rPr>
              <w:t xml:space="preserve">, так і тих, що знаходяться поза межами міста Тернопіль </w:t>
            </w:r>
            <w:r>
              <w:rPr>
                <w:b/>
                <w:bCs/>
                <w:color w:val="000000"/>
                <w:sz w:val="20"/>
                <w:szCs w:val="20"/>
              </w:rPr>
              <w:t>(громади)</w:t>
            </w:r>
            <w:r>
              <w:rPr>
                <w:color w:val="000000"/>
                <w:sz w:val="20"/>
                <w:szCs w:val="20"/>
              </w:rPr>
              <w:t>, незалежно від місця знаходження об’єктів водовідведення.</w:t>
            </w:r>
          </w:p>
        </w:tc>
      </w:tr>
      <w:tr w:rsidR="00F566AF">
        <w:tc>
          <w:tcPr>
            <w:tcW w:w="14788" w:type="dxa"/>
            <w:gridSpan w:val="4"/>
            <w:tcBorders>
              <w:right w:val="single" w:sz="2" w:space="0" w:color="000001"/>
            </w:tcBorders>
            <w:tcMar>
              <w:left w:w="12" w:type="dxa"/>
            </w:tcMar>
          </w:tcPr>
          <w:p w:rsidR="00F566AF" w:rsidRDefault="00F566AF">
            <w:pPr>
              <w:pStyle w:val="BodyText"/>
              <w:spacing w:after="0"/>
              <w:ind w:firstLine="709"/>
              <w:jc w:val="center"/>
              <w:rPr>
                <w:b/>
                <w:color w:val="000000"/>
                <w:sz w:val="20"/>
                <w:szCs w:val="20"/>
              </w:rPr>
            </w:pPr>
            <w:r>
              <w:rPr>
                <w:b/>
                <w:color w:val="000000"/>
                <w:sz w:val="20"/>
                <w:szCs w:val="20"/>
              </w:rPr>
              <w:t>ІІІ. Загальні вимоги до складу та властивостей стічних вод, які скидаються до систем централізованого водовідведення</w:t>
            </w:r>
          </w:p>
        </w:tc>
      </w:tr>
      <w:tr w:rsidR="00F566AF">
        <w:tc>
          <w:tcPr>
            <w:tcW w:w="1175" w:type="dxa"/>
            <w:gridSpan w:val="2"/>
            <w:tcMar>
              <w:left w:w="12" w:type="dxa"/>
            </w:tcMar>
          </w:tcPr>
          <w:p w:rsidR="00F566AF" w:rsidRDefault="00F566AF">
            <w:pPr>
              <w:pStyle w:val="a9"/>
              <w:rPr>
                <w:sz w:val="20"/>
                <w:szCs w:val="20"/>
              </w:rPr>
            </w:pPr>
            <w:r>
              <w:rPr>
                <w:sz w:val="20"/>
                <w:szCs w:val="20"/>
              </w:rPr>
              <w:t>19</w:t>
            </w:r>
          </w:p>
        </w:tc>
        <w:tc>
          <w:tcPr>
            <w:tcW w:w="6525" w:type="dxa"/>
            <w:tcBorders>
              <w:left w:val="single" w:sz="2" w:space="0" w:color="000001"/>
            </w:tcBorders>
            <w:tcMar>
              <w:left w:w="12" w:type="dxa"/>
            </w:tcMar>
          </w:tcPr>
          <w:p w:rsidR="00F566AF" w:rsidRDefault="00F566AF">
            <w:pPr>
              <w:pStyle w:val="BodyText"/>
              <w:spacing w:after="0"/>
              <w:ind w:firstLine="709"/>
              <w:jc w:val="both"/>
              <w:rPr>
                <w:sz w:val="20"/>
                <w:szCs w:val="20"/>
              </w:rPr>
            </w:pPr>
            <w:r>
              <w:rPr>
                <w:color w:val="000000"/>
                <w:sz w:val="20"/>
                <w:szCs w:val="20"/>
              </w:rPr>
              <w:t>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rsidR="00F566AF" w:rsidRDefault="00F566AF">
            <w:pPr>
              <w:pStyle w:val="BodyText"/>
              <w:spacing w:after="0"/>
              <w:ind w:firstLine="709"/>
              <w:jc w:val="both"/>
              <w:rPr>
                <w:color w:val="000000"/>
                <w:sz w:val="20"/>
                <w:szCs w:val="20"/>
              </w:rPr>
            </w:pPr>
            <w:bookmarkStart w:id="0" w:name="n981"/>
            <w:bookmarkEnd w:id="0"/>
            <w:r>
              <w:rPr>
                <w:color w:val="000000"/>
                <w:sz w:val="20"/>
                <w:szCs w:val="20"/>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rsidR="00F566AF" w:rsidRDefault="00F566AF">
            <w:pPr>
              <w:pStyle w:val="BodyText"/>
              <w:spacing w:after="0"/>
              <w:ind w:firstLine="709"/>
              <w:jc w:val="both"/>
              <w:rPr>
                <w:color w:val="000000"/>
                <w:sz w:val="20"/>
                <w:szCs w:val="20"/>
              </w:rPr>
            </w:pPr>
            <w:bookmarkStart w:id="1" w:name="n991"/>
            <w:bookmarkEnd w:id="1"/>
            <w:r>
              <w:rPr>
                <w:color w:val="000000"/>
                <w:sz w:val="20"/>
                <w:szCs w:val="20"/>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F566AF" w:rsidRDefault="00F566AF">
            <w:pPr>
              <w:pStyle w:val="BodyText"/>
              <w:spacing w:after="0"/>
              <w:ind w:firstLine="709"/>
              <w:jc w:val="both"/>
              <w:rPr>
                <w:color w:val="000000"/>
                <w:sz w:val="20"/>
                <w:szCs w:val="20"/>
              </w:rPr>
            </w:pPr>
            <w:r>
              <w:rPr>
                <w:color w:val="000000"/>
                <w:sz w:val="20"/>
                <w:szCs w:val="20"/>
              </w:rPr>
              <w:t>Плата за приймання понаднормативно забруднених стоків визначається в розмірі:</w:t>
            </w:r>
          </w:p>
          <w:p w:rsidR="00F566AF" w:rsidRDefault="00F566AF">
            <w:pPr>
              <w:pStyle w:val="BodyText"/>
              <w:spacing w:after="0"/>
              <w:ind w:firstLine="709"/>
              <w:jc w:val="both"/>
              <w:rPr>
                <w:color w:val="000000"/>
                <w:sz w:val="20"/>
                <w:szCs w:val="20"/>
              </w:rPr>
            </w:pPr>
            <w:r>
              <w:rPr>
                <w:color w:val="000000"/>
                <w:sz w:val="20"/>
                <w:szCs w:val="20"/>
              </w:rPr>
              <w:t>- 60% - на перший рік приймання стічних вод за тимчасовим договором;</w:t>
            </w:r>
          </w:p>
          <w:p w:rsidR="00F566AF" w:rsidRDefault="00F566AF">
            <w:pPr>
              <w:pStyle w:val="BodyText"/>
              <w:spacing w:after="0"/>
              <w:ind w:firstLine="709"/>
              <w:jc w:val="both"/>
              <w:rPr>
                <w:color w:val="000000"/>
                <w:sz w:val="20"/>
                <w:szCs w:val="20"/>
              </w:rPr>
            </w:pPr>
            <w:r>
              <w:rPr>
                <w:color w:val="000000"/>
                <w:sz w:val="20"/>
                <w:szCs w:val="20"/>
              </w:rPr>
              <w:t>- 70% - на другий рік приймання стічних вод за тимчасовим договором;</w:t>
            </w:r>
          </w:p>
          <w:p w:rsidR="00F566AF" w:rsidRDefault="00F566AF">
            <w:pPr>
              <w:pStyle w:val="BodyText"/>
              <w:spacing w:after="0"/>
              <w:ind w:firstLine="709"/>
              <w:jc w:val="both"/>
              <w:rPr>
                <w:color w:val="000000"/>
                <w:sz w:val="20"/>
                <w:szCs w:val="20"/>
              </w:rPr>
            </w:pPr>
            <w:r>
              <w:rPr>
                <w:color w:val="000000"/>
                <w:sz w:val="20"/>
                <w:szCs w:val="20"/>
              </w:rPr>
              <w:t>- 80% - на третій рік приймання стічних вод за тимчасовим договором.</w:t>
            </w:r>
          </w:p>
          <w:p w:rsidR="00F566AF" w:rsidRDefault="00F566AF">
            <w:pPr>
              <w:pStyle w:val="BodyText"/>
              <w:spacing w:after="0"/>
              <w:ind w:firstLine="709"/>
              <w:jc w:val="both"/>
              <w:rPr>
                <w:color w:val="000000"/>
                <w:sz w:val="20"/>
                <w:szCs w:val="20"/>
              </w:rPr>
            </w:pPr>
            <w:bookmarkStart w:id="2" w:name="n1001"/>
            <w:bookmarkEnd w:id="2"/>
            <w:r>
              <w:rPr>
                <w:color w:val="000000"/>
                <w:sz w:val="20"/>
                <w:szCs w:val="20"/>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color w:val="000000"/>
                <w:sz w:val="20"/>
                <w:szCs w:val="20"/>
              </w:rPr>
              <w:t>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rsidR="00F566AF" w:rsidRDefault="00F566AF">
            <w:pPr>
              <w:pStyle w:val="BodyText"/>
              <w:spacing w:after="0"/>
              <w:ind w:firstLine="709"/>
              <w:jc w:val="both"/>
            </w:pPr>
            <w:bookmarkStart w:id="3" w:name="n9811"/>
            <w:bookmarkEnd w:id="3"/>
            <w:r>
              <w:rPr>
                <w:color w:val="000000"/>
                <w:sz w:val="20"/>
                <w:szCs w:val="20"/>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pPr>
            <w:bookmarkStart w:id="4" w:name="n9911"/>
            <w:bookmarkEnd w:id="4"/>
            <w:r>
              <w:rPr>
                <w:color w:val="000000"/>
                <w:sz w:val="20"/>
                <w:szCs w:val="20"/>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pPr>
            <w:r>
              <w:rPr>
                <w:color w:val="000000"/>
                <w:sz w:val="20"/>
                <w:szCs w:val="20"/>
              </w:rPr>
              <w:t>Плата за приймання понаднормативно забруднених стоків визначається в розмірі:</w:t>
            </w:r>
          </w:p>
          <w:p w:rsidR="00F566AF" w:rsidRDefault="00F566AF">
            <w:pPr>
              <w:pStyle w:val="BodyText"/>
              <w:spacing w:after="0"/>
              <w:ind w:firstLine="709"/>
              <w:jc w:val="both"/>
            </w:pPr>
            <w:r>
              <w:rPr>
                <w:color w:val="000000"/>
                <w:sz w:val="20"/>
                <w:szCs w:val="20"/>
              </w:rPr>
              <w:t>- 60% - на перший рік приймання стічних вод за тимчасовим договором;</w:t>
            </w:r>
          </w:p>
          <w:p w:rsidR="00F566AF" w:rsidRDefault="00F566AF">
            <w:pPr>
              <w:pStyle w:val="BodyText"/>
              <w:spacing w:after="0"/>
              <w:ind w:firstLine="709"/>
              <w:jc w:val="both"/>
            </w:pPr>
            <w:r>
              <w:rPr>
                <w:color w:val="000000"/>
                <w:sz w:val="20"/>
                <w:szCs w:val="20"/>
              </w:rPr>
              <w:t>- 70% - на другий рік приймання стічних вод за тимчасовим договором;</w:t>
            </w:r>
          </w:p>
          <w:p w:rsidR="00F566AF" w:rsidRDefault="00F566AF">
            <w:pPr>
              <w:pStyle w:val="BodyText"/>
              <w:spacing w:after="0"/>
              <w:ind w:firstLine="709"/>
              <w:jc w:val="both"/>
            </w:pPr>
            <w:r>
              <w:rPr>
                <w:color w:val="000000"/>
                <w:sz w:val="20"/>
                <w:szCs w:val="20"/>
              </w:rPr>
              <w:t>- 80% - на третій рік приймання стічних вод за тимчасовим договором.</w:t>
            </w: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rPr>
                <w:sz w:val="20"/>
                <w:szCs w:val="20"/>
              </w:rPr>
            </w:pPr>
            <w:bookmarkStart w:id="5" w:name="n10011"/>
            <w:bookmarkEnd w:id="5"/>
            <w:r>
              <w:rPr>
                <w:color w:val="000000"/>
                <w:sz w:val="20"/>
                <w:szCs w:val="20"/>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F566AF" w:rsidRDefault="00F566AF">
            <w:pPr>
              <w:pStyle w:val="BodyText"/>
              <w:spacing w:after="0"/>
              <w:ind w:firstLine="709"/>
              <w:jc w:val="both"/>
              <w:rPr>
                <w:b/>
                <w:bCs/>
                <w:sz w:val="20"/>
                <w:szCs w:val="20"/>
              </w:rPr>
            </w:pPr>
            <w:r>
              <w:rPr>
                <w:b/>
                <w:bCs/>
                <w:color w:val="000000"/>
                <w:sz w:val="20"/>
                <w:szCs w:val="20"/>
              </w:rPr>
              <w:t>Плата за приймання понаднормативно забруднених стічних вод визначається за формулою, вказаною у пункті 47 цих Правил.</w:t>
            </w:r>
          </w:p>
        </w:tc>
      </w:tr>
      <w:tr w:rsidR="00F566AF">
        <w:tc>
          <w:tcPr>
            <w:tcW w:w="14788" w:type="dxa"/>
            <w:gridSpan w:val="4"/>
            <w:tcBorders>
              <w:right w:val="single" w:sz="2" w:space="0" w:color="000001"/>
            </w:tcBorders>
            <w:tcMar>
              <w:left w:w="12" w:type="dxa"/>
            </w:tcMar>
          </w:tcPr>
          <w:p w:rsidR="00F566AF" w:rsidRDefault="00F566AF">
            <w:pPr>
              <w:pStyle w:val="BodyText"/>
              <w:spacing w:after="0"/>
              <w:ind w:firstLine="709"/>
              <w:jc w:val="center"/>
              <w:rPr>
                <w:b/>
                <w:color w:val="000000"/>
                <w:sz w:val="20"/>
                <w:szCs w:val="20"/>
              </w:rPr>
            </w:pPr>
            <w:r>
              <w:rPr>
                <w:b/>
                <w:color w:val="000000"/>
                <w:sz w:val="20"/>
                <w:szCs w:val="20"/>
              </w:rPr>
              <w:t>ІV. Визначення ДК забруднюючих речовин у стічних водах споживачів</w:t>
            </w:r>
          </w:p>
        </w:tc>
      </w:tr>
      <w:tr w:rsidR="00F566AF">
        <w:tc>
          <w:tcPr>
            <w:tcW w:w="1175" w:type="dxa"/>
            <w:gridSpan w:val="2"/>
            <w:tcMar>
              <w:left w:w="12" w:type="dxa"/>
            </w:tcMar>
          </w:tcPr>
          <w:p w:rsidR="00F566AF" w:rsidRDefault="00F566AF">
            <w:pPr>
              <w:pStyle w:val="a9"/>
              <w:rPr>
                <w:sz w:val="20"/>
                <w:szCs w:val="20"/>
              </w:rPr>
            </w:pPr>
            <w:r>
              <w:rPr>
                <w:sz w:val="20"/>
                <w:szCs w:val="20"/>
              </w:rPr>
              <w:t>22</w:t>
            </w:r>
          </w:p>
        </w:tc>
        <w:tc>
          <w:tcPr>
            <w:tcW w:w="6525" w:type="dxa"/>
            <w:tcBorders>
              <w:left w:val="single" w:sz="2" w:space="0" w:color="000001"/>
            </w:tcBorders>
            <w:tcMar>
              <w:left w:w="12" w:type="dxa"/>
            </w:tcMar>
          </w:tcPr>
          <w:p w:rsidR="00F566AF" w:rsidRDefault="00F566AF">
            <w:pPr>
              <w:pStyle w:val="BodyText"/>
              <w:spacing w:after="0"/>
              <w:ind w:firstLine="709"/>
              <w:jc w:val="both"/>
              <w:rPr>
                <w:color w:val="000000"/>
                <w:sz w:val="20"/>
                <w:szCs w:val="20"/>
              </w:rPr>
            </w:pPr>
            <w:r>
              <w:rPr>
                <w:color w:val="000000"/>
                <w:sz w:val="20"/>
                <w:szCs w:val="20"/>
              </w:rPr>
              <w:t xml:space="preserve">У разі визначення ДК забруднюючої речовини в стічних водах за ДК у каналізаційній мережі приймають ДК, визначені місцевими правилами приймання, </w:t>
            </w:r>
            <w:r>
              <w:rPr>
                <w:b/>
                <w:bCs/>
                <w:color w:val="000000"/>
                <w:sz w:val="20"/>
                <w:szCs w:val="20"/>
              </w:rPr>
              <w:t>а за їх відсутності — відповідно до вимог до складу та властивостей стічних вод, що скидаються до системи централізованого водовідведення,</w:t>
            </w:r>
            <w:r>
              <w:rPr>
                <w:color w:val="000000"/>
                <w:sz w:val="20"/>
                <w:szCs w:val="20"/>
              </w:rPr>
              <w:t xml:space="preserve"> для безпечного їх відведення та очищення на каналізаційних очисних спорудах згідно з додатком 4 до цих Правил.</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color w:val="000000"/>
                <w:sz w:val="20"/>
                <w:szCs w:val="20"/>
              </w:rPr>
              <w:t>У разі визначення ДК забруднюючої речовини в стічних водах за ДК у каналізаційній мережі приймають ДК, визначені місцевими правилами приймання, для безпечного їх відведення та очищення на каналізаційних очисних спорудах згідно з додатком 4 до цих Правил.</w:t>
            </w:r>
          </w:p>
        </w:tc>
      </w:tr>
      <w:tr w:rsidR="00F566AF">
        <w:tc>
          <w:tcPr>
            <w:tcW w:w="14788" w:type="dxa"/>
            <w:gridSpan w:val="4"/>
            <w:tcBorders>
              <w:right w:val="single" w:sz="2" w:space="0" w:color="000001"/>
            </w:tcBorders>
            <w:tcMar>
              <w:left w:w="12" w:type="dxa"/>
            </w:tcMar>
          </w:tcPr>
          <w:p w:rsidR="00F566AF" w:rsidRDefault="00F566AF">
            <w:pPr>
              <w:pStyle w:val="BodyText"/>
              <w:spacing w:after="0"/>
              <w:ind w:firstLine="709"/>
              <w:jc w:val="center"/>
              <w:rPr>
                <w:b/>
                <w:color w:val="000000"/>
                <w:sz w:val="20"/>
                <w:szCs w:val="20"/>
              </w:rPr>
            </w:pPr>
            <w:r>
              <w:rPr>
                <w:b/>
                <w:color w:val="000000"/>
                <w:sz w:val="20"/>
                <w:szCs w:val="20"/>
              </w:rPr>
              <w:t>VІ. Порядок контролю за скидом стічних вод до систем централізованого водовідведення</w:t>
            </w:r>
          </w:p>
        </w:tc>
      </w:tr>
      <w:tr w:rsidR="00F566AF">
        <w:tc>
          <w:tcPr>
            <w:tcW w:w="1175" w:type="dxa"/>
            <w:gridSpan w:val="2"/>
            <w:tcMar>
              <w:left w:w="12" w:type="dxa"/>
            </w:tcMar>
          </w:tcPr>
          <w:p w:rsidR="00F566AF" w:rsidRDefault="00F566AF">
            <w:pPr>
              <w:pStyle w:val="a9"/>
              <w:rPr>
                <w:sz w:val="20"/>
                <w:szCs w:val="20"/>
              </w:rPr>
            </w:pPr>
            <w:r>
              <w:rPr>
                <w:sz w:val="20"/>
                <w:szCs w:val="20"/>
              </w:rPr>
              <w:t>33</w:t>
            </w:r>
          </w:p>
        </w:tc>
        <w:tc>
          <w:tcPr>
            <w:tcW w:w="6525" w:type="dxa"/>
            <w:tcBorders>
              <w:left w:val="single" w:sz="2" w:space="0" w:color="000001"/>
            </w:tcBorders>
            <w:tcMar>
              <w:left w:w="12" w:type="dxa"/>
            </w:tcMar>
          </w:tcPr>
          <w:p w:rsidR="00F566AF" w:rsidRDefault="00F566AF">
            <w:pPr>
              <w:pStyle w:val="BodyText"/>
              <w:spacing w:after="0"/>
              <w:ind w:firstLine="709"/>
              <w:jc w:val="both"/>
              <w:rPr>
                <w:color w:val="000000"/>
                <w:sz w:val="20"/>
                <w:szCs w:val="20"/>
              </w:rPr>
            </w:pPr>
            <w:r>
              <w:rPr>
                <w:color w:val="000000"/>
                <w:sz w:val="20"/>
                <w:szCs w:val="20"/>
              </w:rPr>
              <w:t xml:space="preserve">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Споживачі контроль за якістю стічних вод за наступними показниками: азот амонійний, фосфати, ХСК, </w:t>
            </w:r>
            <w:r>
              <w:rPr>
                <w:b/>
                <w:bCs/>
                <w:color w:val="000000"/>
                <w:sz w:val="20"/>
                <w:szCs w:val="20"/>
              </w:rPr>
              <w:t>БСК</w:t>
            </w:r>
            <w:r>
              <w:rPr>
                <w:color w:val="000000"/>
                <w:sz w:val="20"/>
                <w:szCs w:val="20"/>
              </w:rPr>
              <w:t>, завислі речовини та інші, зазначені в договорі.</w:t>
            </w: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rPr>
                <w:color w:val="000000"/>
                <w:sz w:val="20"/>
                <w:szCs w:val="20"/>
              </w:rPr>
            </w:pPr>
            <w:r>
              <w:rPr>
                <w:color w:val="000000"/>
                <w:sz w:val="20"/>
                <w:szCs w:val="20"/>
              </w:rPr>
              <w:t>Контроль споживачами за якістю та кількістю стічних вод здійснюється не рідше одного разу на квартал. Споживачі зобов’язані надавати виробнику інформацію про результати самостійного контролю за кількістю та якістю стічних вод щоквартально, не пізніше 15 числа місяця, наступного за звітним кварталом.</w:t>
            </w:r>
          </w:p>
          <w:p w:rsidR="00F566AF" w:rsidRDefault="00F566AF">
            <w:pPr>
              <w:pStyle w:val="BodyText"/>
              <w:spacing w:after="0"/>
              <w:ind w:firstLine="709"/>
              <w:jc w:val="both"/>
              <w:rPr>
                <w:sz w:val="20"/>
                <w:szCs w:val="20"/>
              </w:rPr>
            </w:pPr>
            <w:bookmarkStart w:id="6" w:name="n1411"/>
            <w:bookmarkEnd w:id="6"/>
            <w:r>
              <w:rPr>
                <w:color w:val="000000"/>
                <w:sz w:val="20"/>
                <w:szCs w:val="20"/>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F566AF" w:rsidRDefault="00F566AF">
            <w:pPr>
              <w:pStyle w:val="BodyText"/>
              <w:spacing w:after="0"/>
              <w:ind w:firstLine="709"/>
              <w:jc w:val="both"/>
              <w:rPr>
                <w:color w:val="000000"/>
                <w:sz w:val="20"/>
                <w:szCs w:val="20"/>
              </w:rPr>
            </w:pPr>
            <w:bookmarkStart w:id="7" w:name="n1421"/>
            <w:bookmarkEnd w:id="7"/>
            <w:r>
              <w:rPr>
                <w:color w:val="000000"/>
                <w:sz w:val="20"/>
                <w:szCs w:val="20"/>
              </w:rPr>
              <w:t>Місця та періодичність відбору проб споживачами мають бути погоджені з виробником.</w:t>
            </w:r>
          </w:p>
          <w:p w:rsidR="00F566AF" w:rsidRDefault="00F566AF">
            <w:pPr>
              <w:pStyle w:val="BodyText"/>
              <w:spacing w:after="0"/>
              <w:ind w:firstLine="709"/>
              <w:jc w:val="both"/>
              <w:rPr>
                <w:color w:val="000000"/>
                <w:sz w:val="20"/>
                <w:szCs w:val="20"/>
              </w:rPr>
            </w:pPr>
            <w:bookmarkStart w:id="8" w:name="n1431"/>
            <w:bookmarkEnd w:id="8"/>
            <w:r>
              <w:rPr>
                <w:color w:val="000000"/>
                <w:sz w:val="20"/>
                <w:szCs w:val="20"/>
              </w:rPr>
              <w:t>Результати аналізів стічних вод і замірів їх витрат фіксують у робочих журналах, які зберігаються у споживачів безстроково.</w:t>
            </w:r>
          </w:p>
          <w:p w:rsidR="00F566AF" w:rsidRDefault="00F566AF">
            <w:pPr>
              <w:pStyle w:val="BodyText"/>
              <w:spacing w:after="0"/>
              <w:ind w:firstLine="709"/>
              <w:jc w:val="both"/>
              <w:rPr>
                <w:color w:val="000000"/>
                <w:sz w:val="20"/>
                <w:szCs w:val="20"/>
              </w:rPr>
            </w:pPr>
            <w:bookmarkStart w:id="9" w:name="n1451"/>
            <w:bookmarkEnd w:id="9"/>
            <w:r>
              <w:rPr>
                <w:color w:val="000000"/>
                <w:sz w:val="20"/>
                <w:szCs w:val="20"/>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color w:val="000000"/>
                <w:sz w:val="20"/>
                <w:szCs w:val="20"/>
              </w:rPr>
              <w:t xml:space="preserve">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Споживачі </w:t>
            </w:r>
            <w:r>
              <w:rPr>
                <w:b/>
                <w:bCs/>
                <w:color w:val="000000"/>
                <w:sz w:val="20"/>
                <w:szCs w:val="20"/>
              </w:rPr>
              <w:t>здійснюють</w:t>
            </w:r>
            <w:r>
              <w:rPr>
                <w:color w:val="000000"/>
                <w:sz w:val="20"/>
                <w:szCs w:val="20"/>
              </w:rPr>
              <w:t xml:space="preserve"> контроль за якістю стічних вод за наступними показниками: азот амонійний, фосфати, ХСК, </w:t>
            </w:r>
            <w:r>
              <w:rPr>
                <w:b/>
                <w:bCs/>
                <w:color w:val="000000"/>
                <w:sz w:val="20"/>
                <w:szCs w:val="20"/>
              </w:rPr>
              <w:t>БСК</w:t>
            </w:r>
            <w:r>
              <w:rPr>
                <w:b/>
                <w:bCs/>
                <w:color w:val="000000"/>
                <w:sz w:val="20"/>
                <w:szCs w:val="20"/>
                <w:vertAlign w:val="subscript"/>
              </w:rPr>
              <w:t>5</w:t>
            </w:r>
            <w:r>
              <w:rPr>
                <w:color w:val="000000"/>
                <w:sz w:val="20"/>
                <w:szCs w:val="20"/>
              </w:rPr>
              <w:t>, завислі речовини та інші, зазначені в договорі.</w:t>
            </w:r>
          </w:p>
          <w:p w:rsidR="00F566AF" w:rsidRDefault="00F566AF">
            <w:pPr>
              <w:pStyle w:val="BodyText"/>
              <w:spacing w:after="0"/>
              <w:ind w:firstLine="709"/>
              <w:jc w:val="both"/>
            </w:pPr>
            <w:r>
              <w:rPr>
                <w:color w:val="000000"/>
                <w:sz w:val="20"/>
                <w:szCs w:val="20"/>
              </w:rPr>
              <w:t>Контроль споживачами за якістю та кількістю стічних вод здійснюється не рідше одного разу на квартал. Споживачі зобов’язані надавати виробнику інформацію про результати самостійного контролю за кількістю та якістю стічних вод щоквартально, не пізніше 15 числа місяця, наступного за звітним кварталом.</w:t>
            </w:r>
          </w:p>
          <w:p w:rsidR="00F566AF" w:rsidRDefault="00F566AF">
            <w:pPr>
              <w:pStyle w:val="BodyText"/>
              <w:spacing w:after="0"/>
              <w:ind w:firstLine="709"/>
              <w:jc w:val="both"/>
            </w:pPr>
            <w:bookmarkStart w:id="10" w:name="n14112"/>
            <w:bookmarkEnd w:id="10"/>
            <w:r>
              <w:rPr>
                <w:color w:val="000000"/>
                <w:sz w:val="20"/>
                <w:szCs w:val="20"/>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F566AF" w:rsidRDefault="00F566AF">
            <w:pPr>
              <w:pStyle w:val="BodyText"/>
              <w:spacing w:after="0"/>
              <w:ind w:firstLine="709"/>
              <w:jc w:val="both"/>
            </w:pPr>
            <w:bookmarkStart w:id="11" w:name="n14212"/>
            <w:bookmarkEnd w:id="11"/>
            <w:r>
              <w:rPr>
                <w:color w:val="000000"/>
                <w:sz w:val="20"/>
                <w:szCs w:val="20"/>
              </w:rPr>
              <w:t>Місця та періодичність відбору проб споживачами мають бути погоджені з виробником.</w:t>
            </w:r>
          </w:p>
          <w:p w:rsidR="00F566AF" w:rsidRDefault="00F566AF">
            <w:pPr>
              <w:pStyle w:val="BodyText"/>
              <w:spacing w:after="0"/>
              <w:ind w:firstLine="709"/>
              <w:jc w:val="both"/>
            </w:pPr>
            <w:bookmarkStart w:id="12" w:name="n14312"/>
            <w:bookmarkEnd w:id="12"/>
            <w:r>
              <w:rPr>
                <w:color w:val="000000"/>
                <w:sz w:val="20"/>
                <w:szCs w:val="20"/>
              </w:rPr>
              <w:t>Результати аналізів стічних вод і замірів їх витрат фіксують у робочих журналах, які зберігаються у споживачів безстроково.</w:t>
            </w:r>
          </w:p>
          <w:p w:rsidR="00F566AF" w:rsidRDefault="00F566AF">
            <w:pPr>
              <w:pStyle w:val="BodyText"/>
              <w:spacing w:after="0"/>
              <w:ind w:firstLine="709"/>
              <w:jc w:val="both"/>
            </w:pPr>
            <w:bookmarkStart w:id="13" w:name="n14512"/>
            <w:bookmarkEnd w:id="13"/>
            <w:r>
              <w:rPr>
                <w:color w:val="000000"/>
                <w:sz w:val="20"/>
                <w:szCs w:val="20"/>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tc>
      </w:tr>
      <w:tr w:rsidR="00F566AF">
        <w:tc>
          <w:tcPr>
            <w:tcW w:w="1175" w:type="dxa"/>
            <w:gridSpan w:val="2"/>
            <w:tcMar>
              <w:left w:w="12" w:type="dxa"/>
            </w:tcMar>
          </w:tcPr>
          <w:p w:rsidR="00F566AF" w:rsidRDefault="00F566AF">
            <w:pPr>
              <w:pStyle w:val="a9"/>
              <w:rPr>
                <w:sz w:val="20"/>
                <w:szCs w:val="20"/>
              </w:rPr>
            </w:pPr>
            <w:r>
              <w:rPr>
                <w:sz w:val="20"/>
                <w:szCs w:val="20"/>
              </w:rPr>
              <w:t>41</w:t>
            </w:r>
          </w:p>
        </w:tc>
        <w:tc>
          <w:tcPr>
            <w:tcW w:w="6525" w:type="dxa"/>
            <w:tcBorders>
              <w:left w:val="single" w:sz="2" w:space="0" w:color="000001"/>
            </w:tcBorders>
            <w:tcMar>
              <w:left w:w="12" w:type="dxa"/>
            </w:tcMar>
          </w:tcPr>
          <w:p w:rsidR="00F566AF" w:rsidRDefault="00F566AF">
            <w:pPr>
              <w:pStyle w:val="BodyText"/>
              <w:spacing w:after="0"/>
              <w:ind w:firstLine="709"/>
              <w:jc w:val="both"/>
              <w:rPr>
                <w:color w:val="000000"/>
                <w:sz w:val="20"/>
                <w:szCs w:val="20"/>
              </w:rPr>
            </w:pPr>
            <w:r>
              <w:rPr>
                <w:color w:val="000000"/>
                <w:sz w:val="20"/>
                <w:szCs w:val="20"/>
              </w:rPr>
              <w:t>В момент явки уповноваженого представника виробника до об'єкту споживача для відбору контрольної проби він невідкладно повідомляє про відбір проб представників споживача телефоном, зазначеним в договорі. Уповноважений представник виробника може додатково інформувати про відбір проб у інший спосіб на власний розсуд.</w:t>
            </w: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rPr>
                <w:color w:val="000000"/>
                <w:sz w:val="20"/>
                <w:szCs w:val="20"/>
              </w:rPr>
            </w:pPr>
            <w:bookmarkStart w:id="14" w:name="n1511"/>
            <w:bookmarkEnd w:id="14"/>
            <w:r>
              <w:rPr>
                <w:color w:val="000000"/>
                <w:sz w:val="20"/>
                <w:szCs w:val="20"/>
              </w:rPr>
              <w:t>Відбір контрольних проб стічних вод споживачів виконує уповноважений представник виробника, що фіксується у акті, який підписують як представник виробника, так і представник споживача (додається).</w:t>
            </w:r>
          </w:p>
          <w:p w:rsidR="00F566AF" w:rsidRDefault="00F566AF">
            <w:pPr>
              <w:pStyle w:val="BodyText"/>
              <w:spacing w:after="0"/>
              <w:ind w:firstLine="709"/>
              <w:jc w:val="both"/>
              <w:rPr>
                <w:color w:val="000000"/>
                <w:sz w:val="20"/>
                <w:szCs w:val="20"/>
              </w:rPr>
            </w:pPr>
            <w:bookmarkStart w:id="15" w:name="n1521"/>
            <w:bookmarkEnd w:id="15"/>
            <w:r>
              <w:rPr>
                <w:color w:val="000000"/>
                <w:sz w:val="20"/>
                <w:szCs w:val="20"/>
              </w:rPr>
              <w:t>У разі відмови представника споживача поставити свій підпис у журналі або в акті представник виробника зазначає про це в журналі або в акті.</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color w:val="000000"/>
                <w:sz w:val="20"/>
                <w:szCs w:val="20"/>
              </w:rPr>
              <w:t xml:space="preserve">В момент явки уповноваженого представника виробника до об'єкту споживача для відбору контрольної проби він невідкладно повідомляє про відбір проб представників споживача телефоном </w:t>
            </w:r>
            <w:r>
              <w:rPr>
                <w:b/>
                <w:bCs/>
                <w:color w:val="000000"/>
                <w:sz w:val="20"/>
                <w:szCs w:val="20"/>
              </w:rPr>
              <w:t>або</w:t>
            </w:r>
            <w:r>
              <w:rPr>
                <w:b/>
                <w:bCs/>
                <w:color w:val="000000"/>
                <w:sz w:val="20"/>
                <w:szCs w:val="20"/>
                <w:highlight w:val="white"/>
              </w:rPr>
              <w:t xml:space="preserve"> СМС-повідомленням (за вибором представника виробника)</w:t>
            </w:r>
            <w:r>
              <w:rPr>
                <w:color w:val="000000"/>
                <w:sz w:val="20"/>
                <w:szCs w:val="20"/>
                <w:highlight w:val="white"/>
              </w:rPr>
              <w:t xml:space="preserve">, </w:t>
            </w:r>
            <w:r>
              <w:rPr>
                <w:color w:val="000000"/>
                <w:sz w:val="20"/>
                <w:szCs w:val="20"/>
              </w:rPr>
              <w:t>зазначеним в договорі. Уповноважений представник виробника може додатково інформувати про відбір проб у інший спосіб на власний розсуд.</w:t>
            </w:r>
          </w:p>
          <w:p w:rsidR="00F566AF" w:rsidRDefault="00F566AF">
            <w:pPr>
              <w:pStyle w:val="BodyText"/>
              <w:spacing w:after="0"/>
              <w:ind w:firstLine="709"/>
              <w:jc w:val="both"/>
            </w:pPr>
            <w:bookmarkStart w:id="16" w:name="n15111"/>
            <w:bookmarkEnd w:id="16"/>
            <w:r>
              <w:rPr>
                <w:color w:val="000000"/>
                <w:sz w:val="20"/>
                <w:szCs w:val="20"/>
              </w:rPr>
              <w:t xml:space="preserve">Відбір контрольних проб стічних вод споживачів виконує уповноважений представник виробника, що фіксується у акті, який підписують як представник виробника, так і представник споживача (додається). </w:t>
            </w: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pPr>
            <w:bookmarkStart w:id="17" w:name="n15211"/>
            <w:bookmarkEnd w:id="17"/>
            <w:r>
              <w:rPr>
                <w:color w:val="000000"/>
                <w:sz w:val="20"/>
                <w:szCs w:val="20"/>
              </w:rPr>
              <w:t>У разі відмови представника споживача поставити свій підпис у журналі або в акті представник виробника зазначає про це в журналі або в акті.</w:t>
            </w:r>
          </w:p>
        </w:tc>
      </w:tr>
      <w:tr w:rsidR="00F566AF">
        <w:tc>
          <w:tcPr>
            <w:tcW w:w="1175" w:type="dxa"/>
            <w:gridSpan w:val="2"/>
            <w:tcMar>
              <w:left w:w="12" w:type="dxa"/>
            </w:tcMar>
          </w:tcPr>
          <w:p w:rsidR="00F566AF" w:rsidRDefault="00F566AF">
            <w:pPr>
              <w:pStyle w:val="a9"/>
              <w:rPr>
                <w:sz w:val="20"/>
                <w:szCs w:val="20"/>
              </w:rPr>
            </w:pPr>
            <w:r>
              <w:rPr>
                <w:sz w:val="20"/>
                <w:szCs w:val="20"/>
              </w:rPr>
              <w:t>42</w:t>
            </w:r>
          </w:p>
        </w:tc>
        <w:tc>
          <w:tcPr>
            <w:tcW w:w="6525" w:type="dxa"/>
            <w:tcBorders>
              <w:left w:val="single" w:sz="2" w:space="0" w:color="000001"/>
            </w:tcBorders>
            <w:tcMar>
              <w:left w:w="12" w:type="dxa"/>
            </w:tcMar>
          </w:tcPr>
          <w:p w:rsidR="00F566AF" w:rsidRDefault="00F566AF">
            <w:pPr>
              <w:pStyle w:val="BodyText"/>
              <w:spacing w:after="0"/>
              <w:ind w:firstLine="709"/>
              <w:jc w:val="both"/>
            </w:pPr>
            <w:r>
              <w:rPr>
                <w:rStyle w:val="a"/>
                <w:color w:val="000000"/>
                <w:sz w:val="20"/>
                <w:szCs w:val="20"/>
              </w:rPr>
              <w:t>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Pr>
                <w:rStyle w:val="a"/>
                <w:color w:val="000000"/>
                <w:sz w:val="20"/>
                <w:szCs w:val="20"/>
                <w:vertAlign w:val="subscript"/>
              </w:rPr>
              <w:t>k</w:t>
            </w:r>
            <w:r>
              <w:rPr>
                <w:rStyle w:val="a"/>
                <w:b/>
                <w:color w:val="000000"/>
                <w:sz w:val="20"/>
                <w:szCs w:val="20"/>
              </w:rPr>
              <w:t xml:space="preserve"> </w:t>
            </w:r>
            <w:r>
              <w:rPr>
                <w:rStyle w:val="a"/>
                <w:color w:val="000000"/>
                <w:sz w:val="20"/>
                <w:szCs w:val="20"/>
              </w:rPr>
              <w:t>= 2 за розрахунковий місяць, у якому було вчинено це порушення.</w:t>
            </w:r>
          </w:p>
          <w:p w:rsidR="00F566AF" w:rsidRDefault="00F566AF">
            <w:pPr>
              <w:pStyle w:val="BodyText"/>
              <w:spacing w:after="0"/>
              <w:ind w:firstLine="709"/>
              <w:jc w:val="both"/>
              <w:rPr>
                <w:rStyle w:val="a"/>
                <w:color w:val="000000"/>
                <w:sz w:val="20"/>
                <w:szCs w:val="20"/>
              </w:rPr>
            </w:pPr>
          </w:p>
          <w:p w:rsidR="00F566AF" w:rsidRDefault="00F566AF">
            <w:pPr>
              <w:pStyle w:val="BodyText"/>
              <w:spacing w:after="0"/>
              <w:ind w:firstLine="709"/>
              <w:jc w:val="both"/>
              <w:rPr>
                <w:rStyle w:val="a"/>
                <w:color w:val="000000"/>
                <w:sz w:val="20"/>
                <w:szCs w:val="20"/>
              </w:rPr>
            </w:pPr>
          </w:p>
          <w:p w:rsidR="00F566AF" w:rsidRDefault="00F566AF">
            <w:pPr>
              <w:pStyle w:val="BodyText"/>
              <w:spacing w:after="0"/>
              <w:ind w:firstLine="709"/>
              <w:jc w:val="both"/>
            </w:pPr>
            <w:bookmarkStart w:id="18" w:name="n1541"/>
            <w:bookmarkEnd w:id="18"/>
            <w:r>
              <w:rPr>
                <w:rStyle w:val="a"/>
                <w:color w:val="000000"/>
                <w:sz w:val="20"/>
                <w:szCs w:val="20"/>
              </w:rPr>
              <w:t>Зволікання з допуском уповноваженого представника виробника до місця відбору проб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Pr>
                <w:rStyle w:val="a"/>
                <w:color w:val="000000"/>
                <w:sz w:val="20"/>
                <w:szCs w:val="20"/>
                <w:vertAlign w:val="subscript"/>
              </w:rPr>
              <w:t>k</w:t>
            </w:r>
            <w:r>
              <w:rPr>
                <w:rStyle w:val="a"/>
                <w:color w:val="000000"/>
                <w:sz w:val="20"/>
                <w:szCs w:val="20"/>
              </w:rPr>
              <w:t>= 5 за розрахунковий місяць, у якому було вчинено це порушення.</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rStyle w:val="a"/>
                <w:color w:val="000000"/>
                <w:sz w:val="20"/>
                <w:szCs w:val="20"/>
              </w:rPr>
              <w:t>Відмова споживача виділити уповноваженого представника для відбору проб фіксується в</w:t>
            </w:r>
            <w:r>
              <w:rPr>
                <w:rStyle w:val="a"/>
                <w:b/>
                <w:bCs/>
                <w:color w:val="000000"/>
                <w:sz w:val="20"/>
                <w:szCs w:val="20"/>
              </w:rPr>
              <w:t xml:space="preserve"> акті про недопущення до відбору проб стічних вод </w:t>
            </w:r>
            <w:bookmarkStart w:id="19" w:name="__DdeLink__8614_3638948274"/>
            <w:r>
              <w:rPr>
                <w:rStyle w:val="a"/>
                <w:b/>
                <w:bCs/>
                <w:color w:val="000000"/>
                <w:sz w:val="20"/>
                <w:szCs w:val="20"/>
              </w:rPr>
              <w:t>(Додаток 7)</w:t>
            </w:r>
            <w:bookmarkEnd w:id="19"/>
            <w:r>
              <w:rPr>
                <w:rStyle w:val="a"/>
                <w:color w:val="000000"/>
                <w:sz w:val="20"/>
                <w:szCs w:val="20"/>
              </w:rPr>
              <w:t xml:space="preserve"> за підписом представника виробника у </w:t>
            </w:r>
            <w:r>
              <w:rPr>
                <w:rStyle w:val="a"/>
                <w:b/>
                <w:bCs/>
                <w:color w:val="000000"/>
                <w:sz w:val="20"/>
                <w:szCs w:val="20"/>
              </w:rPr>
              <w:t>випадку відмови підписати акт він відсилається споживачу рекомендованим листом</w:t>
            </w:r>
            <w:r>
              <w:rPr>
                <w:rStyle w:val="a"/>
                <w:color w:val="000000"/>
                <w:sz w:val="20"/>
                <w:szCs w:val="20"/>
              </w:rPr>
              <w:t>, виробник виставляє споживачу рахунок за понаднормативний скид забруднень з коефіцієнтом кратності K</w:t>
            </w:r>
            <w:r>
              <w:rPr>
                <w:rStyle w:val="a"/>
                <w:color w:val="000000"/>
                <w:sz w:val="20"/>
                <w:szCs w:val="20"/>
                <w:vertAlign w:val="subscript"/>
              </w:rPr>
              <w:t>k</w:t>
            </w:r>
            <w:r>
              <w:rPr>
                <w:rStyle w:val="a"/>
                <w:b/>
                <w:color w:val="000000"/>
                <w:sz w:val="20"/>
                <w:szCs w:val="20"/>
              </w:rPr>
              <w:t xml:space="preserve"> </w:t>
            </w:r>
            <w:r>
              <w:rPr>
                <w:rStyle w:val="a"/>
                <w:color w:val="000000"/>
                <w:sz w:val="20"/>
                <w:szCs w:val="20"/>
              </w:rPr>
              <w:t>= 2 за розрахунковий місяць, у якому було вчинено це порушення.</w:t>
            </w:r>
          </w:p>
          <w:p w:rsidR="00F566AF" w:rsidRDefault="00F566AF">
            <w:pPr>
              <w:pStyle w:val="BodyText"/>
              <w:spacing w:after="0"/>
              <w:ind w:firstLine="709"/>
              <w:jc w:val="both"/>
              <w:rPr>
                <w:rStyle w:val="a"/>
                <w:color w:val="000000"/>
                <w:sz w:val="20"/>
                <w:szCs w:val="20"/>
              </w:rPr>
            </w:pPr>
          </w:p>
          <w:p w:rsidR="00F566AF" w:rsidRDefault="00F566AF">
            <w:pPr>
              <w:pStyle w:val="BodyText"/>
              <w:spacing w:after="0"/>
              <w:ind w:firstLine="709"/>
              <w:jc w:val="both"/>
            </w:pPr>
            <w:bookmarkStart w:id="20" w:name="n15411"/>
            <w:bookmarkEnd w:id="20"/>
            <w:r>
              <w:rPr>
                <w:rStyle w:val="a"/>
                <w:color w:val="000000"/>
                <w:sz w:val="20"/>
                <w:szCs w:val="20"/>
              </w:rPr>
              <w:t xml:space="preserve">Зволікання з допуском уповноваженого представника виробника до місця відбору проб (більше ніж 30 хвилин після його прибуття) або створення перешкод у відборі проб з боку представників споживача фіксується в </w:t>
            </w:r>
            <w:r>
              <w:rPr>
                <w:rStyle w:val="a"/>
                <w:b/>
                <w:bCs/>
                <w:color w:val="000000"/>
                <w:sz w:val="20"/>
                <w:szCs w:val="20"/>
              </w:rPr>
              <w:t>акті про недопущення до відбору проб стічних вод</w:t>
            </w:r>
            <w:r>
              <w:rPr>
                <w:rStyle w:val="a"/>
                <w:color w:val="000000"/>
                <w:sz w:val="20"/>
                <w:szCs w:val="20"/>
              </w:rPr>
              <w:t xml:space="preserve"> </w:t>
            </w:r>
            <w:r>
              <w:rPr>
                <w:rStyle w:val="a"/>
                <w:b/>
                <w:bCs/>
                <w:color w:val="000000"/>
                <w:sz w:val="20"/>
                <w:szCs w:val="20"/>
              </w:rPr>
              <w:t>(Додаток 7)</w:t>
            </w:r>
            <w:r>
              <w:rPr>
                <w:rStyle w:val="a"/>
                <w:color w:val="000000"/>
                <w:sz w:val="20"/>
                <w:szCs w:val="20"/>
              </w:rPr>
              <w:t xml:space="preserve"> за підписом представника виробника у </w:t>
            </w:r>
            <w:r>
              <w:rPr>
                <w:rStyle w:val="a"/>
                <w:b/>
                <w:bCs/>
                <w:color w:val="000000"/>
                <w:sz w:val="20"/>
                <w:szCs w:val="20"/>
              </w:rPr>
              <w:t>випадку відмови підписати акт він відсилається споживачу рекомендованим листом</w:t>
            </w:r>
            <w:r>
              <w:rPr>
                <w:rStyle w:val="a"/>
                <w:color w:val="000000"/>
                <w:sz w:val="20"/>
                <w:szCs w:val="20"/>
              </w:rPr>
              <w:t>. Виробник виставляє споживачу рахунок за понаднормативний скид забруднень з коефіцієнтом кратності K</w:t>
            </w:r>
            <w:r>
              <w:rPr>
                <w:rStyle w:val="a"/>
                <w:color w:val="000000"/>
                <w:sz w:val="20"/>
                <w:szCs w:val="20"/>
                <w:vertAlign w:val="subscript"/>
              </w:rPr>
              <w:t>k</w:t>
            </w:r>
            <w:r>
              <w:rPr>
                <w:rStyle w:val="a"/>
                <w:color w:val="000000"/>
                <w:sz w:val="20"/>
                <w:szCs w:val="20"/>
              </w:rPr>
              <w:t>= 5 за розрахунковий місяць, у якому було вчинено це порушення.</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44</w:t>
            </w:r>
          </w:p>
        </w:tc>
        <w:tc>
          <w:tcPr>
            <w:tcW w:w="6525" w:type="dxa"/>
            <w:tcBorders>
              <w:left w:val="single" w:sz="2" w:space="0" w:color="000001"/>
            </w:tcBorders>
            <w:tcMar>
              <w:left w:w="12" w:type="dxa"/>
            </w:tcMar>
          </w:tcPr>
          <w:p w:rsidR="00F566AF" w:rsidRDefault="00F566AF">
            <w:pPr>
              <w:pStyle w:val="BodyText"/>
              <w:spacing w:after="0"/>
              <w:ind w:firstLine="709"/>
              <w:jc w:val="both"/>
              <w:rPr>
                <w:color w:val="000000"/>
                <w:sz w:val="20"/>
                <w:szCs w:val="20"/>
              </w:rPr>
            </w:pPr>
            <w:r>
              <w:rPr>
                <w:color w:val="000000"/>
                <w:sz w:val="20"/>
                <w:szCs w:val="20"/>
              </w:rPr>
              <w:t>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F566AF" w:rsidRDefault="00F566AF">
            <w:pPr>
              <w:pStyle w:val="BodyText"/>
              <w:spacing w:after="0"/>
              <w:ind w:firstLine="709"/>
              <w:jc w:val="both"/>
              <w:rPr>
                <w:color w:val="000000"/>
                <w:sz w:val="20"/>
                <w:szCs w:val="20"/>
              </w:rPr>
            </w:pPr>
            <w:r>
              <w:rPr>
                <w:color w:val="000000"/>
                <w:sz w:val="20"/>
                <w:szCs w:val="20"/>
              </w:rPr>
              <w:t xml:space="preserve">Арбітражні проби відбираються за ініціативи споживача. Безпосередній відбір арбітражної проби здійснюють представники виробника. Споживач забезпечує </w:t>
            </w:r>
            <w:r>
              <w:rPr>
                <w:b/>
                <w:bCs/>
                <w:color w:val="000000"/>
                <w:sz w:val="20"/>
                <w:szCs w:val="20"/>
              </w:rPr>
              <w:t>витрат</w:t>
            </w:r>
            <w:r>
              <w:rPr>
                <w:color w:val="000000"/>
                <w:sz w:val="20"/>
                <w:szCs w:val="20"/>
              </w:rPr>
              <w:t xml:space="preserve"> на проведення відбору арбітражних проб та їх аналізу.</w:t>
            </w:r>
          </w:p>
          <w:p w:rsidR="00F566AF" w:rsidRDefault="00F566AF">
            <w:pPr>
              <w:pStyle w:val="BodyText"/>
              <w:spacing w:after="0"/>
              <w:ind w:firstLine="709"/>
              <w:jc w:val="both"/>
              <w:rPr>
                <w:color w:val="000000"/>
                <w:sz w:val="20"/>
                <w:szCs w:val="20"/>
              </w:rPr>
            </w:pPr>
            <w:r>
              <w:rPr>
                <w:color w:val="000000"/>
                <w:sz w:val="20"/>
                <w:szCs w:val="20"/>
              </w:rPr>
              <w:t xml:space="preserve">Арбітражна проба відбирається у дві окремі посудини (для виробника та для споживача), обидві </w:t>
            </w:r>
            <w:r>
              <w:rPr>
                <w:b/>
                <w:bCs/>
                <w:color w:val="000000"/>
                <w:sz w:val="20"/>
                <w:szCs w:val="20"/>
              </w:rPr>
              <w:t>опечатуються підписами представників, що</w:t>
            </w:r>
            <w:r>
              <w:rPr>
                <w:color w:val="000000"/>
                <w:sz w:val="20"/>
                <w:szCs w:val="20"/>
              </w:rPr>
              <w:t xml:space="preserve"> фіксується в акті відбору проби. Свою арбітражну пробу споживач невідкладно після відбору направляє на лабораторне дослідження.</w:t>
            </w:r>
          </w:p>
          <w:p w:rsidR="00F566AF" w:rsidRDefault="00F566AF">
            <w:pPr>
              <w:pStyle w:val="BodyText"/>
              <w:spacing w:after="0"/>
              <w:ind w:firstLine="709"/>
              <w:jc w:val="both"/>
              <w:rPr>
                <w:color w:val="000000"/>
                <w:sz w:val="20"/>
                <w:szCs w:val="20"/>
              </w:rPr>
            </w:pPr>
            <w:r>
              <w:rPr>
                <w:color w:val="000000"/>
                <w:sz w:val="20"/>
                <w:szCs w:val="20"/>
              </w:rPr>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rPr>
                <w:sz w:val="20"/>
                <w:szCs w:val="20"/>
              </w:rPr>
            </w:pPr>
            <w:r>
              <w:rPr>
                <w:color w:val="000000"/>
                <w:sz w:val="20"/>
                <w:szCs w:val="20"/>
              </w:rPr>
              <w:t>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F566AF" w:rsidRDefault="00F566AF">
            <w:pPr>
              <w:pStyle w:val="BodyText"/>
              <w:spacing w:after="0"/>
              <w:ind w:firstLine="709"/>
              <w:jc w:val="both"/>
            </w:pPr>
            <w:r>
              <w:rPr>
                <w:color w:val="000000"/>
                <w:sz w:val="20"/>
                <w:szCs w:val="20"/>
              </w:rPr>
              <w:t xml:space="preserve">Арбітражні проби відбираються за ініціативи споживача. Безпосередній відбір арбітражної проби здійснюють представники виробника. Споживач забезпечує </w:t>
            </w:r>
            <w:r>
              <w:rPr>
                <w:b/>
                <w:bCs/>
                <w:color w:val="000000"/>
                <w:sz w:val="20"/>
                <w:szCs w:val="20"/>
              </w:rPr>
              <w:t>витрати</w:t>
            </w:r>
            <w:r>
              <w:rPr>
                <w:color w:val="000000"/>
                <w:sz w:val="20"/>
                <w:szCs w:val="20"/>
              </w:rPr>
              <w:t xml:space="preserve"> на проведення відбору арбітражних проб та їх аналізу.</w:t>
            </w:r>
          </w:p>
          <w:p w:rsidR="00F566AF" w:rsidRDefault="00F566AF">
            <w:pPr>
              <w:pStyle w:val="BodyText"/>
              <w:spacing w:after="0"/>
              <w:ind w:firstLine="709"/>
              <w:jc w:val="both"/>
            </w:pPr>
            <w:r>
              <w:rPr>
                <w:color w:val="000000"/>
                <w:sz w:val="20"/>
                <w:szCs w:val="20"/>
              </w:rPr>
              <w:t xml:space="preserve">Арбітражна проба відбирається у дві окремі посудини (для виробника та для споживача), обидві </w:t>
            </w:r>
            <w:r>
              <w:rPr>
                <w:b/>
                <w:bCs/>
                <w:color w:val="000000"/>
                <w:sz w:val="20"/>
                <w:szCs w:val="20"/>
              </w:rPr>
              <w:t xml:space="preserve">пломбуються, номери пломб  </w:t>
            </w:r>
            <w:r>
              <w:rPr>
                <w:color w:val="000000"/>
                <w:sz w:val="20"/>
                <w:szCs w:val="20"/>
              </w:rPr>
              <w:t>фіксується</w:t>
            </w:r>
            <w:r>
              <w:rPr>
                <w:b/>
                <w:bCs/>
                <w:color w:val="000000"/>
                <w:sz w:val="20"/>
                <w:szCs w:val="20"/>
              </w:rPr>
              <w:t xml:space="preserve"> </w:t>
            </w:r>
            <w:r>
              <w:rPr>
                <w:color w:val="000000"/>
                <w:sz w:val="20"/>
                <w:szCs w:val="20"/>
              </w:rPr>
              <w:t>в акті відбору проби. Свою арбітражну пробу споживач невідкладно після відбору направляє на лабораторне дослідження.</w:t>
            </w:r>
          </w:p>
          <w:p w:rsidR="00F566AF" w:rsidRDefault="00F566AF">
            <w:pPr>
              <w:pStyle w:val="BodyText"/>
              <w:spacing w:after="0"/>
              <w:ind w:firstLine="709"/>
              <w:jc w:val="both"/>
              <w:rPr>
                <w:color w:val="000000"/>
                <w:sz w:val="20"/>
                <w:szCs w:val="20"/>
              </w:rPr>
            </w:pPr>
          </w:p>
          <w:p w:rsidR="00F566AF" w:rsidRDefault="00F566AF">
            <w:pPr>
              <w:pStyle w:val="BodyText"/>
              <w:spacing w:after="0"/>
              <w:ind w:firstLine="709"/>
              <w:jc w:val="both"/>
            </w:pPr>
            <w:r>
              <w:rPr>
                <w:color w:val="000000"/>
                <w:sz w:val="20"/>
                <w:szCs w:val="20"/>
              </w:rPr>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tc>
      </w:tr>
      <w:tr w:rsidR="00F566AF">
        <w:trPr>
          <w:gridBefore w:val="1"/>
          <w:wBefore w:w="33" w:type="dxa"/>
        </w:trPr>
        <w:tc>
          <w:tcPr>
            <w:tcW w:w="14788" w:type="dxa"/>
            <w:gridSpan w:val="3"/>
            <w:tcBorders>
              <w:right w:val="single" w:sz="2" w:space="0" w:color="000001"/>
            </w:tcBorders>
            <w:tcMar>
              <w:left w:w="12" w:type="dxa"/>
            </w:tcMar>
          </w:tcPr>
          <w:p w:rsidR="00F566AF" w:rsidRDefault="00F566AF">
            <w:pPr>
              <w:pStyle w:val="BodyText"/>
              <w:spacing w:after="0"/>
              <w:ind w:firstLine="709"/>
              <w:jc w:val="center"/>
            </w:pPr>
            <w:bookmarkStart w:id="21" w:name="__DdeLink__36170_54278573"/>
            <w:r>
              <w:rPr>
                <w:rStyle w:val="a"/>
                <w:b/>
                <w:color w:val="000000"/>
                <w:sz w:val="20"/>
                <w:szCs w:val="20"/>
                <w:lang w:val="en-US"/>
              </w:rPr>
              <w:t>V</w:t>
            </w:r>
            <w:r>
              <w:rPr>
                <w:rStyle w:val="a"/>
                <w:b/>
                <w:color w:val="000000"/>
                <w:sz w:val="20"/>
                <w:szCs w:val="20"/>
              </w:rPr>
              <w:t>II</w:t>
            </w:r>
            <w:bookmarkEnd w:id="21"/>
            <w:r>
              <w:rPr>
                <w:rStyle w:val="a"/>
                <w:b/>
                <w:color w:val="000000"/>
                <w:sz w:val="20"/>
                <w:szCs w:val="20"/>
              </w:rPr>
              <w:t>. Визначення розміру плати за скид стічних вод до систем централізованого водовідведення при порушенні вимог щодо якості і режиму їх скидання</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45</w:t>
            </w:r>
          </w:p>
        </w:tc>
        <w:tc>
          <w:tcPr>
            <w:tcW w:w="6525" w:type="dxa"/>
            <w:tcBorders>
              <w:left w:val="single" w:sz="2" w:space="0" w:color="000001"/>
            </w:tcBorders>
            <w:tcMar>
              <w:left w:w="12" w:type="dxa"/>
            </w:tcMar>
          </w:tcPr>
          <w:p w:rsidR="00F566AF" w:rsidRDefault="00F566AF">
            <w:pPr>
              <w:pStyle w:val="BodyText"/>
              <w:spacing w:after="0"/>
              <w:ind w:firstLine="709"/>
              <w:jc w:val="both"/>
              <w:rPr>
                <w:color w:val="000000"/>
                <w:sz w:val="20"/>
                <w:szCs w:val="20"/>
              </w:rPr>
            </w:pPr>
            <w:r>
              <w:rPr>
                <w:color w:val="000000"/>
                <w:sz w:val="20"/>
                <w:szCs w:val="20"/>
              </w:rPr>
              <w:t>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F566AF" w:rsidRDefault="00F566AF">
            <w:pPr>
              <w:pStyle w:val="BodyText"/>
              <w:spacing w:after="0"/>
              <w:ind w:firstLine="709"/>
              <w:jc w:val="both"/>
            </w:pPr>
            <w:bookmarkStart w:id="22" w:name="n2061"/>
            <w:bookmarkEnd w:id="22"/>
            <w:r>
              <w:rPr>
                <w:color w:val="000000"/>
                <w:sz w:val="20"/>
                <w:szCs w:val="20"/>
              </w:rPr>
              <w:t xml:space="preserve">Кількість стічних вод споживачів, які підлягають оплаті, визначають за фактичними обсягами відповідно до </w:t>
            </w:r>
            <w:r>
              <w:rPr>
                <w:b/>
                <w:bCs/>
                <w:color w:val="000000"/>
                <w:sz w:val="20"/>
                <w:szCs w:val="20"/>
              </w:rPr>
              <w:t>пунктів 45 56</w:t>
            </w:r>
            <w:r>
              <w:rPr>
                <w:color w:val="000000"/>
                <w:sz w:val="20"/>
                <w:szCs w:val="20"/>
              </w:rPr>
              <w:t xml:space="preserve"> цих Правил або згідно з Правилами користування.</w:t>
            </w:r>
          </w:p>
          <w:p w:rsidR="00F566AF" w:rsidRDefault="00F566AF">
            <w:pPr>
              <w:pStyle w:val="BodyText"/>
              <w:spacing w:after="0"/>
              <w:ind w:firstLine="709"/>
              <w:jc w:val="both"/>
              <w:rPr>
                <w:sz w:val="20"/>
                <w:szCs w:val="20"/>
              </w:rPr>
            </w:pPr>
            <w:bookmarkStart w:id="23" w:name="n2111"/>
            <w:bookmarkEnd w:id="23"/>
            <w:r>
              <w:rPr>
                <w:color w:val="000000"/>
                <w:sz w:val="20"/>
                <w:szCs w:val="20"/>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color w:val="000000"/>
                <w:sz w:val="20"/>
                <w:szCs w:val="20"/>
              </w:rPr>
              <w:t>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F566AF" w:rsidRDefault="00F566AF">
            <w:pPr>
              <w:pStyle w:val="BodyText"/>
              <w:spacing w:after="0"/>
              <w:ind w:firstLine="709"/>
              <w:jc w:val="both"/>
            </w:pPr>
            <w:bookmarkStart w:id="24" w:name="n20611"/>
            <w:bookmarkEnd w:id="24"/>
            <w:r>
              <w:rPr>
                <w:color w:val="000000"/>
                <w:sz w:val="20"/>
                <w:szCs w:val="20"/>
              </w:rPr>
              <w:t>Кількість стічних вод споживачів, які підлягають оплаті, визначають за фактичними обсягами відповідно до цих Правил або згідно з Правилами користування.</w:t>
            </w:r>
          </w:p>
          <w:p w:rsidR="00F566AF" w:rsidRDefault="00F566AF">
            <w:pPr>
              <w:pStyle w:val="BodyText"/>
              <w:spacing w:after="0"/>
              <w:ind w:firstLine="709"/>
              <w:jc w:val="both"/>
              <w:rPr>
                <w:sz w:val="20"/>
                <w:szCs w:val="20"/>
              </w:rPr>
            </w:pPr>
            <w:bookmarkStart w:id="25" w:name="n21111"/>
            <w:bookmarkEnd w:id="25"/>
            <w:r>
              <w:rPr>
                <w:color w:val="000000"/>
                <w:sz w:val="20"/>
                <w:szCs w:val="20"/>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50</w:t>
            </w:r>
          </w:p>
        </w:tc>
        <w:tc>
          <w:tcPr>
            <w:tcW w:w="6525" w:type="dxa"/>
            <w:tcBorders>
              <w:left w:val="single" w:sz="2" w:space="0" w:color="000001"/>
            </w:tcBorders>
            <w:tcMar>
              <w:left w:w="12" w:type="dxa"/>
            </w:tcMar>
          </w:tcPr>
          <w:p w:rsidR="00F566AF" w:rsidRDefault="00F566AF">
            <w:pPr>
              <w:pStyle w:val="BodyText"/>
              <w:spacing w:after="0"/>
              <w:ind w:firstLine="709"/>
              <w:jc w:val="both"/>
            </w:pPr>
            <w:r>
              <w:rPr>
                <w:rStyle w:val="a"/>
                <w:color w:val="000000"/>
                <w:sz w:val="20"/>
                <w:szCs w:val="20"/>
              </w:rPr>
              <w:t>У разі перевищення відношення ХСК/БСК</w:t>
            </w:r>
            <w:r>
              <w:rPr>
                <w:rStyle w:val="a"/>
                <w:color w:val="000000"/>
                <w:sz w:val="20"/>
                <w:szCs w:val="20"/>
                <w:vertAlign w:val="subscript"/>
              </w:rPr>
              <w:t>5</w:t>
            </w:r>
            <w:r>
              <w:rPr>
                <w:rStyle w:val="a"/>
                <w:color w:val="000000"/>
                <w:sz w:val="20"/>
                <w:szCs w:val="20"/>
              </w:rPr>
              <w:t>≤2,5 коефіцієнт кратності визначають за формулою</w:t>
            </w:r>
          </w:p>
          <w:p w:rsidR="00F566AF" w:rsidRDefault="00F566AF">
            <w:pPr>
              <w:pStyle w:val="BodyText"/>
              <w:spacing w:after="0"/>
              <w:ind w:firstLine="709"/>
              <w:jc w:val="both"/>
            </w:pPr>
            <w:bookmarkStart w:id="26" w:name="n2911"/>
            <w:bookmarkEnd w:id="26"/>
            <w:r>
              <w:rPr>
                <w:rStyle w:val="a"/>
                <w:color w:val="000000"/>
                <w:sz w:val="20"/>
                <w:szCs w:val="20"/>
                <w:lang w:val="en-US"/>
              </w:rPr>
              <w:t>K</w:t>
            </w:r>
            <w:r>
              <w:rPr>
                <w:rStyle w:val="a"/>
                <w:color w:val="000000"/>
                <w:sz w:val="20"/>
                <w:szCs w:val="20"/>
                <w:vertAlign w:val="subscript"/>
                <w:lang w:val="en-US"/>
              </w:rPr>
              <w:t>k</w:t>
            </w:r>
            <w:r w:rsidRPr="007C4EF1">
              <w:rPr>
                <w:rStyle w:val="a"/>
                <w:color w:val="000000"/>
                <w:sz w:val="20"/>
                <w:szCs w:val="20"/>
                <w:lang w:val="ru-RU"/>
              </w:rPr>
              <w:t xml:space="preserve"> = </w:t>
            </w:r>
            <w:r>
              <w:rPr>
                <w:rStyle w:val="a"/>
                <w:color w:val="000000"/>
                <w:sz w:val="20"/>
                <w:szCs w:val="20"/>
                <w:lang w:val="en-US"/>
              </w:rPr>
              <w:t>XCK</w:t>
            </w:r>
            <w:r w:rsidRPr="007C4EF1">
              <w:rPr>
                <w:rStyle w:val="a"/>
                <w:color w:val="000000"/>
                <w:sz w:val="20"/>
                <w:szCs w:val="20"/>
                <w:lang w:val="ru-RU"/>
              </w:rPr>
              <w:t xml:space="preserve"> / 2,5 * </w:t>
            </w:r>
            <w:r>
              <w:rPr>
                <w:rStyle w:val="a"/>
                <w:b/>
                <w:bCs/>
                <w:color w:val="000000"/>
                <w:sz w:val="20"/>
                <w:szCs w:val="20"/>
              </w:rPr>
              <w:t>БСК 5 - 1</w:t>
            </w:r>
          </w:p>
          <w:p w:rsidR="00F566AF" w:rsidRDefault="00F566AF">
            <w:pPr>
              <w:pStyle w:val="a9"/>
              <w:ind w:firstLine="709"/>
              <w:jc w:val="both"/>
              <w:rPr>
                <w:color w:val="000000"/>
                <w:sz w:val="20"/>
                <w:szCs w:val="20"/>
              </w:rPr>
            </w:pPr>
            <w:r>
              <w:rPr>
                <w:color w:val="000000"/>
                <w:sz w:val="20"/>
                <w:szCs w:val="20"/>
              </w:rPr>
              <w:t>ХСК - хімічне споживання кисню;</w:t>
            </w:r>
          </w:p>
          <w:p w:rsidR="00F566AF" w:rsidRDefault="00F566AF">
            <w:pPr>
              <w:pStyle w:val="a9"/>
              <w:ind w:firstLine="709"/>
              <w:jc w:val="both"/>
            </w:pPr>
            <w:r>
              <w:rPr>
                <w:rStyle w:val="a"/>
                <w:color w:val="000000"/>
                <w:sz w:val="20"/>
                <w:szCs w:val="20"/>
              </w:rPr>
              <w:t>БСК</w:t>
            </w:r>
            <w:r>
              <w:rPr>
                <w:rStyle w:val="a"/>
                <w:color w:val="000000"/>
                <w:sz w:val="20"/>
                <w:szCs w:val="20"/>
                <w:vertAlign w:val="subscript"/>
              </w:rPr>
              <w:t>5</w:t>
            </w:r>
            <w:r>
              <w:rPr>
                <w:rStyle w:val="a"/>
                <w:color w:val="000000"/>
                <w:sz w:val="20"/>
                <w:szCs w:val="20"/>
              </w:rPr>
              <w:t xml:space="preserve"> - біохімічне споживання кисню протягом п’яти діб.</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rStyle w:val="a"/>
                <w:color w:val="000000"/>
                <w:sz w:val="20"/>
                <w:szCs w:val="20"/>
              </w:rPr>
              <w:t>У разі перевищення відношення ХСК/БСК</w:t>
            </w:r>
            <w:r>
              <w:rPr>
                <w:rStyle w:val="a"/>
                <w:color w:val="000000"/>
                <w:sz w:val="20"/>
                <w:szCs w:val="20"/>
                <w:vertAlign w:val="subscript"/>
              </w:rPr>
              <w:t>5</w:t>
            </w:r>
            <w:r>
              <w:rPr>
                <w:rStyle w:val="a"/>
                <w:color w:val="000000"/>
                <w:sz w:val="20"/>
                <w:szCs w:val="20"/>
              </w:rPr>
              <w:t>≤2,5 коефіцієнт кратності визначають за формулою</w:t>
            </w:r>
          </w:p>
          <w:p w:rsidR="00F566AF" w:rsidRDefault="00F566AF">
            <w:pPr>
              <w:pStyle w:val="BodyText"/>
              <w:spacing w:after="0"/>
              <w:ind w:firstLine="709"/>
              <w:jc w:val="both"/>
            </w:pPr>
            <w:bookmarkStart w:id="27" w:name="n29111"/>
            <w:bookmarkEnd w:id="27"/>
            <w:r>
              <w:rPr>
                <w:rStyle w:val="a"/>
                <w:color w:val="000000"/>
                <w:sz w:val="20"/>
                <w:szCs w:val="20"/>
                <w:lang w:val="en-US"/>
              </w:rPr>
              <w:t>K</w:t>
            </w:r>
            <w:r>
              <w:rPr>
                <w:rStyle w:val="a"/>
                <w:color w:val="000000"/>
                <w:sz w:val="20"/>
                <w:szCs w:val="20"/>
                <w:vertAlign w:val="subscript"/>
                <w:lang w:val="en-US"/>
              </w:rPr>
              <w:t>k</w:t>
            </w:r>
            <w:r w:rsidRPr="007C4EF1">
              <w:rPr>
                <w:rStyle w:val="a"/>
                <w:color w:val="000000"/>
                <w:sz w:val="20"/>
                <w:szCs w:val="20"/>
                <w:vertAlign w:val="subscript"/>
                <w:lang w:val="ru-RU"/>
              </w:rPr>
              <w:t xml:space="preserve"> </w:t>
            </w:r>
            <w:r w:rsidRPr="007C4EF1">
              <w:rPr>
                <w:rStyle w:val="a"/>
                <w:color w:val="000000"/>
                <w:sz w:val="20"/>
                <w:szCs w:val="20"/>
                <w:lang w:val="ru-RU"/>
              </w:rPr>
              <w:t xml:space="preserve">= </w:t>
            </w:r>
            <w:r>
              <w:rPr>
                <w:rStyle w:val="a"/>
                <w:color w:val="000000"/>
                <w:sz w:val="20"/>
                <w:szCs w:val="20"/>
                <w:lang w:val="en-US"/>
              </w:rPr>
              <w:t>XCK</w:t>
            </w:r>
            <w:r w:rsidRPr="007C4EF1">
              <w:rPr>
                <w:rStyle w:val="a"/>
                <w:color w:val="000000"/>
                <w:sz w:val="20"/>
                <w:szCs w:val="20"/>
                <w:lang w:val="ru-RU"/>
              </w:rPr>
              <w:t xml:space="preserve"> / 2,5 * </w:t>
            </w:r>
            <w:r>
              <w:rPr>
                <w:rStyle w:val="a"/>
                <w:b/>
                <w:bCs/>
                <w:color w:val="000000"/>
                <w:sz w:val="20"/>
                <w:szCs w:val="20"/>
              </w:rPr>
              <w:t xml:space="preserve">БСК </w:t>
            </w:r>
            <w:r>
              <w:rPr>
                <w:rStyle w:val="a"/>
                <w:b/>
                <w:bCs/>
                <w:color w:val="000000"/>
                <w:sz w:val="20"/>
                <w:szCs w:val="20"/>
                <w:vertAlign w:val="subscript"/>
              </w:rPr>
              <w:t>5</w:t>
            </w:r>
            <w:r>
              <w:rPr>
                <w:rStyle w:val="a"/>
                <w:color w:val="000000"/>
                <w:sz w:val="20"/>
                <w:szCs w:val="20"/>
              </w:rPr>
              <w:t>- 1</w:t>
            </w:r>
          </w:p>
          <w:p w:rsidR="00F566AF" w:rsidRDefault="00F566AF">
            <w:pPr>
              <w:pStyle w:val="a9"/>
              <w:ind w:firstLine="709"/>
              <w:jc w:val="both"/>
            </w:pPr>
            <w:r>
              <w:rPr>
                <w:color w:val="000000"/>
                <w:sz w:val="20"/>
                <w:szCs w:val="20"/>
              </w:rPr>
              <w:t>ХСК - хімічне споживання кисню;</w:t>
            </w:r>
          </w:p>
          <w:p w:rsidR="00F566AF" w:rsidRDefault="00F566AF">
            <w:pPr>
              <w:pStyle w:val="a9"/>
              <w:ind w:firstLine="709"/>
              <w:jc w:val="both"/>
              <w:rPr>
                <w:sz w:val="20"/>
                <w:szCs w:val="20"/>
              </w:rPr>
            </w:pPr>
            <w:r>
              <w:rPr>
                <w:rStyle w:val="a"/>
                <w:color w:val="000000"/>
                <w:sz w:val="20"/>
                <w:szCs w:val="20"/>
              </w:rPr>
              <w:t>БСК</w:t>
            </w:r>
            <w:r>
              <w:rPr>
                <w:rStyle w:val="a"/>
                <w:color w:val="000000"/>
                <w:sz w:val="20"/>
                <w:szCs w:val="20"/>
                <w:vertAlign w:val="subscript"/>
              </w:rPr>
              <w:t>5</w:t>
            </w:r>
            <w:r>
              <w:rPr>
                <w:rStyle w:val="a"/>
                <w:color w:val="000000"/>
                <w:sz w:val="20"/>
                <w:szCs w:val="20"/>
              </w:rPr>
              <w:t xml:space="preserve"> - біохімічне споживання кисню протягом п’яти діб.</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53</w:t>
            </w:r>
          </w:p>
        </w:tc>
        <w:tc>
          <w:tcPr>
            <w:tcW w:w="6525" w:type="dxa"/>
            <w:tcBorders>
              <w:left w:val="single" w:sz="2" w:space="0" w:color="000001"/>
            </w:tcBorders>
            <w:tcMar>
              <w:left w:w="12" w:type="dxa"/>
            </w:tcMar>
          </w:tcPr>
          <w:p w:rsidR="00F566AF" w:rsidRDefault="00F566AF">
            <w:pPr>
              <w:pStyle w:val="BodyText"/>
              <w:spacing w:after="0"/>
              <w:ind w:firstLine="709"/>
              <w:jc w:val="both"/>
            </w:pPr>
            <w:r>
              <w:rPr>
                <w:rStyle w:val="a"/>
                <w:color w:val="000000"/>
                <w:sz w:val="20"/>
                <w:szCs w:val="20"/>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Pr>
                <w:rStyle w:val="a"/>
                <w:color w:val="000000"/>
                <w:sz w:val="20"/>
                <w:szCs w:val="20"/>
                <w:vertAlign w:val="subscript"/>
              </w:rPr>
              <w:t>f</w:t>
            </w:r>
            <w:r>
              <w:rPr>
                <w:rStyle w:val="a"/>
                <w:color w:val="000000"/>
                <w:sz w:val="20"/>
                <w:szCs w:val="20"/>
              </w:rPr>
              <w:t>) понад установлену допустимою концентрацією (ДК) коефіцієнт кратності (К</w:t>
            </w:r>
            <w:r>
              <w:rPr>
                <w:rStyle w:val="a"/>
                <w:color w:val="000000"/>
                <w:sz w:val="20"/>
                <w:szCs w:val="20"/>
                <w:vertAlign w:val="subscript"/>
              </w:rPr>
              <w:t>к</w:t>
            </w:r>
            <w:r>
              <w:rPr>
                <w:rStyle w:val="a"/>
                <w:color w:val="000000"/>
                <w:sz w:val="20"/>
                <w:szCs w:val="20"/>
              </w:rPr>
              <w:t>) для розрахунку плати за скид понаднормативних забруднень визначають за формулою</w:t>
            </w:r>
          </w:p>
          <w:p w:rsidR="00F566AF" w:rsidRDefault="00F566AF">
            <w:pPr>
              <w:pStyle w:val="BodyText"/>
              <w:spacing w:after="0"/>
              <w:ind w:firstLine="709"/>
              <w:jc w:val="both"/>
            </w:pPr>
            <w:r>
              <w:rPr>
                <w:rStyle w:val="a"/>
                <w:color w:val="000000"/>
                <w:sz w:val="20"/>
                <w:szCs w:val="20"/>
                <w:u w:val="single"/>
                <w:lang w:val="en-US"/>
              </w:rPr>
              <w:t>K</w:t>
            </w:r>
            <w:r>
              <w:rPr>
                <w:rStyle w:val="a"/>
                <w:color w:val="000000"/>
                <w:sz w:val="20"/>
                <w:szCs w:val="20"/>
                <w:u w:val="single"/>
                <w:vertAlign w:val="subscript"/>
                <w:lang w:val="en-US"/>
              </w:rPr>
              <w:t>k</w:t>
            </w:r>
            <w:r w:rsidRPr="007C4EF1">
              <w:rPr>
                <w:rStyle w:val="a"/>
                <w:color w:val="000000"/>
                <w:sz w:val="20"/>
                <w:szCs w:val="20"/>
                <w:u w:val="single"/>
              </w:rPr>
              <w:t xml:space="preserve"> = </w:t>
            </w:r>
            <w:r>
              <w:rPr>
                <w:rStyle w:val="a"/>
                <w:color w:val="000000"/>
                <w:sz w:val="20"/>
                <w:szCs w:val="20"/>
                <w:u w:val="single"/>
                <w:lang w:val="en-US"/>
              </w:rPr>
              <w:t>C</w:t>
            </w:r>
            <w:r>
              <w:rPr>
                <w:rStyle w:val="a"/>
                <w:color w:val="000000"/>
                <w:sz w:val="20"/>
                <w:szCs w:val="20"/>
                <w:u w:val="single"/>
                <w:vertAlign w:val="subscript"/>
                <w:lang w:val="en-US"/>
              </w:rPr>
              <w:t>f</w:t>
            </w:r>
            <w:r w:rsidRPr="007C4EF1">
              <w:rPr>
                <w:rStyle w:val="a"/>
                <w:color w:val="000000"/>
                <w:sz w:val="20"/>
                <w:szCs w:val="20"/>
                <w:u w:val="single"/>
              </w:rPr>
              <w:t xml:space="preserve"> /</w:t>
            </w:r>
            <w:r>
              <w:rPr>
                <w:rStyle w:val="a"/>
                <w:color w:val="000000"/>
                <w:sz w:val="20"/>
                <w:szCs w:val="20"/>
                <w:u w:val="single"/>
              </w:rPr>
              <w:t xml:space="preserve"> ДК - 1</w:t>
            </w:r>
          </w:p>
          <w:p w:rsidR="00F566AF" w:rsidRDefault="00F566AF">
            <w:pPr>
              <w:pStyle w:val="BodyText"/>
              <w:spacing w:after="0"/>
              <w:ind w:firstLine="709"/>
              <w:jc w:val="both"/>
              <w:rPr>
                <w:color w:val="000000"/>
                <w:sz w:val="20"/>
                <w:szCs w:val="20"/>
              </w:rPr>
            </w:pPr>
            <w:bookmarkStart w:id="28" w:name="n3511"/>
            <w:bookmarkEnd w:id="28"/>
            <w:r>
              <w:rPr>
                <w:color w:val="000000"/>
                <w:sz w:val="20"/>
                <w:szCs w:val="20"/>
              </w:rPr>
              <w:t xml:space="preserve">Коефіцієнт кратності при перевищенні ДК однієї речовини не може перевищувати 5, крім випадків, передбачених пунктами </w:t>
            </w:r>
            <w:r>
              <w:rPr>
                <w:b/>
                <w:bCs/>
                <w:color w:val="000000"/>
                <w:sz w:val="20"/>
                <w:szCs w:val="20"/>
              </w:rPr>
              <w:t>4, 5 цього розділу</w:t>
            </w:r>
            <w:r>
              <w:rPr>
                <w:color w:val="000000"/>
                <w:sz w:val="20"/>
                <w:szCs w:val="20"/>
              </w:rPr>
              <w:t>.</w:t>
            </w:r>
          </w:p>
        </w:tc>
        <w:tc>
          <w:tcPr>
            <w:tcW w:w="7088" w:type="dxa"/>
            <w:tcBorders>
              <w:left w:val="single" w:sz="2" w:space="0" w:color="000001"/>
              <w:right w:val="single" w:sz="2" w:space="0" w:color="000001"/>
            </w:tcBorders>
            <w:tcMar>
              <w:left w:w="12" w:type="dxa"/>
            </w:tcMar>
          </w:tcPr>
          <w:p w:rsidR="00F566AF" w:rsidRDefault="00F566AF">
            <w:pPr>
              <w:pStyle w:val="BodyText"/>
              <w:spacing w:after="0"/>
              <w:ind w:firstLine="709"/>
              <w:jc w:val="both"/>
            </w:pPr>
            <w:r>
              <w:rPr>
                <w:rStyle w:val="a"/>
                <w:color w:val="000000"/>
                <w:sz w:val="20"/>
                <w:szCs w:val="20"/>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Pr>
                <w:rStyle w:val="a"/>
                <w:color w:val="000000"/>
                <w:sz w:val="20"/>
                <w:szCs w:val="20"/>
                <w:vertAlign w:val="subscript"/>
              </w:rPr>
              <w:t>f</w:t>
            </w:r>
            <w:r>
              <w:rPr>
                <w:rStyle w:val="a"/>
                <w:color w:val="000000"/>
                <w:sz w:val="20"/>
                <w:szCs w:val="20"/>
              </w:rPr>
              <w:t>) понад установлену допустимою концентрацією (ДК) коефіцієнт кратності (К</w:t>
            </w:r>
            <w:r>
              <w:rPr>
                <w:rStyle w:val="a"/>
                <w:color w:val="000000"/>
                <w:sz w:val="20"/>
                <w:szCs w:val="20"/>
                <w:vertAlign w:val="subscript"/>
              </w:rPr>
              <w:t>к</w:t>
            </w:r>
            <w:r>
              <w:rPr>
                <w:rStyle w:val="a"/>
                <w:color w:val="000000"/>
                <w:sz w:val="20"/>
                <w:szCs w:val="20"/>
              </w:rPr>
              <w:t>) для розрахунку плати за скид понаднормативних забруднень визначають за формулою</w:t>
            </w:r>
          </w:p>
          <w:p w:rsidR="00F566AF" w:rsidRDefault="00F566AF">
            <w:pPr>
              <w:pStyle w:val="BodyText"/>
              <w:spacing w:after="0"/>
              <w:ind w:firstLine="709"/>
              <w:jc w:val="both"/>
            </w:pPr>
            <w:r>
              <w:rPr>
                <w:rStyle w:val="a"/>
                <w:color w:val="000000"/>
                <w:sz w:val="20"/>
                <w:szCs w:val="20"/>
                <w:u w:val="single"/>
                <w:lang w:val="en-US"/>
              </w:rPr>
              <w:t>K</w:t>
            </w:r>
            <w:r>
              <w:rPr>
                <w:rStyle w:val="a"/>
                <w:color w:val="000000"/>
                <w:sz w:val="20"/>
                <w:szCs w:val="20"/>
                <w:u w:val="single"/>
                <w:vertAlign w:val="subscript"/>
                <w:lang w:val="en-US"/>
              </w:rPr>
              <w:t>k</w:t>
            </w:r>
            <w:r w:rsidRPr="007C4EF1">
              <w:rPr>
                <w:rStyle w:val="a"/>
                <w:color w:val="000000"/>
                <w:sz w:val="20"/>
                <w:szCs w:val="20"/>
                <w:u w:val="single"/>
                <w:lang w:val="ru-RU"/>
              </w:rPr>
              <w:t xml:space="preserve"> = </w:t>
            </w:r>
            <w:r>
              <w:rPr>
                <w:rStyle w:val="a"/>
                <w:color w:val="000000"/>
                <w:sz w:val="20"/>
                <w:szCs w:val="20"/>
                <w:u w:val="single"/>
                <w:lang w:val="en-US"/>
              </w:rPr>
              <w:t>C</w:t>
            </w:r>
            <w:r>
              <w:rPr>
                <w:rStyle w:val="a"/>
                <w:color w:val="000000"/>
                <w:sz w:val="20"/>
                <w:szCs w:val="20"/>
                <w:u w:val="single"/>
                <w:vertAlign w:val="subscript"/>
                <w:lang w:val="en-US"/>
              </w:rPr>
              <w:t>f</w:t>
            </w:r>
            <w:r w:rsidRPr="007C4EF1">
              <w:rPr>
                <w:rStyle w:val="a"/>
                <w:color w:val="000000"/>
                <w:sz w:val="20"/>
                <w:szCs w:val="20"/>
                <w:u w:val="single"/>
                <w:lang w:val="ru-RU"/>
              </w:rPr>
              <w:t xml:space="preserve"> /</w:t>
            </w:r>
            <w:r>
              <w:rPr>
                <w:rStyle w:val="a"/>
                <w:color w:val="000000"/>
                <w:sz w:val="20"/>
                <w:szCs w:val="20"/>
                <w:u w:val="single"/>
              </w:rPr>
              <w:t xml:space="preserve"> ДК - 1</w:t>
            </w:r>
          </w:p>
          <w:p w:rsidR="00F566AF" w:rsidRDefault="00F566AF">
            <w:pPr>
              <w:pStyle w:val="BodyText"/>
              <w:spacing w:after="0"/>
              <w:ind w:firstLine="709"/>
              <w:jc w:val="both"/>
            </w:pPr>
            <w:r>
              <w:rPr>
                <w:rStyle w:val="a"/>
                <w:b/>
                <w:bCs/>
                <w:color w:val="000000"/>
                <w:sz w:val="20"/>
                <w:szCs w:val="20"/>
              </w:rPr>
              <w:t>У разі укладення договору про приймання понаднормативно забруднених стічних вод розрахунок плати визначається з врахуванням  встановленого відсотку нарахування (В) за формулою</w:t>
            </w:r>
          </w:p>
          <w:p w:rsidR="00F566AF" w:rsidRDefault="00F566AF">
            <w:pPr>
              <w:pStyle w:val="BodyText"/>
              <w:spacing w:after="0"/>
              <w:ind w:firstLine="709"/>
              <w:jc w:val="both"/>
              <w:rPr>
                <w:sz w:val="20"/>
                <w:szCs w:val="20"/>
              </w:rPr>
            </w:pPr>
            <w:r>
              <w:rPr>
                <w:rStyle w:val="a"/>
                <w:b/>
                <w:bCs/>
                <w:color w:val="000000"/>
                <w:sz w:val="20"/>
                <w:szCs w:val="20"/>
                <w:u w:val="single"/>
                <w:lang w:val="en-US"/>
              </w:rPr>
              <w:t>K</w:t>
            </w:r>
            <w:r>
              <w:rPr>
                <w:rStyle w:val="a"/>
                <w:b/>
                <w:bCs/>
                <w:color w:val="000000"/>
                <w:sz w:val="20"/>
                <w:szCs w:val="20"/>
                <w:u w:val="single"/>
                <w:vertAlign w:val="subscript"/>
                <w:lang w:val="en-US"/>
              </w:rPr>
              <w:t>k</w:t>
            </w:r>
            <w:r w:rsidRPr="007C4EF1">
              <w:rPr>
                <w:rStyle w:val="a"/>
                <w:b/>
                <w:bCs/>
                <w:color w:val="000000"/>
                <w:sz w:val="20"/>
                <w:szCs w:val="20"/>
                <w:u w:val="single"/>
              </w:rPr>
              <w:t xml:space="preserve"> = </w:t>
            </w:r>
            <w:r>
              <w:rPr>
                <w:rStyle w:val="a"/>
                <w:b/>
                <w:bCs/>
                <w:color w:val="000000"/>
                <w:sz w:val="20"/>
                <w:szCs w:val="20"/>
                <w:u w:val="single"/>
              </w:rPr>
              <w:t>(</w:t>
            </w:r>
            <w:r>
              <w:rPr>
                <w:rStyle w:val="a"/>
                <w:b/>
                <w:bCs/>
                <w:color w:val="000000"/>
                <w:sz w:val="20"/>
                <w:szCs w:val="20"/>
                <w:u w:val="single"/>
                <w:lang w:val="en-US"/>
              </w:rPr>
              <w:t>C</w:t>
            </w:r>
            <w:r>
              <w:rPr>
                <w:rStyle w:val="a"/>
                <w:b/>
                <w:bCs/>
                <w:color w:val="000000"/>
                <w:sz w:val="20"/>
                <w:szCs w:val="20"/>
                <w:u w:val="single"/>
                <w:vertAlign w:val="subscript"/>
                <w:lang w:val="en-US"/>
              </w:rPr>
              <w:t>f</w:t>
            </w:r>
            <w:r w:rsidRPr="007C4EF1">
              <w:rPr>
                <w:rStyle w:val="a"/>
                <w:b/>
                <w:bCs/>
                <w:color w:val="000000"/>
                <w:position w:val="-1"/>
                <w:sz w:val="20"/>
                <w:szCs w:val="20"/>
                <w:u w:val="single"/>
              </w:rPr>
              <w:t xml:space="preserve"> </w:t>
            </w:r>
            <w:r w:rsidRPr="007C4EF1">
              <w:rPr>
                <w:rStyle w:val="a"/>
                <w:b/>
                <w:bCs/>
                <w:color w:val="000000"/>
                <w:sz w:val="20"/>
                <w:szCs w:val="20"/>
                <w:u w:val="single"/>
              </w:rPr>
              <w:t xml:space="preserve"> /</w:t>
            </w:r>
            <w:r>
              <w:rPr>
                <w:rStyle w:val="a"/>
                <w:b/>
                <w:bCs/>
                <w:color w:val="000000"/>
                <w:sz w:val="20"/>
                <w:szCs w:val="20"/>
                <w:u w:val="single"/>
              </w:rPr>
              <w:t xml:space="preserve"> ДК - 1) * В</w:t>
            </w:r>
          </w:p>
          <w:p w:rsidR="00F566AF" w:rsidRDefault="00F566AF">
            <w:pPr>
              <w:pStyle w:val="BodyText"/>
              <w:spacing w:after="0"/>
              <w:ind w:firstLine="709"/>
              <w:jc w:val="both"/>
            </w:pPr>
            <w:r>
              <w:rPr>
                <w:rStyle w:val="a"/>
                <w:b/>
                <w:bCs/>
                <w:color w:val="000000"/>
                <w:sz w:val="20"/>
                <w:szCs w:val="20"/>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Pr>
                <w:rStyle w:val="a"/>
                <w:b/>
                <w:bCs/>
                <w:color w:val="000000"/>
                <w:sz w:val="20"/>
                <w:szCs w:val="20"/>
                <w:vertAlign w:val="subscript"/>
              </w:rPr>
              <w:t>f</w:t>
            </w:r>
            <w:r>
              <w:rPr>
                <w:rStyle w:val="a"/>
                <w:b/>
                <w:bCs/>
                <w:color w:val="000000"/>
                <w:sz w:val="20"/>
                <w:szCs w:val="20"/>
              </w:rPr>
              <w:t>) понад тимчасово погоджені концентрації забруднюючих речовин (ТДК) коефіцієнт кратності (К</w:t>
            </w:r>
            <w:r>
              <w:rPr>
                <w:rStyle w:val="a"/>
                <w:b/>
                <w:bCs/>
                <w:color w:val="000000"/>
                <w:sz w:val="20"/>
                <w:szCs w:val="20"/>
                <w:vertAlign w:val="subscript"/>
              </w:rPr>
              <w:t>к</w:t>
            </w:r>
            <w:r>
              <w:rPr>
                <w:rStyle w:val="a"/>
                <w:b/>
                <w:bCs/>
                <w:color w:val="000000"/>
                <w:sz w:val="20"/>
                <w:szCs w:val="20"/>
              </w:rPr>
              <w:t>) для розрахунку плати за скид понаднормативних забруднень визначають за формулою</w:t>
            </w:r>
          </w:p>
          <w:p w:rsidR="00F566AF" w:rsidRDefault="00F566AF">
            <w:pPr>
              <w:pStyle w:val="BodyText"/>
              <w:spacing w:after="0"/>
              <w:ind w:firstLine="709"/>
              <w:jc w:val="both"/>
              <w:rPr>
                <w:sz w:val="20"/>
                <w:szCs w:val="20"/>
              </w:rPr>
            </w:pPr>
            <w:r>
              <w:rPr>
                <w:rStyle w:val="a"/>
                <w:b/>
                <w:bCs/>
                <w:color w:val="000000"/>
                <w:sz w:val="20"/>
                <w:szCs w:val="20"/>
                <w:u w:val="single"/>
                <w:lang w:val="en-US"/>
              </w:rPr>
              <w:t>K</w:t>
            </w:r>
            <w:r>
              <w:rPr>
                <w:rStyle w:val="a"/>
                <w:b/>
                <w:bCs/>
                <w:color w:val="000000"/>
                <w:sz w:val="20"/>
                <w:szCs w:val="20"/>
                <w:u w:val="single"/>
                <w:vertAlign w:val="subscript"/>
                <w:lang w:val="en-US"/>
              </w:rPr>
              <w:t>k</w:t>
            </w:r>
            <w:r w:rsidRPr="007C4EF1">
              <w:rPr>
                <w:rStyle w:val="a"/>
                <w:b/>
                <w:bCs/>
                <w:color w:val="000000"/>
                <w:sz w:val="20"/>
                <w:szCs w:val="20"/>
                <w:u w:val="single"/>
                <w:vertAlign w:val="subscript"/>
                <w:lang w:val="ru-RU"/>
              </w:rPr>
              <w:t xml:space="preserve"> </w:t>
            </w:r>
            <w:r w:rsidRPr="007C4EF1">
              <w:rPr>
                <w:rStyle w:val="a"/>
                <w:b/>
                <w:bCs/>
                <w:color w:val="000000"/>
                <w:sz w:val="20"/>
                <w:szCs w:val="20"/>
                <w:u w:val="single"/>
                <w:lang w:val="ru-RU"/>
              </w:rPr>
              <w:t xml:space="preserve">= </w:t>
            </w:r>
            <w:r>
              <w:rPr>
                <w:rStyle w:val="a"/>
                <w:b/>
                <w:bCs/>
                <w:color w:val="000000"/>
                <w:sz w:val="20"/>
                <w:szCs w:val="20"/>
                <w:u w:val="single"/>
              </w:rPr>
              <w:t>((ТДК</w:t>
            </w:r>
            <w:r w:rsidRPr="007C4EF1">
              <w:rPr>
                <w:rStyle w:val="a"/>
                <w:b/>
                <w:bCs/>
                <w:color w:val="000000"/>
                <w:sz w:val="20"/>
                <w:szCs w:val="20"/>
                <w:u w:val="single"/>
                <w:lang w:val="ru-RU"/>
              </w:rPr>
              <w:t xml:space="preserve"> / ДК - 1) * В</w:t>
            </w:r>
            <w:r>
              <w:rPr>
                <w:rStyle w:val="a"/>
                <w:b/>
                <w:bCs/>
                <w:color w:val="000000"/>
                <w:sz w:val="20"/>
                <w:szCs w:val="20"/>
                <w:u w:val="single"/>
              </w:rPr>
              <w:t>) + (</w:t>
            </w:r>
            <w:r>
              <w:rPr>
                <w:rStyle w:val="a"/>
                <w:b/>
                <w:bCs/>
                <w:color w:val="000000"/>
                <w:sz w:val="20"/>
                <w:szCs w:val="20"/>
                <w:u w:val="single"/>
                <w:lang w:val="en-US"/>
              </w:rPr>
              <w:t>C</w:t>
            </w:r>
            <w:r>
              <w:rPr>
                <w:rStyle w:val="a"/>
                <w:b/>
                <w:bCs/>
                <w:color w:val="000000"/>
                <w:sz w:val="20"/>
                <w:szCs w:val="20"/>
                <w:u w:val="single"/>
                <w:vertAlign w:val="subscript"/>
                <w:lang w:val="en-US"/>
              </w:rPr>
              <w:t>f</w:t>
            </w:r>
            <w:r w:rsidRPr="007C4EF1">
              <w:rPr>
                <w:rStyle w:val="a"/>
                <w:b/>
                <w:bCs/>
                <w:color w:val="000000"/>
                <w:sz w:val="20"/>
                <w:szCs w:val="20"/>
                <w:u w:val="single"/>
                <w:lang w:val="ru-RU"/>
              </w:rPr>
              <w:t xml:space="preserve"> /</w:t>
            </w:r>
            <w:r>
              <w:rPr>
                <w:rStyle w:val="a"/>
                <w:b/>
                <w:bCs/>
                <w:color w:val="000000"/>
                <w:sz w:val="20"/>
                <w:szCs w:val="20"/>
                <w:u w:val="single"/>
              </w:rPr>
              <w:t xml:space="preserve"> ТДК - 1)</w:t>
            </w:r>
          </w:p>
          <w:p w:rsidR="00F566AF" w:rsidRDefault="00F566AF">
            <w:pPr>
              <w:pStyle w:val="BodyText"/>
              <w:spacing w:after="0"/>
              <w:ind w:firstLine="709"/>
              <w:jc w:val="both"/>
              <w:rPr>
                <w:sz w:val="20"/>
                <w:szCs w:val="20"/>
              </w:rPr>
            </w:pPr>
            <w:bookmarkStart w:id="29" w:name="n35111"/>
            <w:bookmarkEnd w:id="29"/>
            <w:r>
              <w:rPr>
                <w:color w:val="000000"/>
                <w:sz w:val="20"/>
                <w:szCs w:val="20"/>
              </w:rPr>
              <w:t xml:space="preserve">Коефіцієнт кратності при перевищенні ДК однієї речовини не може перевищувати 5, крім випадків, передбачених пунктами </w:t>
            </w:r>
            <w:r>
              <w:rPr>
                <w:b/>
                <w:bCs/>
                <w:color w:val="000000"/>
                <w:sz w:val="20"/>
                <w:szCs w:val="20"/>
              </w:rPr>
              <w:t>4</w:t>
            </w:r>
            <w:r w:rsidRPr="007C4EF1">
              <w:rPr>
                <w:b/>
                <w:bCs/>
                <w:color w:val="000000"/>
                <w:sz w:val="20"/>
                <w:szCs w:val="20"/>
                <w:lang w:val="ru-RU"/>
              </w:rPr>
              <w:t>8</w:t>
            </w:r>
            <w:r>
              <w:rPr>
                <w:b/>
                <w:bCs/>
                <w:color w:val="000000"/>
                <w:sz w:val="20"/>
                <w:szCs w:val="20"/>
              </w:rPr>
              <w:t xml:space="preserve">, </w:t>
            </w:r>
            <w:r w:rsidRPr="007C4EF1">
              <w:rPr>
                <w:b/>
                <w:bCs/>
                <w:color w:val="000000"/>
                <w:sz w:val="20"/>
                <w:szCs w:val="20"/>
                <w:lang w:val="ru-RU"/>
              </w:rPr>
              <w:t>49</w:t>
            </w:r>
            <w:r>
              <w:rPr>
                <w:b/>
                <w:bCs/>
                <w:color w:val="000000"/>
                <w:sz w:val="20"/>
                <w:szCs w:val="20"/>
              </w:rPr>
              <w:t xml:space="preserve"> цих Правил.</w:t>
            </w:r>
          </w:p>
        </w:tc>
      </w:tr>
      <w:tr w:rsidR="00F566AF">
        <w:trPr>
          <w:gridBefore w:val="1"/>
          <w:wBefore w:w="33" w:type="dxa"/>
        </w:trPr>
        <w:tc>
          <w:tcPr>
            <w:tcW w:w="14788" w:type="dxa"/>
            <w:gridSpan w:val="3"/>
            <w:tcBorders>
              <w:right w:val="single" w:sz="2" w:space="0" w:color="000001"/>
            </w:tcBorders>
            <w:tcMar>
              <w:left w:w="12" w:type="dxa"/>
            </w:tcMar>
          </w:tcPr>
          <w:p w:rsidR="00F566AF" w:rsidRDefault="00F566AF">
            <w:pPr>
              <w:ind w:firstLine="709"/>
              <w:jc w:val="center"/>
            </w:pPr>
            <w:r>
              <w:rPr>
                <w:rStyle w:val="a"/>
                <w:b/>
                <w:bCs/>
                <w:color w:val="000000"/>
                <w:sz w:val="20"/>
                <w:szCs w:val="20"/>
                <w:lang w:val="en-US"/>
              </w:rPr>
              <w:t>VIII</w:t>
            </w:r>
            <w:r>
              <w:rPr>
                <w:rStyle w:val="a"/>
                <w:b/>
                <w:bCs/>
                <w:color w:val="000000"/>
                <w:sz w:val="20"/>
                <w:szCs w:val="20"/>
              </w:rPr>
              <w:t>. Порядок приймання стічних вод асенізаційним транспортом.</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70</w:t>
            </w:r>
          </w:p>
        </w:tc>
        <w:tc>
          <w:tcPr>
            <w:tcW w:w="6525" w:type="dxa"/>
            <w:tcBorders>
              <w:left w:val="single" w:sz="2" w:space="0" w:color="000001"/>
            </w:tcBorders>
            <w:tcMar>
              <w:left w:w="12" w:type="dxa"/>
            </w:tcMar>
          </w:tcPr>
          <w:p w:rsidR="00F566AF" w:rsidRDefault="00F566AF">
            <w:pPr>
              <w:ind w:firstLine="709"/>
              <w:jc w:val="both"/>
            </w:pPr>
            <w:r>
              <w:rPr>
                <w:color w:val="000000"/>
                <w:sz w:val="20"/>
                <w:szCs w:val="20"/>
              </w:rPr>
              <w:t xml:space="preserve">Перевезення рідких відходів до місця їхнього скидання здійснюється </w:t>
            </w:r>
            <w:r>
              <w:rPr>
                <w:b/>
                <w:bCs/>
                <w:color w:val="000000"/>
                <w:sz w:val="20"/>
                <w:szCs w:val="20"/>
              </w:rPr>
              <w:t>Комунальним підприємством “Тернопільводоканал” або іншою</w:t>
            </w:r>
            <w:r>
              <w:rPr>
                <w:color w:val="000000"/>
                <w:sz w:val="20"/>
                <w:szCs w:val="20"/>
              </w:rPr>
              <w:t xml:space="preserve"> спеціалізованою організацією, яка має право на здійснення такого виду діяльності та має необхідні технічні можливості (далі — Перевізник).</w:t>
            </w:r>
          </w:p>
        </w:tc>
        <w:tc>
          <w:tcPr>
            <w:tcW w:w="7088" w:type="dxa"/>
            <w:tcBorders>
              <w:left w:val="single" w:sz="2" w:space="0" w:color="000001"/>
              <w:right w:val="single" w:sz="2" w:space="0" w:color="000001"/>
            </w:tcBorders>
            <w:tcMar>
              <w:left w:w="12" w:type="dxa"/>
            </w:tcMar>
          </w:tcPr>
          <w:p w:rsidR="00F566AF" w:rsidRDefault="00F566AF">
            <w:pPr>
              <w:ind w:firstLine="709"/>
              <w:jc w:val="both"/>
              <w:rPr>
                <w:color w:val="000000"/>
              </w:rPr>
            </w:pPr>
            <w:r>
              <w:rPr>
                <w:color w:val="000000"/>
                <w:sz w:val="20"/>
                <w:szCs w:val="20"/>
              </w:rPr>
              <w:t>Перевезення рідких відходів до місця їхнього скидання здійснюється спеціалізованими організаціями, які мають право на здійснення такого виду діяльності та мають необхідні технічні можливості (далі — Перевізник).</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71</w:t>
            </w:r>
          </w:p>
        </w:tc>
        <w:tc>
          <w:tcPr>
            <w:tcW w:w="6525" w:type="dxa"/>
            <w:tcBorders>
              <w:left w:val="single" w:sz="2" w:space="0" w:color="000001"/>
            </w:tcBorders>
            <w:tcMar>
              <w:left w:w="12" w:type="dxa"/>
            </w:tcMar>
          </w:tcPr>
          <w:p w:rsidR="00F566AF" w:rsidRDefault="00F566AF">
            <w:pPr>
              <w:ind w:firstLine="709"/>
              <w:jc w:val="both"/>
            </w:pPr>
            <w:r>
              <w:rPr>
                <w:rStyle w:val="a"/>
                <w:color w:val="000000"/>
                <w:sz w:val="20"/>
                <w:szCs w:val="20"/>
              </w:rPr>
              <w:t xml:space="preserve">Перевезення рідких відходів здійснюється спеціалізованими машинами, обладнаними терміналами автомобільної навігації із виведенням даних на центральний пункт диспетчеризації через </w:t>
            </w:r>
            <w:r>
              <w:rPr>
                <w:rStyle w:val="a"/>
                <w:color w:val="000000"/>
                <w:sz w:val="20"/>
                <w:szCs w:val="20"/>
                <w:lang w:val="en-US"/>
              </w:rPr>
              <w:t>GPS</w:t>
            </w:r>
            <w:r>
              <w:rPr>
                <w:rStyle w:val="a"/>
                <w:color w:val="000000"/>
                <w:sz w:val="20"/>
                <w:szCs w:val="20"/>
              </w:rPr>
              <w:t xml:space="preserve">-пристрої. Тернопільська міська рада </w:t>
            </w:r>
            <w:r>
              <w:rPr>
                <w:rStyle w:val="a"/>
                <w:b/>
                <w:bCs/>
                <w:color w:val="000000"/>
                <w:sz w:val="20"/>
                <w:szCs w:val="20"/>
              </w:rPr>
              <w:t xml:space="preserve">забезпечує </w:t>
            </w:r>
            <w:r>
              <w:rPr>
                <w:rStyle w:val="a"/>
                <w:color w:val="000000"/>
                <w:sz w:val="20"/>
                <w:szCs w:val="20"/>
              </w:rPr>
              <w:t xml:space="preserve">висвітлення роботи спеціалізованих машин за даними </w:t>
            </w:r>
            <w:r>
              <w:rPr>
                <w:rStyle w:val="a"/>
                <w:color w:val="000000"/>
                <w:sz w:val="20"/>
                <w:szCs w:val="20"/>
                <w:lang w:val="en-US"/>
              </w:rPr>
              <w:t>GPS</w:t>
            </w:r>
            <w:r w:rsidRPr="007C4EF1">
              <w:rPr>
                <w:rStyle w:val="a"/>
                <w:color w:val="000000"/>
                <w:sz w:val="20"/>
                <w:szCs w:val="20"/>
                <w:lang w:val="ru-RU"/>
              </w:rPr>
              <w:t>-</w:t>
            </w:r>
            <w:r>
              <w:rPr>
                <w:rStyle w:val="a"/>
                <w:color w:val="000000"/>
                <w:sz w:val="20"/>
                <w:szCs w:val="20"/>
              </w:rPr>
              <w:t xml:space="preserve">пристроїв у мережі інтернет. Перевізники зобов'язані забезпечувати постійну цілодобову роботу </w:t>
            </w:r>
            <w:r>
              <w:rPr>
                <w:rStyle w:val="a"/>
                <w:color w:val="000000"/>
                <w:sz w:val="20"/>
                <w:szCs w:val="20"/>
                <w:lang w:val="en-US"/>
              </w:rPr>
              <w:t>GPS</w:t>
            </w:r>
            <w:r>
              <w:rPr>
                <w:rStyle w:val="a"/>
                <w:color w:val="000000"/>
                <w:sz w:val="20"/>
                <w:szCs w:val="20"/>
              </w:rPr>
              <w:t>-пристроїв.</w:t>
            </w:r>
          </w:p>
        </w:tc>
        <w:tc>
          <w:tcPr>
            <w:tcW w:w="7088" w:type="dxa"/>
            <w:tcBorders>
              <w:left w:val="single" w:sz="2" w:space="0" w:color="000001"/>
              <w:right w:val="single" w:sz="2" w:space="0" w:color="000001"/>
            </w:tcBorders>
            <w:tcMar>
              <w:left w:w="12" w:type="dxa"/>
            </w:tcMar>
          </w:tcPr>
          <w:p w:rsidR="00F566AF" w:rsidRDefault="00F566AF">
            <w:pPr>
              <w:ind w:firstLine="709"/>
              <w:jc w:val="both"/>
              <w:rPr>
                <w:sz w:val="20"/>
                <w:szCs w:val="20"/>
              </w:rPr>
            </w:pPr>
            <w:r>
              <w:rPr>
                <w:rStyle w:val="a"/>
                <w:color w:val="000000"/>
                <w:sz w:val="20"/>
                <w:szCs w:val="20"/>
              </w:rPr>
              <w:t xml:space="preserve">Перевезення рідких відходів здійснюється спеціалізованими машинами, обладнаними терміналами автомобільної навігації із виведенням даних на центральний пункт диспетчеризації через </w:t>
            </w:r>
            <w:r>
              <w:rPr>
                <w:rStyle w:val="a"/>
                <w:color w:val="000000"/>
                <w:sz w:val="20"/>
                <w:szCs w:val="20"/>
                <w:lang w:val="en-US"/>
              </w:rPr>
              <w:t>GPS</w:t>
            </w:r>
            <w:r>
              <w:rPr>
                <w:rStyle w:val="a"/>
                <w:color w:val="000000"/>
                <w:sz w:val="20"/>
                <w:szCs w:val="20"/>
              </w:rPr>
              <w:t xml:space="preserve">-пристрої. Тернопільська міська рада </w:t>
            </w:r>
            <w:r>
              <w:rPr>
                <w:rStyle w:val="a"/>
                <w:b/>
                <w:bCs/>
                <w:color w:val="000000"/>
                <w:sz w:val="20"/>
                <w:szCs w:val="20"/>
              </w:rPr>
              <w:t>вживає заходів щодо забезпечення</w:t>
            </w:r>
            <w:r>
              <w:rPr>
                <w:rStyle w:val="a"/>
                <w:color w:val="000000"/>
                <w:sz w:val="20"/>
                <w:szCs w:val="20"/>
              </w:rPr>
              <w:t xml:space="preserve"> висвітлення роботи спеціалізованих машин за даними </w:t>
            </w:r>
            <w:r>
              <w:rPr>
                <w:rStyle w:val="a"/>
                <w:color w:val="000000"/>
                <w:sz w:val="20"/>
                <w:szCs w:val="20"/>
                <w:lang w:val="en-US"/>
              </w:rPr>
              <w:t>GPS</w:t>
            </w:r>
            <w:r w:rsidRPr="007C4EF1">
              <w:rPr>
                <w:rStyle w:val="a"/>
                <w:color w:val="000000"/>
                <w:sz w:val="20"/>
                <w:szCs w:val="20"/>
                <w:lang w:val="ru-RU"/>
              </w:rPr>
              <w:t>-</w:t>
            </w:r>
            <w:r>
              <w:rPr>
                <w:rStyle w:val="a"/>
                <w:color w:val="000000"/>
                <w:sz w:val="20"/>
                <w:szCs w:val="20"/>
              </w:rPr>
              <w:t xml:space="preserve">пристроїв у мережі інтернет. Перевізники зобов'язані забезпечувати постійну цілодобову роботу </w:t>
            </w:r>
            <w:r>
              <w:rPr>
                <w:rStyle w:val="a"/>
                <w:color w:val="000000"/>
                <w:sz w:val="20"/>
                <w:szCs w:val="20"/>
                <w:lang w:val="en-US"/>
              </w:rPr>
              <w:t>GPS</w:t>
            </w:r>
            <w:r>
              <w:rPr>
                <w:rStyle w:val="a"/>
                <w:color w:val="000000"/>
                <w:sz w:val="20"/>
                <w:szCs w:val="20"/>
              </w:rPr>
              <w:t>-пристроїв.</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72</w:t>
            </w:r>
          </w:p>
        </w:tc>
        <w:tc>
          <w:tcPr>
            <w:tcW w:w="6525" w:type="dxa"/>
            <w:tcBorders>
              <w:left w:val="single" w:sz="2" w:space="0" w:color="000001"/>
            </w:tcBorders>
            <w:tcMar>
              <w:left w:w="12" w:type="dxa"/>
            </w:tcMar>
          </w:tcPr>
          <w:p w:rsidR="00F566AF" w:rsidRDefault="00F566AF">
            <w:pPr>
              <w:ind w:firstLine="709"/>
              <w:jc w:val="both"/>
              <w:rPr>
                <w:color w:val="000000"/>
                <w:sz w:val="20"/>
                <w:szCs w:val="20"/>
              </w:rPr>
            </w:pPr>
            <w:r>
              <w:rPr>
                <w:color w:val="000000"/>
                <w:sz w:val="20"/>
                <w:szCs w:val="20"/>
              </w:rPr>
              <w:t xml:space="preserve">Перевізник зобов'язаний </w:t>
            </w:r>
            <w:r>
              <w:rPr>
                <w:b/>
                <w:bCs/>
                <w:color w:val="000000"/>
                <w:sz w:val="20"/>
                <w:szCs w:val="20"/>
              </w:rPr>
              <w:t xml:space="preserve">отримати в установах Держпродспоживслужби висновок відповідно до ст.33 Закону України “Про забезпечення санітарного та епідеміологічного благополуччя населення”, а також </w:t>
            </w:r>
            <w:r>
              <w:rPr>
                <w:color w:val="000000"/>
                <w:sz w:val="20"/>
                <w:szCs w:val="20"/>
              </w:rPr>
              <w:t xml:space="preserve">укласти з виробником </w:t>
            </w:r>
            <w:r>
              <w:rPr>
                <w:b/>
                <w:bCs/>
                <w:color w:val="000000"/>
                <w:sz w:val="20"/>
                <w:szCs w:val="20"/>
              </w:rPr>
              <w:t>договір на приймання та очищення рідких відходів.</w:t>
            </w:r>
          </w:p>
        </w:tc>
        <w:tc>
          <w:tcPr>
            <w:tcW w:w="7088" w:type="dxa"/>
            <w:tcBorders>
              <w:left w:val="single" w:sz="2" w:space="0" w:color="000001"/>
              <w:right w:val="single" w:sz="2" w:space="0" w:color="000001"/>
            </w:tcBorders>
            <w:tcMar>
              <w:left w:w="12" w:type="dxa"/>
            </w:tcMar>
          </w:tcPr>
          <w:p w:rsidR="00F566AF" w:rsidRDefault="00F566AF">
            <w:pPr>
              <w:ind w:firstLine="709"/>
              <w:jc w:val="both"/>
            </w:pPr>
            <w:r>
              <w:rPr>
                <w:color w:val="000000"/>
                <w:sz w:val="20"/>
                <w:szCs w:val="20"/>
              </w:rPr>
              <w:t xml:space="preserve">Перевізник зобов'язаний укласти з виробником договір </w:t>
            </w:r>
            <w:r>
              <w:rPr>
                <w:b/>
                <w:bCs/>
                <w:color w:val="000000"/>
                <w:sz w:val="20"/>
                <w:szCs w:val="20"/>
              </w:rPr>
              <w:t>про надання послуг з водовідведення.</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73</w:t>
            </w:r>
          </w:p>
        </w:tc>
        <w:tc>
          <w:tcPr>
            <w:tcW w:w="6525" w:type="dxa"/>
            <w:tcBorders>
              <w:left w:val="single" w:sz="2" w:space="0" w:color="000001"/>
            </w:tcBorders>
            <w:tcMar>
              <w:left w:w="12" w:type="dxa"/>
            </w:tcMar>
          </w:tcPr>
          <w:p w:rsidR="00F566AF" w:rsidRDefault="00F566AF">
            <w:pPr>
              <w:ind w:firstLine="709"/>
              <w:jc w:val="both"/>
            </w:pPr>
            <w:r>
              <w:rPr>
                <w:rStyle w:val="a"/>
                <w:color w:val="000000"/>
                <w:sz w:val="20"/>
                <w:szCs w:val="20"/>
              </w:rPr>
              <w:t xml:space="preserve">Перевізник зобов'язаний щомісячно до 5 числа місяця, наступного за звітним, надавати </w:t>
            </w:r>
            <w:r>
              <w:rPr>
                <w:rStyle w:val="a"/>
                <w:b/>
                <w:bCs/>
                <w:color w:val="000000"/>
                <w:sz w:val="20"/>
                <w:szCs w:val="20"/>
              </w:rPr>
              <w:t>виробнику</w:t>
            </w:r>
            <w:r>
              <w:rPr>
                <w:rStyle w:val="a"/>
                <w:color w:val="000000"/>
                <w:sz w:val="20"/>
                <w:szCs w:val="20"/>
              </w:rPr>
              <w:t xml:space="preserve"> інформацію про абонентів, що користуються його послугами, дані про якісний склад і об'єм їх стоків. </w:t>
            </w:r>
            <w:r>
              <w:rPr>
                <w:rStyle w:val="a"/>
                <w:b/>
                <w:bCs/>
                <w:color w:val="000000"/>
                <w:sz w:val="20"/>
                <w:szCs w:val="20"/>
              </w:rPr>
              <w:t>У разі ненадання перевізником інформації про якісний склад стоків, для розрахунку оплати застосовується коефіцієнт кратності К</w:t>
            </w:r>
            <w:r>
              <w:rPr>
                <w:rStyle w:val="a"/>
                <w:b/>
                <w:bCs/>
                <w:color w:val="000000"/>
                <w:position w:val="-1"/>
                <w:sz w:val="20"/>
                <w:szCs w:val="20"/>
              </w:rPr>
              <w:t>к</w:t>
            </w:r>
            <w:r>
              <w:rPr>
                <w:rStyle w:val="a"/>
                <w:b/>
                <w:bCs/>
                <w:color w:val="000000"/>
                <w:sz w:val="20"/>
                <w:szCs w:val="20"/>
              </w:rPr>
              <w:t>=5.</w:t>
            </w:r>
          </w:p>
        </w:tc>
        <w:tc>
          <w:tcPr>
            <w:tcW w:w="7088" w:type="dxa"/>
            <w:tcBorders>
              <w:left w:val="single" w:sz="2" w:space="0" w:color="000001"/>
              <w:right w:val="single" w:sz="2" w:space="0" w:color="000001"/>
            </w:tcBorders>
            <w:tcMar>
              <w:left w:w="12" w:type="dxa"/>
            </w:tcMar>
          </w:tcPr>
          <w:p w:rsidR="00F566AF" w:rsidRDefault="00F566AF">
            <w:pPr>
              <w:ind w:firstLine="709"/>
              <w:jc w:val="both"/>
            </w:pPr>
            <w:r>
              <w:rPr>
                <w:rStyle w:val="a"/>
                <w:color w:val="000000"/>
                <w:sz w:val="20"/>
                <w:szCs w:val="20"/>
              </w:rPr>
              <w:t xml:space="preserve">Перевізник зобов'язаний щомісячно до 5 числа місяця, наступного за звітним, надавати </w:t>
            </w:r>
            <w:r>
              <w:rPr>
                <w:rStyle w:val="a"/>
                <w:b/>
                <w:bCs/>
                <w:color w:val="000000"/>
                <w:sz w:val="20"/>
                <w:szCs w:val="20"/>
              </w:rPr>
              <w:t>Відділу благоустрою та екології Управління житлово-комунального господарства, благоустрою та екології Тернопільської міської ради</w:t>
            </w:r>
            <w:r>
              <w:rPr>
                <w:rStyle w:val="a"/>
                <w:color w:val="000000"/>
                <w:sz w:val="20"/>
                <w:szCs w:val="20"/>
              </w:rPr>
              <w:t xml:space="preserve"> інформацію про абонентів, що користуються його послугами, дані про якісний склад і об'єм їх стоків. </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74</w:t>
            </w:r>
          </w:p>
        </w:tc>
        <w:tc>
          <w:tcPr>
            <w:tcW w:w="6525" w:type="dxa"/>
            <w:tcBorders>
              <w:left w:val="single" w:sz="2" w:space="0" w:color="000001"/>
            </w:tcBorders>
            <w:tcMar>
              <w:left w:w="12" w:type="dxa"/>
            </w:tcMar>
          </w:tcPr>
          <w:p w:rsidR="00F566AF" w:rsidRDefault="00F566AF">
            <w:pPr>
              <w:ind w:firstLine="709"/>
              <w:jc w:val="both"/>
              <w:rPr>
                <w:color w:val="000000"/>
                <w:sz w:val="20"/>
                <w:szCs w:val="20"/>
              </w:rPr>
            </w:pPr>
            <w:r>
              <w:rPr>
                <w:color w:val="000000"/>
                <w:sz w:val="20"/>
                <w:szCs w:val="20"/>
              </w:rPr>
              <w:t>Об'єм скинутих Перевізником стоків визначається за місткістю цистерни. При скиданні стічних вод асенізаційним транспортом застосовуються вимоги щодо якісного складу стічних вод.</w:t>
            </w:r>
          </w:p>
          <w:p w:rsidR="00F566AF" w:rsidRDefault="00F566AF">
            <w:pPr>
              <w:ind w:firstLine="709"/>
              <w:jc w:val="both"/>
            </w:pPr>
            <w:r>
              <w:rPr>
                <w:rStyle w:val="a"/>
                <w:color w:val="000000"/>
                <w:sz w:val="20"/>
                <w:szCs w:val="20"/>
              </w:rPr>
              <w:t xml:space="preserve">Оплата проводиться відповідно до умов договору, але не пізніше 10 числа місяця, наступного за розрахунковим. За відсутності </w:t>
            </w:r>
            <w:r>
              <w:rPr>
                <w:rStyle w:val="a"/>
                <w:b/>
                <w:bCs/>
                <w:color w:val="000000"/>
                <w:sz w:val="20"/>
                <w:szCs w:val="20"/>
              </w:rPr>
              <w:t>технічної можливості здійснити аналіз</w:t>
            </w:r>
            <w:r>
              <w:rPr>
                <w:rStyle w:val="a"/>
                <w:color w:val="000000"/>
                <w:sz w:val="20"/>
                <w:szCs w:val="20"/>
              </w:rPr>
              <w:t xml:space="preserve"> якісного складу стічних вод, при проведенні розрахунків застосовується коефіцієнт кратності</w:t>
            </w:r>
            <w:r>
              <w:rPr>
                <w:rStyle w:val="a"/>
                <w:b/>
                <w:bCs/>
                <w:color w:val="000000"/>
                <w:sz w:val="20"/>
                <w:szCs w:val="20"/>
              </w:rPr>
              <w:t xml:space="preserve"> К</w:t>
            </w:r>
            <w:r>
              <w:rPr>
                <w:rStyle w:val="a"/>
                <w:b/>
                <w:bCs/>
                <w:color w:val="000000"/>
                <w:position w:val="-1"/>
                <w:sz w:val="20"/>
                <w:szCs w:val="20"/>
              </w:rPr>
              <w:t>к</w:t>
            </w:r>
            <w:r>
              <w:rPr>
                <w:rStyle w:val="a"/>
                <w:b/>
                <w:bCs/>
                <w:color w:val="000000"/>
                <w:sz w:val="20"/>
                <w:szCs w:val="20"/>
              </w:rPr>
              <w:t>=5</w:t>
            </w:r>
            <w:r>
              <w:rPr>
                <w:rStyle w:val="a"/>
                <w:color w:val="000000"/>
                <w:sz w:val="20"/>
                <w:szCs w:val="20"/>
              </w:rPr>
              <w:t>.</w:t>
            </w:r>
          </w:p>
        </w:tc>
        <w:tc>
          <w:tcPr>
            <w:tcW w:w="7088" w:type="dxa"/>
            <w:tcBorders>
              <w:left w:val="single" w:sz="2" w:space="0" w:color="000001"/>
              <w:right w:val="single" w:sz="2" w:space="0" w:color="000001"/>
            </w:tcBorders>
            <w:tcMar>
              <w:left w:w="12" w:type="dxa"/>
            </w:tcMar>
          </w:tcPr>
          <w:p w:rsidR="00F566AF" w:rsidRDefault="00F566AF">
            <w:pPr>
              <w:ind w:firstLine="709"/>
              <w:jc w:val="both"/>
            </w:pPr>
            <w:r>
              <w:rPr>
                <w:color w:val="000000"/>
                <w:sz w:val="20"/>
                <w:szCs w:val="20"/>
              </w:rPr>
              <w:t>Об'єм скинутих Перевізником стоків визначається за місткістю цистерни. При скиданні стічних вод асенізаційним транспортом застосовуються вимоги щодо якісного складу стічних вод.</w:t>
            </w:r>
          </w:p>
          <w:p w:rsidR="00F566AF" w:rsidRDefault="00F566AF">
            <w:pPr>
              <w:ind w:firstLine="709"/>
              <w:jc w:val="both"/>
              <w:rPr>
                <w:sz w:val="20"/>
                <w:szCs w:val="20"/>
              </w:rPr>
            </w:pPr>
            <w:r>
              <w:rPr>
                <w:rStyle w:val="a"/>
                <w:color w:val="000000"/>
                <w:sz w:val="20"/>
                <w:szCs w:val="20"/>
              </w:rPr>
              <w:t xml:space="preserve">Оплата проводиться відповідно до умов договору, але не пізніше 10 числа місяця, наступного за розрахунковим. За відсутності </w:t>
            </w:r>
            <w:r>
              <w:rPr>
                <w:rStyle w:val="a"/>
                <w:b/>
                <w:bCs/>
                <w:color w:val="000000"/>
                <w:sz w:val="20"/>
                <w:szCs w:val="20"/>
              </w:rPr>
              <w:t xml:space="preserve">аналізу </w:t>
            </w:r>
            <w:r>
              <w:rPr>
                <w:rStyle w:val="a"/>
                <w:color w:val="000000"/>
                <w:sz w:val="20"/>
                <w:szCs w:val="20"/>
              </w:rPr>
              <w:t xml:space="preserve">якісного складу стічних вод, при проведенні розрахунків застосовується коефіцієнт кратності </w:t>
            </w:r>
            <w:r>
              <w:rPr>
                <w:rStyle w:val="a"/>
                <w:b/>
                <w:bCs/>
                <w:color w:val="000000"/>
                <w:sz w:val="20"/>
                <w:szCs w:val="20"/>
              </w:rPr>
              <w:t>К</w:t>
            </w:r>
            <w:r>
              <w:rPr>
                <w:rStyle w:val="a"/>
                <w:b/>
                <w:bCs/>
                <w:color w:val="000000"/>
                <w:sz w:val="20"/>
                <w:szCs w:val="20"/>
                <w:vertAlign w:val="subscript"/>
              </w:rPr>
              <w:t>к</w:t>
            </w:r>
            <w:r>
              <w:rPr>
                <w:rStyle w:val="a"/>
                <w:b/>
                <w:bCs/>
                <w:color w:val="000000"/>
                <w:sz w:val="20"/>
                <w:szCs w:val="20"/>
              </w:rPr>
              <w:t>=3.</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75</w:t>
            </w:r>
          </w:p>
        </w:tc>
        <w:tc>
          <w:tcPr>
            <w:tcW w:w="6525" w:type="dxa"/>
            <w:tcBorders>
              <w:left w:val="single" w:sz="2" w:space="0" w:color="000001"/>
            </w:tcBorders>
            <w:tcMar>
              <w:left w:w="12" w:type="dxa"/>
            </w:tcMar>
          </w:tcPr>
          <w:p w:rsidR="00F566AF" w:rsidRDefault="00F566AF">
            <w:pPr>
              <w:ind w:firstLine="709"/>
              <w:jc w:val="both"/>
              <w:rPr>
                <w:color w:val="000000"/>
                <w:sz w:val="20"/>
                <w:szCs w:val="20"/>
              </w:rPr>
            </w:pPr>
            <w:r>
              <w:rPr>
                <w:color w:val="000000"/>
                <w:sz w:val="20"/>
                <w:szCs w:val="20"/>
              </w:rPr>
              <w:t xml:space="preserve">Для вивозу рідких відходів між Перевізником і Абонентом укладається </w:t>
            </w:r>
            <w:r>
              <w:rPr>
                <w:b/>
                <w:bCs/>
                <w:color w:val="000000"/>
                <w:sz w:val="20"/>
                <w:szCs w:val="20"/>
              </w:rPr>
              <w:t xml:space="preserve">договір </w:t>
            </w:r>
            <w:bookmarkStart w:id="30" w:name="__DdeLink__5997_1014247925"/>
            <w:r>
              <w:rPr>
                <w:b/>
                <w:bCs/>
                <w:color w:val="000000"/>
                <w:sz w:val="20"/>
                <w:szCs w:val="20"/>
              </w:rPr>
              <w:t>на відкачку та транспортування</w:t>
            </w:r>
            <w:bookmarkEnd w:id="30"/>
            <w:r>
              <w:rPr>
                <w:b/>
                <w:bCs/>
                <w:color w:val="000000"/>
                <w:sz w:val="20"/>
                <w:szCs w:val="20"/>
              </w:rPr>
              <w:t xml:space="preserve"> рідких відходів</w:t>
            </w:r>
            <w:r>
              <w:rPr>
                <w:color w:val="000000"/>
                <w:sz w:val="20"/>
                <w:szCs w:val="20"/>
              </w:rPr>
              <w:t>.</w:t>
            </w:r>
          </w:p>
        </w:tc>
        <w:tc>
          <w:tcPr>
            <w:tcW w:w="7088" w:type="dxa"/>
            <w:tcBorders>
              <w:left w:val="single" w:sz="2" w:space="0" w:color="000001"/>
              <w:right w:val="single" w:sz="2" w:space="0" w:color="000001"/>
            </w:tcBorders>
            <w:tcMar>
              <w:left w:w="12" w:type="dxa"/>
            </w:tcMar>
          </w:tcPr>
          <w:p w:rsidR="00F566AF" w:rsidRDefault="00F566AF">
            <w:pPr>
              <w:ind w:firstLine="709"/>
              <w:jc w:val="both"/>
            </w:pPr>
            <w:r>
              <w:rPr>
                <w:color w:val="000000"/>
                <w:sz w:val="20"/>
                <w:szCs w:val="20"/>
              </w:rPr>
              <w:t xml:space="preserve">Для вивозу рідких відходів між Перевізником і Абонентом укладається </w:t>
            </w:r>
            <w:r>
              <w:rPr>
                <w:b/>
                <w:bCs/>
                <w:color w:val="000000"/>
                <w:sz w:val="20"/>
                <w:szCs w:val="20"/>
              </w:rPr>
              <w:t>договір на відкачку та транспортування стічних вод.</w:t>
            </w:r>
          </w:p>
        </w:tc>
      </w:tr>
      <w:tr w:rsidR="00F566AF">
        <w:trPr>
          <w:gridBefore w:val="1"/>
          <w:wBefore w:w="33" w:type="dxa"/>
        </w:trPr>
        <w:tc>
          <w:tcPr>
            <w:tcW w:w="1175" w:type="dxa"/>
            <w:tcMar>
              <w:left w:w="12" w:type="dxa"/>
            </w:tcMar>
          </w:tcPr>
          <w:p w:rsidR="00F566AF" w:rsidRDefault="00F566AF">
            <w:pPr>
              <w:pStyle w:val="a9"/>
              <w:rPr>
                <w:sz w:val="20"/>
                <w:szCs w:val="20"/>
              </w:rPr>
            </w:pPr>
            <w:r>
              <w:rPr>
                <w:sz w:val="20"/>
                <w:szCs w:val="20"/>
              </w:rPr>
              <w:t>78</w:t>
            </w:r>
          </w:p>
        </w:tc>
        <w:tc>
          <w:tcPr>
            <w:tcW w:w="6525" w:type="dxa"/>
            <w:tcBorders>
              <w:left w:val="single" w:sz="2" w:space="0" w:color="000001"/>
            </w:tcBorders>
            <w:tcMar>
              <w:left w:w="12" w:type="dxa"/>
            </w:tcMar>
          </w:tcPr>
          <w:p w:rsidR="00F566AF" w:rsidRDefault="00F566AF">
            <w:pPr>
              <w:ind w:firstLine="709"/>
              <w:jc w:val="both"/>
              <w:rPr>
                <w:color w:val="000000"/>
                <w:sz w:val="20"/>
                <w:szCs w:val="20"/>
              </w:rPr>
            </w:pPr>
            <w:bookmarkStart w:id="31" w:name="__DdeLink__91729_107834555"/>
            <w:bookmarkEnd w:id="31"/>
            <w:r>
              <w:rPr>
                <w:color w:val="000000"/>
                <w:sz w:val="20"/>
                <w:szCs w:val="20"/>
              </w:rPr>
              <w:t xml:space="preserve">Абоненти, які не приєднані до системи централізованого водовідведення, зобов'язані надавати </w:t>
            </w:r>
            <w:r>
              <w:rPr>
                <w:b/>
                <w:bCs/>
                <w:color w:val="000000"/>
                <w:sz w:val="20"/>
                <w:szCs w:val="20"/>
              </w:rPr>
              <w:t>виробнику</w:t>
            </w:r>
            <w:r>
              <w:rPr>
                <w:color w:val="000000"/>
                <w:sz w:val="20"/>
                <w:szCs w:val="20"/>
              </w:rPr>
              <w:t xml:space="preserve"> копію Договору на відкачку та транспортування рідких відходів з Перевізником, а також до 10 числа місяця, наступного за звітним, подавати </w:t>
            </w:r>
            <w:r>
              <w:rPr>
                <w:b/>
                <w:bCs/>
                <w:color w:val="000000"/>
                <w:sz w:val="20"/>
                <w:szCs w:val="20"/>
              </w:rPr>
              <w:t>виробнику</w:t>
            </w:r>
            <w:r>
              <w:rPr>
                <w:color w:val="000000"/>
                <w:sz w:val="20"/>
                <w:szCs w:val="20"/>
              </w:rPr>
              <w:t xml:space="preserve"> інформацію про об'єми вивезених стоків у звітному місяці.</w:t>
            </w:r>
          </w:p>
          <w:p w:rsidR="00F566AF" w:rsidRDefault="00F566AF">
            <w:pPr>
              <w:ind w:firstLine="709"/>
              <w:jc w:val="both"/>
              <w:rPr>
                <w:b/>
                <w:bCs/>
                <w:color w:val="000000"/>
                <w:sz w:val="20"/>
                <w:szCs w:val="20"/>
              </w:rPr>
            </w:pPr>
          </w:p>
          <w:p w:rsidR="00F566AF" w:rsidRDefault="00F566AF">
            <w:pPr>
              <w:ind w:firstLine="709"/>
              <w:jc w:val="both"/>
              <w:rPr>
                <w:b/>
                <w:bCs/>
                <w:color w:val="000000"/>
                <w:sz w:val="20"/>
                <w:szCs w:val="20"/>
              </w:rPr>
            </w:pPr>
          </w:p>
          <w:p w:rsidR="00F566AF" w:rsidRDefault="00F566AF">
            <w:pPr>
              <w:ind w:firstLine="709"/>
              <w:jc w:val="both"/>
              <w:rPr>
                <w:b/>
                <w:bCs/>
                <w:color w:val="000000"/>
                <w:sz w:val="20"/>
                <w:szCs w:val="20"/>
              </w:rPr>
            </w:pPr>
          </w:p>
          <w:p w:rsidR="00F566AF" w:rsidRDefault="00F566AF">
            <w:pPr>
              <w:ind w:firstLine="709"/>
              <w:jc w:val="both"/>
              <w:rPr>
                <w:b/>
                <w:bCs/>
                <w:color w:val="000000"/>
                <w:sz w:val="20"/>
                <w:szCs w:val="20"/>
              </w:rPr>
            </w:pPr>
          </w:p>
          <w:p w:rsidR="00F566AF" w:rsidRDefault="00F566AF">
            <w:pPr>
              <w:ind w:firstLine="709"/>
              <w:jc w:val="both"/>
              <w:rPr>
                <w:b/>
                <w:bCs/>
                <w:color w:val="000000"/>
                <w:sz w:val="20"/>
                <w:szCs w:val="20"/>
              </w:rPr>
            </w:pPr>
            <w:r>
              <w:rPr>
                <w:b/>
                <w:bCs/>
                <w:color w:val="000000"/>
                <w:sz w:val="20"/>
                <w:szCs w:val="20"/>
              </w:rPr>
              <w:t>У разі неподання Абонентом такої інформації, виробник проводить нарахування плати за водовідведення в обсязі спожитих послуг з водопостачання з усіх джерел водокористування.</w:t>
            </w:r>
          </w:p>
        </w:tc>
        <w:tc>
          <w:tcPr>
            <w:tcW w:w="7088" w:type="dxa"/>
            <w:tcBorders>
              <w:left w:val="single" w:sz="2" w:space="0" w:color="000001"/>
              <w:right w:val="single" w:sz="2" w:space="0" w:color="000001"/>
            </w:tcBorders>
            <w:tcMar>
              <w:left w:w="12" w:type="dxa"/>
            </w:tcMar>
          </w:tcPr>
          <w:p w:rsidR="00F566AF" w:rsidRDefault="00F566AF">
            <w:pPr>
              <w:ind w:firstLine="709"/>
              <w:jc w:val="both"/>
              <w:rPr>
                <w:b/>
                <w:bCs/>
                <w:sz w:val="20"/>
                <w:szCs w:val="20"/>
              </w:rPr>
            </w:pPr>
          </w:p>
          <w:p w:rsidR="00F566AF" w:rsidRDefault="00F566AF">
            <w:pPr>
              <w:jc w:val="both"/>
              <w:rPr>
                <w:b/>
                <w:bCs/>
                <w:sz w:val="20"/>
                <w:szCs w:val="20"/>
              </w:rPr>
            </w:pPr>
          </w:p>
          <w:p w:rsidR="00F566AF" w:rsidRDefault="00F566AF">
            <w:pPr>
              <w:jc w:val="both"/>
              <w:rPr>
                <w:b/>
                <w:bCs/>
                <w:sz w:val="20"/>
                <w:szCs w:val="20"/>
              </w:rPr>
            </w:pPr>
          </w:p>
          <w:p w:rsidR="00F566AF" w:rsidRDefault="00F566AF">
            <w:pPr>
              <w:jc w:val="both"/>
              <w:rPr>
                <w:b/>
                <w:bCs/>
                <w:sz w:val="20"/>
                <w:szCs w:val="20"/>
              </w:rPr>
            </w:pPr>
          </w:p>
          <w:p w:rsidR="00F566AF" w:rsidRDefault="00F566AF">
            <w:pPr>
              <w:jc w:val="both"/>
            </w:pPr>
            <w:r>
              <w:rPr>
                <w:b/>
                <w:bCs/>
                <w:sz w:val="20"/>
                <w:szCs w:val="20"/>
              </w:rPr>
              <w:t xml:space="preserve">          Виключити.</w:t>
            </w:r>
          </w:p>
        </w:tc>
      </w:tr>
    </w:tbl>
    <w:p w:rsidR="00F566AF" w:rsidRDefault="00F566AF">
      <w:pPr>
        <w:pStyle w:val="BodyText"/>
        <w:spacing w:after="0"/>
        <w:jc w:val="both"/>
      </w:pPr>
    </w:p>
    <w:p w:rsidR="00F566AF" w:rsidRDefault="00F566AF">
      <w:pPr>
        <w:pStyle w:val="BodyText"/>
        <w:spacing w:after="0"/>
        <w:jc w:val="both"/>
      </w:pPr>
    </w:p>
    <w:p w:rsidR="00F566AF" w:rsidRDefault="00F566AF">
      <w:pPr>
        <w:pStyle w:val="BodyText"/>
        <w:spacing w:after="0"/>
        <w:jc w:val="both"/>
      </w:pPr>
    </w:p>
    <w:p w:rsidR="00F566AF" w:rsidRDefault="00F566AF" w:rsidP="007C4EF1">
      <w:pPr>
        <w:pStyle w:val="BodyText"/>
        <w:spacing w:after="0"/>
        <w:jc w:val="both"/>
        <w:outlineLvl w:val="0"/>
      </w:pPr>
      <w:r>
        <w:t>ДОДАТКИ ДОДАЮТЬСЯ ОКРЕМИМ ФАЙЛОМ!</w:t>
      </w:r>
    </w:p>
    <w:sectPr w:rsidR="00F566AF" w:rsidSect="00CB7905">
      <w:pgSz w:w="16838" w:h="11906" w:orient="landscape"/>
      <w:pgMar w:top="1134" w:right="1134" w:bottom="1134" w:left="1134" w:header="0" w:footer="0" w:gutter="0"/>
      <w:cols w:space="720"/>
      <w:formProt w:val="0"/>
      <w:docGrid w:linePitch="60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905"/>
    <w:rsid w:val="007C4EF1"/>
    <w:rsid w:val="00CA100F"/>
    <w:rsid w:val="00CB7905"/>
    <w:rsid w:val="00ED077C"/>
    <w:rsid w:val="00F566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05"/>
    <w:pPr>
      <w:keepNext/>
      <w:suppressAutoHyphens/>
      <w:textAlignment w:val="baseline"/>
    </w:pPr>
    <w:rPr>
      <w:color w:val="00000A"/>
      <w:sz w:val="24"/>
      <w:szCs w:val="24"/>
      <w:lang w:val="uk-UA"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Шрифт абзацу за замовчуванням"/>
    <w:uiPriority w:val="99"/>
    <w:rsid w:val="00CB7905"/>
  </w:style>
  <w:style w:type="character" w:customStyle="1" w:styleId="a0">
    <w:name w:val="Гіперпосилання"/>
    <w:uiPriority w:val="99"/>
    <w:rsid w:val="00CB7905"/>
    <w:rPr>
      <w:color w:val="000080"/>
      <w:u w:val="single"/>
    </w:rPr>
  </w:style>
  <w:style w:type="character" w:customStyle="1" w:styleId="a1">
    <w:name w:val="Символ нумерації"/>
    <w:uiPriority w:val="99"/>
    <w:rsid w:val="00CB7905"/>
  </w:style>
  <w:style w:type="character" w:customStyle="1" w:styleId="WW8Num1z0">
    <w:name w:val="WW8Num1z0"/>
    <w:uiPriority w:val="99"/>
    <w:rsid w:val="00CB7905"/>
  </w:style>
  <w:style w:type="character" w:customStyle="1" w:styleId="WW8Num1z1">
    <w:name w:val="WW8Num1z1"/>
    <w:uiPriority w:val="99"/>
    <w:rsid w:val="00CB7905"/>
  </w:style>
  <w:style w:type="character" w:customStyle="1" w:styleId="WW8Num1z2">
    <w:name w:val="WW8Num1z2"/>
    <w:uiPriority w:val="99"/>
    <w:rsid w:val="00CB7905"/>
  </w:style>
  <w:style w:type="character" w:customStyle="1" w:styleId="WW8Num1z3">
    <w:name w:val="WW8Num1z3"/>
    <w:uiPriority w:val="99"/>
    <w:rsid w:val="00CB7905"/>
  </w:style>
  <w:style w:type="character" w:customStyle="1" w:styleId="WW8Num1z4">
    <w:name w:val="WW8Num1z4"/>
    <w:uiPriority w:val="99"/>
    <w:rsid w:val="00CB7905"/>
  </w:style>
  <w:style w:type="character" w:customStyle="1" w:styleId="WW8Num1z5">
    <w:name w:val="WW8Num1z5"/>
    <w:uiPriority w:val="99"/>
    <w:rsid w:val="00CB7905"/>
  </w:style>
  <w:style w:type="character" w:customStyle="1" w:styleId="WW8Num1z6">
    <w:name w:val="WW8Num1z6"/>
    <w:uiPriority w:val="99"/>
    <w:rsid w:val="00CB7905"/>
  </w:style>
  <w:style w:type="character" w:customStyle="1" w:styleId="WW8Num1z7">
    <w:name w:val="WW8Num1z7"/>
    <w:uiPriority w:val="99"/>
    <w:rsid w:val="00CB7905"/>
  </w:style>
  <w:style w:type="character" w:customStyle="1" w:styleId="WW8Num1z8">
    <w:name w:val="WW8Num1z8"/>
    <w:uiPriority w:val="99"/>
    <w:rsid w:val="00CB7905"/>
  </w:style>
  <w:style w:type="character" w:customStyle="1" w:styleId="WW8Num5z0">
    <w:name w:val="WW8Num5z0"/>
    <w:uiPriority w:val="99"/>
    <w:rsid w:val="00CB7905"/>
    <w:rPr>
      <w:sz w:val="20"/>
      <w:lang w:val="uk-UA"/>
    </w:rPr>
  </w:style>
  <w:style w:type="character" w:customStyle="1" w:styleId="WWCharLFO2LVL1">
    <w:name w:val="WW_CharLFO2LVL1"/>
    <w:uiPriority w:val="99"/>
    <w:rsid w:val="00CB7905"/>
    <w:rPr>
      <w:rFonts w:ascii="Liberation Serif" w:hAnsi="Liberation Serif"/>
      <w:sz w:val="20"/>
      <w:lang w:val="uk-UA"/>
    </w:rPr>
  </w:style>
  <w:style w:type="character" w:customStyle="1" w:styleId="a2">
    <w:name w:val="Текст примітки Знак"/>
    <w:basedOn w:val="a"/>
    <w:uiPriority w:val="99"/>
    <w:rsid w:val="00CB7905"/>
    <w:rPr>
      <w:rFonts w:cs="Times New Roman"/>
      <w:sz w:val="18"/>
      <w:szCs w:val="18"/>
    </w:rPr>
  </w:style>
  <w:style w:type="character" w:customStyle="1" w:styleId="a3">
    <w:name w:val="Знак примітки"/>
    <w:basedOn w:val="a"/>
    <w:uiPriority w:val="99"/>
    <w:rsid w:val="00CB7905"/>
    <w:rPr>
      <w:rFonts w:cs="Times New Roman"/>
      <w:sz w:val="16"/>
      <w:szCs w:val="16"/>
    </w:rPr>
  </w:style>
  <w:style w:type="character" w:customStyle="1" w:styleId="a4">
    <w:name w:val="Текст у виносці Знак"/>
    <w:basedOn w:val="a"/>
    <w:uiPriority w:val="99"/>
    <w:rsid w:val="00CB7905"/>
    <w:rPr>
      <w:rFonts w:ascii="Segoe UI" w:hAnsi="Segoe UI" w:cs="Times New Roman"/>
      <w:sz w:val="16"/>
      <w:szCs w:val="16"/>
    </w:rPr>
  </w:style>
  <w:style w:type="character" w:customStyle="1" w:styleId="ListLabel1">
    <w:name w:val="ListLabel 1"/>
    <w:uiPriority w:val="99"/>
    <w:rsid w:val="00CB7905"/>
    <w:rPr>
      <w:rFonts w:ascii="Times New Roman" w:hAnsi="Times New Roman"/>
      <w:sz w:val="20"/>
      <w:lang w:val="uk-UA"/>
    </w:rPr>
  </w:style>
  <w:style w:type="character" w:customStyle="1" w:styleId="ListLabel2">
    <w:name w:val="ListLabel 2"/>
    <w:uiPriority w:val="99"/>
    <w:rsid w:val="00CB7905"/>
    <w:rPr>
      <w:rFonts w:ascii="Times New Roman" w:hAnsi="Times New Roman"/>
      <w:sz w:val="20"/>
      <w:lang w:val="uk-UA"/>
    </w:rPr>
  </w:style>
  <w:style w:type="character" w:customStyle="1" w:styleId="ListLabel3">
    <w:name w:val="ListLabel 3"/>
    <w:uiPriority w:val="99"/>
    <w:rsid w:val="00CB7905"/>
    <w:rPr>
      <w:rFonts w:ascii="Times New Roman" w:hAnsi="Times New Roman"/>
      <w:sz w:val="20"/>
      <w:lang w:val="uk-UA"/>
    </w:rPr>
  </w:style>
  <w:style w:type="character" w:customStyle="1" w:styleId="ListLabel4">
    <w:name w:val="ListLabel 4"/>
    <w:uiPriority w:val="99"/>
    <w:rsid w:val="00CB7905"/>
    <w:rPr>
      <w:rFonts w:ascii="Times New Roman" w:hAnsi="Times New Roman"/>
      <w:sz w:val="20"/>
      <w:lang w:val="uk-UA"/>
    </w:rPr>
  </w:style>
  <w:style w:type="character" w:customStyle="1" w:styleId="ListLabel5">
    <w:name w:val="ListLabel 5"/>
    <w:uiPriority w:val="99"/>
    <w:rsid w:val="00CB7905"/>
    <w:rPr>
      <w:rFonts w:ascii="Times New Roman" w:hAnsi="Times New Roman"/>
      <w:sz w:val="20"/>
      <w:lang w:val="uk-UA"/>
    </w:rPr>
  </w:style>
  <w:style w:type="character" w:customStyle="1" w:styleId="ListLabel6">
    <w:name w:val="ListLabel 6"/>
    <w:uiPriority w:val="99"/>
    <w:rsid w:val="00CB7905"/>
    <w:rPr>
      <w:rFonts w:ascii="Times New Roman" w:hAnsi="Times New Roman"/>
      <w:sz w:val="20"/>
      <w:lang w:val="uk-UA"/>
    </w:rPr>
  </w:style>
  <w:style w:type="character" w:customStyle="1" w:styleId="ListLabel7">
    <w:name w:val="ListLabel 7"/>
    <w:uiPriority w:val="99"/>
    <w:rsid w:val="00CB7905"/>
    <w:rPr>
      <w:rFonts w:ascii="Times New Roman" w:hAnsi="Times New Roman"/>
      <w:sz w:val="20"/>
      <w:lang w:val="uk-UA"/>
    </w:rPr>
  </w:style>
  <w:style w:type="character" w:customStyle="1" w:styleId="ListLabel8">
    <w:name w:val="ListLabel 8"/>
    <w:uiPriority w:val="99"/>
    <w:rsid w:val="00CB7905"/>
    <w:rPr>
      <w:rFonts w:ascii="Times New Roman" w:hAnsi="Times New Roman"/>
      <w:sz w:val="20"/>
      <w:lang w:val="uk-UA"/>
    </w:rPr>
  </w:style>
  <w:style w:type="character" w:customStyle="1" w:styleId="ListLabel9">
    <w:name w:val="ListLabel 9"/>
    <w:uiPriority w:val="99"/>
    <w:rsid w:val="00CB7905"/>
    <w:rPr>
      <w:rFonts w:ascii="Times New Roman" w:hAnsi="Times New Roman"/>
      <w:sz w:val="20"/>
      <w:lang w:val="uk-UA"/>
    </w:rPr>
  </w:style>
  <w:style w:type="character" w:customStyle="1" w:styleId="ListLabel10">
    <w:name w:val="ListLabel 10"/>
    <w:uiPriority w:val="99"/>
    <w:rsid w:val="00CB7905"/>
    <w:rPr>
      <w:rFonts w:ascii="Times New Roman" w:hAnsi="Times New Roman"/>
      <w:sz w:val="20"/>
      <w:lang w:val="uk-UA"/>
    </w:rPr>
  </w:style>
  <w:style w:type="character" w:customStyle="1" w:styleId="ListLabel11">
    <w:name w:val="ListLabel 11"/>
    <w:uiPriority w:val="99"/>
    <w:rsid w:val="00CB7905"/>
    <w:rPr>
      <w:rFonts w:ascii="Times New Roman" w:hAnsi="Times New Roman"/>
      <w:sz w:val="20"/>
      <w:lang w:val="uk-UA"/>
    </w:rPr>
  </w:style>
  <w:style w:type="character" w:customStyle="1" w:styleId="ListLabel12">
    <w:name w:val="ListLabel 12"/>
    <w:uiPriority w:val="99"/>
    <w:rsid w:val="00CB7905"/>
    <w:rPr>
      <w:rFonts w:ascii="Times New Roman" w:hAnsi="Times New Roman"/>
      <w:sz w:val="20"/>
      <w:lang w:val="uk-UA"/>
    </w:rPr>
  </w:style>
  <w:style w:type="paragraph" w:customStyle="1" w:styleId="a5">
    <w:name w:val="Заголовок"/>
    <w:basedOn w:val="Normal"/>
    <w:next w:val="BodyText"/>
    <w:uiPriority w:val="99"/>
    <w:rsid w:val="00CB7905"/>
    <w:pPr>
      <w:spacing w:before="240" w:after="120"/>
    </w:pPr>
    <w:rPr>
      <w:rFonts w:ascii="Arial" w:eastAsia="Microsoft YaHei" w:hAnsi="Arial"/>
      <w:sz w:val="28"/>
      <w:szCs w:val="28"/>
    </w:rPr>
  </w:style>
  <w:style w:type="paragraph" w:styleId="BodyText">
    <w:name w:val="Body Text"/>
    <w:basedOn w:val="Normal"/>
    <w:link w:val="BodyTextChar"/>
    <w:uiPriority w:val="99"/>
    <w:rsid w:val="00CB7905"/>
    <w:pPr>
      <w:spacing w:after="120"/>
    </w:pPr>
  </w:style>
  <w:style w:type="character" w:customStyle="1" w:styleId="BodyTextChar">
    <w:name w:val="Body Text Char"/>
    <w:basedOn w:val="DefaultParagraphFont"/>
    <w:link w:val="BodyText"/>
    <w:uiPriority w:val="99"/>
    <w:semiHidden/>
    <w:rsid w:val="0017633A"/>
    <w:rPr>
      <w:color w:val="00000A"/>
      <w:sz w:val="24"/>
      <w:szCs w:val="21"/>
      <w:lang w:val="uk-UA" w:eastAsia="zh-CN" w:bidi="hi-IN"/>
    </w:rPr>
  </w:style>
  <w:style w:type="paragraph" w:styleId="List">
    <w:name w:val="List"/>
    <w:basedOn w:val="BodyText"/>
    <w:uiPriority w:val="99"/>
    <w:rsid w:val="00CB7905"/>
  </w:style>
  <w:style w:type="paragraph" w:styleId="Caption">
    <w:name w:val="caption"/>
    <w:basedOn w:val="Normal"/>
    <w:uiPriority w:val="99"/>
    <w:qFormat/>
    <w:rsid w:val="00CB7905"/>
    <w:pPr>
      <w:suppressLineNumbers/>
      <w:spacing w:before="120" w:after="120"/>
    </w:pPr>
    <w:rPr>
      <w:rFonts w:cs="Arial"/>
      <w:i/>
      <w:iCs/>
    </w:rPr>
  </w:style>
  <w:style w:type="paragraph" w:customStyle="1" w:styleId="a6">
    <w:name w:val="Покажчик"/>
    <w:basedOn w:val="Normal"/>
    <w:uiPriority w:val="99"/>
    <w:rsid w:val="00CB7905"/>
    <w:pPr>
      <w:suppressLineNumbers/>
    </w:pPr>
  </w:style>
  <w:style w:type="paragraph" w:customStyle="1" w:styleId="a7">
    <w:name w:val="Звичайний"/>
    <w:uiPriority w:val="99"/>
    <w:rsid w:val="00CB7905"/>
    <w:pPr>
      <w:keepNext/>
      <w:widowControl w:val="0"/>
      <w:suppressAutoHyphens/>
      <w:textAlignment w:val="baseline"/>
    </w:pPr>
    <w:rPr>
      <w:color w:val="00000A"/>
      <w:sz w:val="24"/>
      <w:szCs w:val="24"/>
      <w:lang w:val="uk-UA" w:eastAsia="zh-CN" w:bidi="hi-IN"/>
    </w:rPr>
  </w:style>
  <w:style w:type="paragraph" w:customStyle="1" w:styleId="a8">
    <w:name w:val="Назва об'єкта"/>
    <w:basedOn w:val="Normal"/>
    <w:uiPriority w:val="99"/>
    <w:rsid w:val="00CB7905"/>
    <w:pPr>
      <w:suppressLineNumbers/>
      <w:spacing w:before="120" w:after="120"/>
    </w:pPr>
    <w:rPr>
      <w:i/>
      <w:iCs/>
    </w:rPr>
  </w:style>
  <w:style w:type="paragraph" w:customStyle="1" w:styleId="a9">
    <w:name w:val="Вміст таблиці"/>
    <w:basedOn w:val="Normal"/>
    <w:uiPriority w:val="99"/>
    <w:rsid w:val="00CB7905"/>
    <w:pPr>
      <w:suppressLineNumbers/>
    </w:pPr>
  </w:style>
  <w:style w:type="paragraph" w:customStyle="1" w:styleId="aa">
    <w:name w:val="Заголовок таблиці"/>
    <w:basedOn w:val="a9"/>
    <w:uiPriority w:val="99"/>
    <w:rsid w:val="00CB7905"/>
    <w:pPr>
      <w:jc w:val="center"/>
    </w:pPr>
    <w:rPr>
      <w:b/>
      <w:bCs/>
    </w:rPr>
  </w:style>
  <w:style w:type="paragraph" w:customStyle="1" w:styleId="ab">
    <w:name w:val="Горизонтальна лінія"/>
    <w:basedOn w:val="Normal"/>
    <w:uiPriority w:val="99"/>
    <w:rsid w:val="00CB7905"/>
    <w:pPr>
      <w:suppressLineNumbers/>
      <w:spacing w:after="283"/>
    </w:pPr>
    <w:rPr>
      <w:sz w:val="12"/>
      <w:szCs w:val="12"/>
    </w:rPr>
  </w:style>
  <w:style w:type="paragraph" w:customStyle="1" w:styleId="ac">
    <w:name w:val="Текст у вказаному форматі"/>
    <w:basedOn w:val="Normal"/>
    <w:uiPriority w:val="99"/>
    <w:rsid w:val="00CB7905"/>
    <w:rPr>
      <w:rFonts w:ascii="Courier New" w:eastAsia="NSimSun" w:hAnsi="Courier New" w:cs="Courier New"/>
      <w:sz w:val="20"/>
      <w:szCs w:val="20"/>
    </w:rPr>
  </w:style>
  <w:style w:type="paragraph" w:customStyle="1" w:styleId="ad">
    <w:name w:val="Текст примітки"/>
    <w:basedOn w:val="a7"/>
    <w:uiPriority w:val="99"/>
    <w:rsid w:val="00CB7905"/>
    <w:rPr>
      <w:sz w:val="20"/>
      <w:szCs w:val="18"/>
    </w:rPr>
  </w:style>
  <w:style w:type="paragraph" w:customStyle="1" w:styleId="ae">
    <w:name w:val="Текст у виносці"/>
    <w:basedOn w:val="a7"/>
    <w:uiPriority w:val="99"/>
    <w:rsid w:val="00CB7905"/>
    <w:rPr>
      <w:rFonts w:ascii="Segoe UI" w:hAnsi="Segoe UI"/>
      <w:sz w:val="18"/>
      <w:szCs w:val="16"/>
    </w:rPr>
  </w:style>
  <w:style w:type="paragraph" w:customStyle="1" w:styleId="DocumentMap">
    <w:name w:val="DocumentMap"/>
    <w:uiPriority w:val="99"/>
    <w:rsid w:val="00CB7905"/>
    <w:pPr>
      <w:keepNext/>
      <w:spacing w:after="160" w:line="252" w:lineRule="auto"/>
    </w:pPr>
    <w:rPr>
      <w:rFonts w:ascii="Calibri" w:hAnsi="Calibri" w:cs="Times New Roman"/>
      <w:color w:val="00000A"/>
      <w:lang w:val="uk-UA"/>
    </w:rPr>
  </w:style>
  <w:style w:type="paragraph" w:styleId="DocumentMap0">
    <w:name w:val="Document Map"/>
    <w:basedOn w:val="Normal"/>
    <w:link w:val="DocumentMapChar"/>
    <w:uiPriority w:val="99"/>
    <w:semiHidden/>
    <w:rsid w:val="007C4EF1"/>
    <w:pPr>
      <w:shd w:val="clear" w:color="auto" w:fill="000080"/>
    </w:pPr>
    <w:rPr>
      <w:rFonts w:ascii="Tahoma" w:hAnsi="Tahoma" w:cs="Tahoma"/>
      <w:sz w:val="20"/>
      <w:szCs w:val="20"/>
    </w:rPr>
  </w:style>
  <w:style w:type="character" w:customStyle="1" w:styleId="DocumentMapChar">
    <w:name w:val="Document Map Char"/>
    <w:basedOn w:val="DefaultParagraphFont"/>
    <w:link w:val="DocumentMap0"/>
    <w:uiPriority w:val="99"/>
    <w:semiHidden/>
    <w:rsid w:val="0017633A"/>
    <w:rPr>
      <w:color w:val="00000A"/>
      <w:sz w:val="0"/>
      <w:szCs w:val="0"/>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3257</TotalTime>
  <Pages>7</Pages>
  <Words>3657</Words>
  <Characters>20846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Shadow</cp:lastModifiedBy>
  <cp:revision>178</cp:revision>
  <cp:lastPrinted>2019-12-23T12:57:00Z</cp:lastPrinted>
  <dcterms:created xsi:type="dcterms:W3CDTF">2018-05-15T16:24:00Z</dcterms:created>
  <dcterms:modified xsi:type="dcterms:W3CDTF">2020-03-17T08:39:00Z</dcterms:modified>
</cp:coreProperties>
</file>