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D3" w:rsidRPr="00FE05F2" w:rsidRDefault="008738D3" w:rsidP="008738D3">
      <w:pPr>
        <w:jc w:val="center"/>
      </w:pPr>
    </w:p>
    <w:p w:rsidR="000E19AB" w:rsidRPr="00AC5FD3" w:rsidRDefault="000E19AB" w:rsidP="000E19AB">
      <w:pPr>
        <w:jc w:val="both"/>
      </w:pPr>
    </w:p>
    <w:p w:rsidR="00142CB0" w:rsidRPr="00B861A5" w:rsidRDefault="00142CB0" w:rsidP="00142CB0">
      <w:pPr>
        <w:jc w:val="center"/>
      </w:pPr>
      <w:r w:rsidRPr="00B861A5">
        <w:t>План діяльності з підготовки проект</w:t>
      </w:r>
      <w:r>
        <w:t>ів регуляторних актів на 2020</w:t>
      </w:r>
      <w:r w:rsidRPr="00B861A5">
        <w:t xml:space="preserve"> рік</w:t>
      </w:r>
    </w:p>
    <w:p w:rsidR="00142CB0" w:rsidRPr="00B861A5" w:rsidRDefault="00142CB0" w:rsidP="00142CB0">
      <w:pPr>
        <w:jc w:val="center"/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062"/>
        <w:gridCol w:w="1873"/>
        <w:gridCol w:w="1905"/>
        <w:gridCol w:w="1004"/>
        <w:gridCol w:w="1867"/>
        <w:gridCol w:w="1755"/>
      </w:tblGrid>
      <w:tr w:rsidR="00142CB0" w:rsidRPr="00B861A5" w:rsidTr="006A4407"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№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Вид проекту</w:t>
            </w:r>
          </w:p>
        </w:tc>
        <w:tc>
          <w:tcPr>
            <w:tcW w:w="954" w:type="pct"/>
            <w:tcBorders>
              <w:top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Назва проекту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Обґрунтування необхідності прийняття</w:t>
            </w: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 xml:space="preserve">Строк </w:t>
            </w:r>
            <w:proofErr w:type="spellStart"/>
            <w:r w:rsidRPr="00B861A5">
              <w:t>підго</w:t>
            </w:r>
            <w:proofErr w:type="spellEnd"/>
            <w:r w:rsidRPr="00B861A5">
              <w:t>-</w:t>
            </w:r>
          </w:p>
          <w:p w:rsidR="00142CB0" w:rsidRPr="00B861A5" w:rsidRDefault="00142CB0" w:rsidP="006A4407">
            <w:pPr>
              <w:jc w:val="center"/>
            </w:pPr>
            <w:proofErr w:type="spellStart"/>
            <w:r w:rsidRPr="00B861A5">
              <w:t>товки</w:t>
            </w:r>
            <w:proofErr w:type="spellEnd"/>
          </w:p>
        </w:tc>
        <w:tc>
          <w:tcPr>
            <w:tcW w:w="951" w:type="pct"/>
            <w:tcBorders>
              <w:top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Підрозділ, відповідальний за розробку</w:t>
            </w:r>
          </w:p>
        </w:tc>
        <w:tc>
          <w:tcPr>
            <w:tcW w:w="878" w:type="pct"/>
            <w:tcBorders>
              <w:top w:val="single" w:sz="12" w:space="0" w:color="auto"/>
              <w:right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Примітки</w:t>
            </w:r>
          </w:p>
        </w:tc>
      </w:tr>
      <w:tr w:rsidR="00142CB0" w:rsidRPr="00B861A5" w:rsidTr="006A4407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1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2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3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4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5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6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7</w:t>
            </w:r>
          </w:p>
        </w:tc>
      </w:tr>
      <w:tr w:rsidR="00142CB0" w:rsidRPr="00B861A5" w:rsidTr="006A4407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>
              <w:t>1</w:t>
            </w:r>
            <w:r w:rsidRPr="00B861A5">
              <w:t>.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 w:rsidRPr="00B861A5">
              <w:t xml:space="preserve">Проект рішення міської ради  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>
              <w:t>Про місцеві податки і збори Тернопільської міської територіальної громади на 2021 рік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>
              <w:t>Перегляд ставок місцевих податків і зборів згідно з чинним законодавством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center"/>
            </w:pPr>
            <w:r w:rsidRPr="00B861A5">
              <w:t>2 квартал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 w:rsidRPr="00B861A5">
              <w:t>Фінансове управління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 w:rsidRPr="00B861A5"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142CB0" w:rsidRPr="00B861A5" w:rsidTr="006A4407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>
              <w:t>2</w:t>
            </w:r>
            <w:r w:rsidRPr="00B861A5">
              <w:t>.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 w:rsidRPr="00B861A5">
              <w:t xml:space="preserve">Проект рішення міської ради  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CB0" w:rsidRPr="00800F42" w:rsidRDefault="00142CB0" w:rsidP="006A4407">
            <w:pPr>
              <w:ind w:left="-46" w:right="-51"/>
            </w:pPr>
            <w:r w:rsidRPr="00800F42">
              <w:t xml:space="preserve">Про внесення змін і доповнень до рішення міської ради від </w:t>
            </w:r>
            <w:r>
              <w:t>24</w:t>
            </w:r>
            <w:r w:rsidRPr="00800F42">
              <w:t>.0</w:t>
            </w:r>
            <w:r>
              <w:t>7.2019</w:t>
            </w:r>
            <w:r w:rsidRPr="00800F42">
              <w:t>р. №</w:t>
            </w:r>
            <w:r w:rsidRPr="00046A70">
              <w:t xml:space="preserve">7/36/12 </w:t>
            </w:r>
            <w:r w:rsidRPr="00800F42">
              <w:t>«</w:t>
            </w:r>
            <w:r w:rsidRPr="00046A70">
              <w:t>Про затвердження Правил благоустрою Тернопільської міської територіальної громади</w:t>
            </w:r>
            <w:r w:rsidRPr="00800F42">
              <w:t>»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800F42" w:rsidRDefault="00142CB0" w:rsidP="006A4407">
            <w:pPr>
              <w:pStyle w:val="a3"/>
              <w:ind w:left="-47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46A70">
              <w:rPr>
                <w:rFonts w:ascii="Times New Roman" w:hAnsi="Times New Roman"/>
                <w:sz w:val="24"/>
                <w:szCs w:val="24"/>
                <w:lang w:eastAsia="ru-RU"/>
              </w:rPr>
              <w:t>регулювання питань в сфері комплексного благоустрою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Pr="00800F42">
              <w:rPr>
                <w:rFonts w:ascii="Times New Roman" w:hAnsi="Times New Roman"/>
                <w:sz w:val="24"/>
                <w:szCs w:val="24"/>
                <w:lang w:eastAsia="ru-RU"/>
              </w:rPr>
              <w:t>окращення санітарного стану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00F42">
              <w:rPr>
                <w:rFonts w:ascii="Times New Roman" w:hAnsi="Times New Roman"/>
                <w:sz w:val="24"/>
                <w:szCs w:val="24"/>
                <w:lang w:eastAsia="ru-RU"/>
              </w:rPr>
              <w:t>, ефективне використання та збереження об’єктів та елементів благоустрою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B861A5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pStyle w:val="a3"/>
              <w:ind w:left="-79" w:right="-71"/>
              <w:jc w:val="both"/>
              <w:rPr>
                <w:rFonts w:ascii="Times New Roman" w:hAnsi="Times New Roman"/>
                <w:lang w:eastAsia="ru-RU"/>
              </w:rPr>
            </w:pPr>
            <w:r w:rsidRPr="00B861A5">
              <w:rPr>
                <w:rFonts w:ascii="Times New Roman" w:hAnsi="Times New Roman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 w:rsidRPr="00B861A5"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142CB0" w:rsidRPr="00B861A5" w:rsidTr="006A4407"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>
              <w:t>3</w:t>
            </w:r>
            <w:r w:rsidRPr="00B861A5">
              <w:t>.</w:t>
            </w:r>
          </w:p>
        </w:tc>
        <w:tc>
          <w:tcPr>
            <w:tcW w:w="53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 w:rsidRPr="00B861A5">
              <w:t xml:space="preserve">Проект рішення міської ради  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EB0AAF" w:rsidRDefault="00142CB0" w:rsidP="006A4407">
            <w:r w:rsidRPr="00EB0AAF">
              <w:t>Про грошову оцінку земель міста Тернополя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EB0AAF" w:rsidRDefault="00142CB0" w:rsidP="006A440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0AAF">
              <w:rPr>
                <w:color w:val="000000"/>
                <w:sz w:val="22"/>
                <w:szCs w:val="22"/>
              </w:rPr>
              <w:t xml:space="preserve">Цей регуляторний акт забезпечує застосування нової нормативної грошової оцінки земель м. Тернополя для визначення розміру земельного податку, орендної плати за земельні ділянки державної та комунальної власності, продажу забудованих земель та </w:t>
            </w:r>
            <w:r w:rsidRPr="00D13BF2">
              <w:rPr>
                <w:color w:val="000000"/>
                <w:sz w:val="22"/>
                <w:szCs w:val="22"/>
              </w:rPr>
              <w:t xml:space="preserve">проведенні земельних </w:t>
            </w:r>
            <w:r w:rsidRPr="00D13BF2">
              <w:rPr>
                <w:color w:val="000000"/>
                <w:sz w:val="22"/>
                <w:szCs w:val="22"/>
              </w:rPr>
              <w:lastRenderedPageBreak/>
              <w:t xml:space="preserve">аукціонів, забезпечує своєчасне поступлення коштів від плати за землю, </w:t>
            </w:r>
            <w:r w:rsidRPr="00D13BF2">
              <w:rPr>
                <w:iCs/>
                <w:color w:val="000000"/>
              </w:rPr>
              <w:t>покращить</w:t>
            </w:r>
            <w:r w:rsidRPr="00D13BF2">
              <w:rPr>
                <w:color w:val="000000"/>
              </w:rPr>
              <w:t xml:space="preserve"> інвестиційний </w:t>
            </w:r>
            <w:r w:rsidRPr="00D13BF2">
              <w:rPr>
                <w:iCs/>
                <w:color w:val="000000"/>
              </w:rPr>
              <w:t>клімат</w:t>
            </w:r>
            <w:r w:rsidRPr="00D13BF2">
              <w:rPr>
                <w:color w:val="000000"/>
                <w:sz w:val="22"/>
                <w:szCs w:val="22"/>
              </w:rPr>
              <w:t xml:space="preserve"> та взаємовідносини між органами</w:t>
            </w:r>
            <w:r w:rsidRPr="00EB0AAF">
              <w:rPr>
                <w:sz w:val="22"/>
                <w:szCs w:val="22"/>
              </w:rPr>
              <w:t xml:space="preserve"> місцевого самоврядування та суб’єктами господарювання</w:t>
            </w:r>
            <w:r w:rsidRPr="00EB0AAF">
              <w:rPr>
                <w:color w:val="000000"/>
                <w:sz w:val="22"/>
                <w:szCs w:val="22"/>
              </w:rPr>
              <w:t>.</w:t>
            </w:r>
          </w:p>
          <w:p w:rsidR="00142CB0" w:rsidRPr="00EB0AAF" w:rsidRDefault="00142CB0" w:rsidP="006A4407"/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EB0AAF" w:rsidRDefault="00142CB0" w:rsidP="006A4407">
            <w:r w:rsidRPr="00EB0AAF">
              <w:lastRenderedPageBreak/>
              <w:t xml:space="preserve">ІІІ квартал 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</w:tcBorders>
          </w:tcPr>
          <w:p w:rsidR="00142CB0" w:rsidRPr="00B861A5" w:rsidRDefault="00142CB0" w:rsidP="006A4407">
            <w:pPr>
              <w:pStyle w:val="a3"/>
              <w:ind w:left="-79" w:right="-71"/>
              <w:jc w:val="both"/>
              <w:rPr>
                <w:rFonts w:ascii="Times New Roman" w:hAnsi="Times New Roman"/>
              </w:rPr>
            </w:pPr>
            <w:r w:rsidRPr="00B861A5">
              <w:rPr>
                <w:rFonts w:ascii="Times New Roman" w:hAnsi="Times New Roman"/>
              </w:rPr>
              <w:t xml:space="preserve">Відділ земельних ресурсів </w:t>
            </w:r>
          </w:p>
        </w:tc>
        <w:tc>
          <w:tcPr>
            <w:tcW w:w="8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B0" w:rsidRPr="00B861A5" w:rsidRDefault="00142CB0" w:rsidP="006A4407">
            <w:pPr>
              <w:jc w:val="both"/>
            </w:pPr>
            <w:r w:rsidRPr="00B861A5">
              <w:t>Проект буде оприлюднений на офіційній сторінці в мережі Інтернет та в газеті «Вільне життя»</w:t>
            </w:r>
          </w:p>
        </w:tc>
      </w:tr>
    </w:tbl>
    <w:p w:rsidR="000E19AB" w:rsidRPr="00AC5FD3" w:rsidRDefault="000E19AB" w:rsidP="000E19AB"/>
    <w:p w:rsidR="00142CB0" w:rsidRPr="009B546B" w:rsidRDefault="00142CB0" w:rsidP="00142CB0"/>
    <w:p w:rsidR="00AC5FD3" w:rsidRPr="003363D1" w:rsidRDefault="00AC5FD3">
      <w:pPr>
        <w:rPr>
          <w:bCs/>
          <w:sz w:val="28"/>
          <w:szCs w:val="28"/>
        </w:rPr>
      </w:pPr>
      <w:bookmarkStart w:id="0" w:name="_GoBack"/>
      <w:bookmarkEnd w:id="0"/>
    </w:p>
    <w:sectPr w:rsidR="00AC5FD3" w:rsidRPr="003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142CB0"/>
    <w:rsid w:val="001D5C02"/>
    <w:rsid w:val="002015BB"/>
    <w:rsid w:val="002C5972"/>
    <w:rsid w:val="003363D1"/>
    <w:rsid w:val="003A7956"/>
    <w:rsid w:val="005A1127"/>
    <w:rsid w:val="008738D3"/>
    <w:rsid w:val="00AC5FD3"/>
    <w:rsid w:val="00C13172"/>
    <w:rsid w:val="00C721E6"/>
    <w:rsid w:val="00D92AF5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B034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8738D3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4">
    <w:name w:val="Normal (Web)"/>
    <w:basedOn w:val="a"/>
    <w:unhideWhenUsed/>
    <w:rsid w:val="00142CB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dcterms:created xsi:type="dcterms:W3CDTF">2020-01-03T09:54:00Z</dcterms:created>
  <dcterms:modified xsi:type="dcterms:W3CDTF">2020-01-03T09:54:00Z</dcterms:modified>
</cp:coreProperties>
</file>