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5" w:type="dxa"/>
        <w:jc w:val="center"/>
        <w:tblCellSpacing w:w="22" w:type="dxa"/>
        <w:tblInd w:w="2618" w:type="dxa"/>
        <w:tblCellMar>
          <w:top w:w="60" w:type="dxa"/>
          <w:left w:w="60" w:type="dxa"/>
          <w:bottom w:w="60" w:type="dxa"/>
          <w:right w:w="60" w:type="dxa"/>
        </w:tblCellMar>
        <w:tblLook w:val="04A0"/>
      </w:tblPr>
      <w:tblGrid>
        <w:gridCol w:w="9535"/>
      </w:tblGrid>
      <w:tr w:rsidR="005B7B07" w:rsidTr="005B7B07">
        <w:trPr>
          <w:tblCellSpacing w:w="22" w:type="dxa"/>
          <w:jc w:val="center"/>
        </w:trPr>
        <w:tc>
          <w:tcPr>
            <w:tcW w:w="4954" w:type="pct"/>
          </w:tcPr>
          <w:p w:rsidR="005B7B07" w:rsidRDefault="005B7B07">
            <w:p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                                                                                                                                           проект</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 бюджет м.Тернополя (громади) </w:t>
            </w:r>
          </w:p>
          <w:p w:rsidR="005B7B07" w:rsidRDefault="005B7B07">
            <w:p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на  2019  рік</w:t>
            </w: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 xml:space="preserve">Керуючись </w:t>
            </w:r>
            <w:hyperlink r:id="rId5" w:tgtFrame="_top" w:history="1">
              <w:r>
                <w:rPr>
                  <w:rStyle w:val="a5"/>
                  <w:rFonts w:ascii="Times New Roman" w:eastAsia="Times New Roman" w:hAnsi="Times New Roman"/>
                  <w:color w:val="auto"/>
                  <w:sz w:val="24"/>
                  <w:szCs w:val="24"/>
                  <w:u w:val="none"/>
                  <w:lang w:eastAsia="ru-RU"/>
                </w:rPr>
                <w:t>Бюджетним кодексом України</w:t>
              </w:r>
            </w:hyperlink>
            <w:r>
              <w:rPr>
                <w:rFonts w:ascii="Times New Roman" w:eastAsia="Times New Roman" w:hAnsi="Times New Roman"/>
                <w:sz w:val="24"/>
                <w:szCs w:val="24"/>
                <w:lang w:eastAsia="ru-RU"/>
              </w:rPr>
              <w:t xml:space="preserve">, </w:t>
            </w:r>
            <w:hyperlink r:id="rId6" w:tgtFrame="_top" w:history="1">
              <w:r>
                <w:rPr>
                  <w:rStyle w:val="a5"/>
                  <w:rFonts w:ascii="Times New Roman" w:eastAsia="Times New Roman" w:hAnsi="Times New Roman"/>
                  <w:color w:val="auto"/>
                  <w:sz w:val="24"/>
                  <w:szCs w:val="24"/>
                  <w:u w:val="none"/>
                  <w:lang w:eastAsia="ru-RU"/>
                </w:rPr>
                <w:t>ЗУ  "Про місцеве самоврядування"</w:t>
              </w:r>
            </w:hyperlink>
            <w:r>
              <w:rPr>
                <w:rFonts w:ascii="Times New Roman" w:eastAsia="Times New Roman" w:hAnsi="Times New Roman"/>
                <w:sz w:val="24"/>
                <w:szCs w:val="24"/>
                <w:lang w:eastAsia="ru-RU"/>
              </w:rPr>
              <w:t>,</w:t>
            </w:r>
          </w:p>
          <w:p w:rsidR="005B7B07" w:rsidRDefault="005B7B0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Тернопільська міська рада вирішила:</w:t>
            </w:r>
            <w:r>
              <w:rPr>
                <w:rFonts w:ascii="Times New Roman" w:eastAsia="Times New Roman" w:hAnsi="Times New Roman"/>
                <w:sz w:val="24"/>
                <w:szCs w:val="24"/>
                <w:lang w:eastAsia="ru-RU"/>
              </w:rPr>
              <w:br/>
            </w:r>
          </w:p>
          <w:p w:rsidR="005B7B07" w:rsidRDefault="005B7B07" w:rsidP="008577D2">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Визначити на 2019 рік:</w:t>
            </w:r>
          </w:p>
          <w:p w:rsidR="005B7B07" w:rsidRDefault="005B7B07">
            <w:pPr>
              <w:spacing w:after="0" w:line="240" w:lineRule="auto"/>
              <w:ind w:left="720"/>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b/>
                <w:sz w:val="24"/>
                <w:szCs w:val="24"/>
                <w:lang w:eastAsia="ru-RU"/>
              </w:rPr>
              <w:t>доходи</w:t>
            </w:r>
            <w:r>
              <w:rPr>
                <w:rFonts w:ascii="Times New Roman" w:eastAsia="Times New Roman" w:hAnsi="Times New Roman"/>
                <w:sz w:val="24"/>
                <w:szCs w:val="24"/>
                <w:lang w:eastAsia="ru-RU"/>
              </w:rPr>
              <w:t xml:space="preserve"> бюджету м.Тернополя (громади) у сумі 2 552 052 228 гривень, у тому числі доходи загального фонду міського бюджету – 2 440 767 040 гривень та доходи спеціального фонду міського бюджету – 111 285 188 гривень  згідно з додатком 1 до цього рішення;</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видатки</w:t>
            </w:r>
            <w:r>
              <w:rPr>
                <w:rFonts w:ascii="Times New Roman" w:eastAsia="Times New Roman" w:hAnsi="Times New Roman"/>
                <w:sz w:val="24"/>
                <w:szCs w:val="24"/>
                <w:lang w:eastAsia="ru-RU"/>
              </w:rPr>
              <w:t xml:space="preserve"> бюджету м.Тернополя (громади) у сумі 2 919 590 721 гривень, у тому числі видатки загального фонду міського бюджету - 2 150 859 722 гривень та видатки спеціального фонду міського бюджету – 768 730 999 гривень;</w:t>
            </w:r>
          </w:p>
          <w:p w:rsidR="005B7B07" w:rsidRDefault="005B7B07">
            <w:pPr>
              <w:spacing w:after="0" w:line="240" w:lineRule="auto"/>
              <w:jc w:val="both"/>
              <w:rPr>
                <w:rFonts w:ascii="Times New Roman" w:eastAsia="Times New Roman" w:hAnsi="Times New Roman"/>
                <w:b/>
                <w:sz w:val="24"/>
                <w:szCs w:val="24"/>
                <w:lang w:val="ru-RU" w:eastAsia="ru-RU"/>
              </w:rPr>
            </w:pP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повернення кредитів</w:t>
            </w:r>
            <w:r>
              <w:rPr>
                <w:rFonts w:ascii="Times New Roman" w:eastAsia="Times New Roman" w:hAnsi="Times New Roman"/>
                <w:sz w:val="24"/>
                <w:szCs w:val="24"/>
                <w:lang w:eastAsia="ru-RU"/>
              </w:rPr>
              <w:t xml:space="preserve"> до міського бюджету у сумі 100 000 гривень, у тому числі  повернення кредитів до спеціального фонду міського бюджету – 100 000 гривень;  </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надання кредитів</w:t>
            </w:r>
            <w:r>
              <w:rPr>
                <w:rFonts w:ascii="Times New Roman" w:eastAsia="Times New Roman" w:hAnsi="Times New Roman"/>
                <w:sz w:val="24"/>
                <w:szCs w:val="24"/>
                <w:lang w:eastAsia="ru-RU"/>
              </w:rPr>
              <w:t xml:space="preserve"> з міського бюджету у сумі  34 421 707 гривень, у тому числі надання кредитів із загального фонду міського бюджету – 300 000 гривень та надання кредитів із спеціального фонду міського бюджету -  34 121 707 гривень;</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профіцит</w:t>
            </w:r>
            <w:r>
              <w:rPr>
                <w:rFonts w:ascii="Times New Roman" w:eastAsia="Times New Roman" w:hAnsi="Times New Roman"/>
                <w:sz w:val="24"/>
                <w:szCs w:val="24"/>
                <w:lang w:eastAsia="ru-RU"/>
              </w:rPr>
              <w:t xml:space="preserve"> за загальним фондом міського бюджету у сумі 289 607 318 гривень, напрямком використання якого є передача коштів із загального фонду до спеціального фонду (бюджету розвитку) згідно з додатком 2 до цього рішення ;</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дефіцит</w:t>
            </w:r>
            <w:r>
              <w:rPr>
                <w:rFonts w:ascii="Times New Roman" w:eastAsia="Times New Roman" w:hAnsi="Times New Roman"/>
                <w:sz w:val="24"/>
                <w:szCs w:val="24"/>
                <w:lang w:eastAsia="ru-RU"/>
              </w:rPr>
              <w:t xml:space="preserve"> за спеціальним  фондом міського бюджету у сумі 691 467 518 гривень, джерелом покриття якого визначити надходження коштів із загального фонду до спеціального фонду (бюджету розвитку) в сумі  289 607 318 гривень, а також місцеві запозичення : місцеве зовнішнє запозичення   в сумі 12 500 000 гривень відповідно до рішення міської ради від 15.06.2018 року № 7/25/18 «Про залучення кредиту НЕФКО для фінансування інвестиційного проекту «Реконструкція системи зовнішнього освітлення м.Тернополя «Світло без ртуті», скориговане на обсяг погашення запозичення в сумі  781 300,0 гривень,  та  частина місцевого внутрішнього  запозичення в сумі  390 141 500,00 гривень, відповідно до рішення  міської ради від 15.06.2018 року № 7/25/20 «Про здійснення запозичення для фінансування проекту «Глибока термомодернізація будівель закладів освіти м. Тернополя»,  згідно з додатком 2 до цього рішення;</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b/>
                <w:sz w:val="24"/>
                <w:szCs w:val="24"/>
                <w:lang w:eastAsia="ru-RU"/>
              </w:rPr>
              <w:t>оборотний залишок</w:t>
            </w:r>
            <w:r>
              <w:rPr>
                <w:rFonts w:ascii="Times New Roman" w:eastAsia="Times New Roman" w:hAnsi="Times New Roman"/>
                <w:sz w:val="24"/>
                <w:szCs w:val="24"/>
                <w:lang w:eastAsia="ru-RU"/>
              </w:rPr>
              <w:t xml:space="preserve"> бюджетних коштів міського бюджету у розмірі 300 000 гривень, що становить 0,014 відсотків видатків загального фонду міського бюджету, визначених цим пунктом;</w:t>
            </w:r>
          </w:p>
          <w:p w:rsidR="005B7B07" w:rsidRDefault="005B7B07">
            <w:pPr>
              <w:spacing w:after="0" w:line="240" w:lineRule="auto"/>
              <w:jc w:val="both"/>
              <w:rPr>
                <w:rFonts w:ascii="Times New Roman" w:eastAsia="Times New Roman" w:hAnsi="Times New Roman"/>
                <w:b/>
                <w:sz w:val="24"/>
                <w:szCs w:val="24"/>
                <w:lang w:eastAsia="ru-RU"/>
              </w:rPr>
            </w:pPr>
          </w:p>
          <w:p w:rsidR="005B7B07" w:rsidRDefault="005B7B07">
            <w:p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b/>
                <w:sz w:val="24"/>
                <w:szCs w:val="24"/>
                <w:lang w:eastAsia="ru-RU"/>
              </w:rPr>
              <w:t>резервний фонд</w:t>
            </w:r>
            <w:r>
              <w:rPr>
                <w:rFonts w:ascii="Times New Roman" w:eastAsia="Times New Roman" w:hAnsi="Times New Roman"/>
                <w:sz w:val="24"/>
                <w:szCs w:val="24"/>
                <w:lang w:eastAsia="ru-RU"/>
              </w:rPr>
              <w:t xml:space="preserve"> міського бюджету у розмірі 11 738 700 гривень, що становить 0,64 відсотків видатків загального фонду міського бюджету, визначених цим пунктом.</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Затвердити   </w:t>
            </w:r>
            <w:r>
              <w:rPr>
                <w:rFonts w:ascii="Times New Roman" w:eastAsia="Times New Roman" w:hAnsi="Times New Roman"/>
                <w:b/>
                <w:sz w:val="24"/>
                <w:szCs w:val="24"/>
                <w:lang w:eastAsia="ru-RU"/>
              </w:rPr>
              <w:t>бюджетні   призначення</w:t>
            </w:r>
            <w:r>
              <w:rPr>
                <w:rFonts w:ascii="Times New Roman" w:eastAsia="Times New Roman" w:hAnsi="Times New Roman"/>
                <w:sz w:val="24"/>
                <w:szCs w:val="24"/>
                <w:lang w:eastAsia="ru-RU"/>
              </w:rPr>
              <w:t xml:space="preserve">   головним   розпорядникам   коштів   міського бюджету на 2019 рік у розрізі   відповідальних   виконавців за бюджетними програмами /підпрограмами згідно з додатками 3, 4 до цього рішення.</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Затвердити на 2019 рік </w:t>
            </w:r>
            <w:r>
              <w:rPr>
                <w:rFonts w:ascii="Times New Roman" w:eastAsia="Times New Roman" w:hAnsi="Times New Roman"/>
                <w:b/>
                <w:sz w:val="24"/>
                <w:szCs w:val="24"/>
                <w:lang w:eastAsia="ru-RU"/>
              </w:rPr>
              <w:t>розподіл коштів бюджету розвитку</w:t>
            </w:r>
            <w:r>
              <w:rPr>
                <w:rFonts w:ascii="Times New Roman" w:eastAsia="Times New Roman" w:hAnsi="Times New Roman"/>
                <w:sz w:val="24"/>
                <w:szCs w:val="24"/>
                <w:lang w:eastAsia="ru-RU"/>
              </w:rPr>
              <w:t xml:space="preserve"> на здійснення заходів на </w:t>
            </w:r>
            <w:r>
              <w:rPr>
                <w:rFonts w:ascii="Times New Roman" w:eastAsia="Times New Roman" w:hAnsi="Times New Roman"/>
                <w:sz w:val="24"/>
                <w:szCs w:val="24"/>
                <w:lang w:eastAsia="ru-RU"/>
              </w:rPr>
              <w:lastRenderedPageBreak/>
              <w:t>будівництво, реконструкцію і реставрацію об'єктів виробничої, комунікаційної та соціальної інфраструктури за об'єктами згідно з додатком 6 до цього рішення.</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Затвердити </w:t>
            </w:r>
            <w:r>
              <w:rPr>
                <w:rFonts w:ascii="Times New Roman" w:eastAsia="Times New Roman" w:hAnsi="Times New Roman"/>
                <w:b/>
                <w:sz w:val="24"/>
                <w:szCs w:val="24"/>
                <w:lang w:eastAsia="ru-RU"/>
              </w:rPr>
              <w:t>розподіл витрат міського бюджету на реалізацію місцевих/регіональних програм</w:t>
            </w:r>
            <w:r>
              <w:rPr>
                <w:rFonts w:ascii="Times New Roman" w:eastAsia="Times New Roman" w:hAnsi="Times New Roman"/>
                <w:sz w:val="24"/>
                <w:szCs w:val="24"/>
                <w:lang w:eastAsia="ru-RU"/>
              </w:rPr>
              <w:t xml:space="preserve"> у сумі    543183900 гривень згідно з додатком 7 до цього рішення.</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Затвердити </w:t>
            </w:r>
            <w:r>
              <w:rPr>
                <w:rFonts w:ascii="Times New Roman" w:eastAsia="Times New Roman" w:hAnsi="Times New Roman"/>
                <w:b/>
                <w:sz w:val="24"/>
                <w:szCs w:val="24"/>
                <w:lang w:eastAsia="ru-RU"/>
              </w:rPr>
              <w:t>перелік кредитів (позик), що залучаються</w:t>
            </w:r>
            <w:r>
              <w:rPr>
                <w:rFonts w:ascii="Times New Roman" w:eastAsia="Times New Roman" w:hAnsi="Times New Roman"/>
                <w:sz w:val="24"/>
                <w:szCs w:val="24"/>
                <w:lang w:eastAsia="ru-RU"/>
              </w:rPr>
              <w:t xml:space="preserve"> Тернопільською міською радою до спеціального фонду міського бюджету у 2019 році від міжнародних фінансових організацій для реалізації інвестиційних проектів згідно з додатком 8 до цього рішення.</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Установити, що у загальному фонді міського бюджету на 2019 рік:</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1) до доходів загального фонду міського бюджету належать доходи, визначені статтями 64 </w:t>
            </w:r>
            <w:hyperlink r:id="rId7" w:tgtFrame="_top" w:history="1">
              <w:r>
                <w:rPr>
                  <w:rStyle w:val="a5"/>
                  <w:rFonts w:ascii="Times New Roman" w:eastAsia="Times New Roman" w:hAnsi="Times New Roman"/>
                  <w:color w:val="auto"/>
                  <w:sz w:val="24"/>
                  <w:szCs w:val="24"/>
                  <w:u w:val="none"/>
                  <w:lang w:eastAsia="ru-RU"/>
                </w:rPr>
                <w:t>Бюджетного кодексу України</w:t>
              </w:r>
            </w:hyperlink>
            <w:r>
              <w:rPr>
                <w:rFonts w:ascii="Times New Roman" w:eastAsia="Times New Roman" w:hAnsi="Times New Roman"/>
                <w:sz w:val="24"/>
                <w:szCs w:val="24"/>
                <w:lang w:eastAsia="ru-RU"/>
              </w:rPr>
              <w:t xml:space="preserve"> та трансферти, визначені статями 101,102,103-2,103-4, 104, Бюджетного кодексу України (крім субвенцій, визначених </w:t>
            </w:r>
            <w:hyperlink r:id="rId8" w:tgtFrame="_top" w:history="1">
              <w:r>
                <w:rPr>
                  <w:rStyle w:val="a5"/>
                  <w:rFonts w:ascii="Times New Roman" w:eastAsia="Times New Roman" w:hAnsi="Times New Roman"/>
                  <w:color w:val="auto"/>
                  <w:sz w:val="24"/>
                  <w:szCs w:val="24"/>
                  <w:u w:val="none"/>
                  <w:lang w:eastAsia="ru-RU"/>
                </w:rPr>
                <w:t>статтею 69-1</w:t>
              </w:r>
            </w:hyperlink>
            <w:r>
              <w:rPr>
                <w:rFonts w:ascii="Times New Roman" w:eastAsia="Times New Roman" w:hAnsi="Times New Roman"/>
                <w:sz w:val="24"/>
                <w:szCs w:val="24"/>
                <w:lang w:eastAsia="ru-RU"/>
              </w:rPr>
              <w:t xml:space="preserve"> та </w:t>
            </w:r>
            <w:hyperlink r:id="rId9" w:tgtFrame="_top" w:history="1">
              <w:r>
                <w:rPr>
                  <w:rStyle w:val="a5"/>
                  <w:rFonts w:ascii="Times New Roman" w:eastAsia="Times New Roman" w:hAnsi="Times New Roman"/>
                  <w:color w:val="auto"/>
                  <w:sz w:val="24"/>
                  <w:szCs w:val="24"/>
                  <w:u w:val="none"/>
                  <w:lang w:eastAsia="ru-RU"/>
                </w:rPr>
                <w:t>частиною першою статті 71 Бюджетного кодексу України</w:t>
              </w:r>
            </w:hyperlink>
            <w:r>
              <w:rPr>
                <w:rFonts w:ascii="Times New Roman" w:eastAsia="Times New Roman" w:hAnsi="Times New Roman"/>
                <w:sz w:val="24"/>
                <w:szCs w:val="24"/>
                <w:lang w:eastAsia="ru-RU"/>
              </w:rPr>
              <w:t>);</w:t>
            </w: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джерелами формування у частині фінансування є надходження, визначені частиною 1 ст. 72 та частиною 1 ст.73 </w:t>
            </w:r>
            <w:hyperlink r:id="rId10" w:tgtFrame="_top" w:history="1">
              <w:r>
                <w:rPr>
                  <w:rStyle w:val="a5"/>
                  <w:rFonts w:ascii="Times New Roman" w:eastAsia="Times New Roman" w:hAnsi="Times New Roman"/>
                  <w:color w:val="auto"/>
                  <w:sz w:val="24"/>
                  <w:szCs w:val="24"/>
                  <w:u w:val="none"/>
                  <w:lang w:eastAsia="ru-RU"/>
                </w:rPr>
                <w:t>Бюджетного кодексу України</w:t>
              </w:r>
            </w:hyperlink>
            <w:r>
              <w:rPr>
                <w:rFonts w:ascii="Times New Roman" w:eastAsia="Times New Roman" w:hAnsi="Times New Roman"/>
                <w:sz w:val="24"/>
                <w:szCs w:val="24"/>
                <w:lang w:eastAsia="ru-RU"/>
              </w:rPr>
              <w:t>;</w:t>
            </w: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джерелами формування у частині кредитування є надходження, визначені статтею 64 Бюджетного кодексу України:</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Установити, що джерелами формування спеціального фонду міського бюджету на 2019 рік:</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1) у частині доходів є надходження, визначені статтями 69-1 та  частиною першою статті 71 </w:t>
            </w:r>
            <w:hyperlink r:id="rId11" w:tgtFrame="_top" w:history="1">
              <w:r>
                <w:rPr>
                  <w:rStyle w:val="a5"/>
                  <w:rFonts w:ascii="Times New Roman" w:eastAsia="Times New Roman" w:hAnsi="Times New Roman"/>
                  <w:color w:val="auto"/>
                  <w:sz w:val="24"/>
                  <w:szCs w:val="24"/>
                  <w:u w:val="none"/>
                  <w:lang w:eastAsia="ru-RU"/>
                </w:rPr>
                <w:t>Бюджетного кодексу України</w:t>
              </w:r>
            </w:hyperlink>
            <w:r>
              <w:rPr>
                <w:rFonts w:ascii="Times New Roman" w:eastAsia="Times New Roman" w:hAnsi="Times New Roman"/>
                <w:sz w:val="24"/>
                <w:szCs w:val="24"/>
                <w:lang w:eastAsia="ru-RU"/>
              </w:rPr>
              <w:t xml:space="preserve">, </w:t>
            </w: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у частині фінансування є  надходження , передбачені частиною 2 статті 72 </w:t>
            </w:r>
            <w:hyperlink r:id="rId12" w:tgtFrame="_top" w:history="1">
              <w:r>
                <w:rPr>
                  <w:rStyle w:val="a5"/>
                  <w:rFonts w:ascii="Times New Roman" w:eastAsia="Times New Roman" w:hAnsi="Times New Roman"/>
                  <w:color w:val="auto"/>
                  <w:sz w:val="24"/>
                  <w:szCs w:val="24"/>
                  <w:u w:val="none"/>
                  <w:lang w:eastAsia="ru-RU"/>
                </w:rPr>
                <w:t>Бюджетного кодексу України</w:t>
              </w:r>
            </w:hyperlink>
            <w:r>
              <w:rPr>
                <w:rFonts w:ascii="Times New Roman" w:eastAsia="Times New Roman" w:hAnsi="Times New Roman"/>
                <w:sz w:val="24"/>
                <w:szCs w:val="24"/>
                <w:lang w:eastAsia="ru-RU"/>
              </w:rPr>
              <w:t>,</w:t>
            </w:r>
          </w:p>
          <w:p w:rsidR="005B7B07" w:rsidRP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у частині кредитування є надходження від повернення кредитів , визначені пунктом  11 частини 1 статті 69-1 </w:t>
            </w:r>
            <w:hyperlink r:id="rId13" w:tgtFrame="_top" w:history="1">
              <w:r>
                <w:rPr>
                  <w:rStyle w:val="a5"/>
                  <w:rFonts w:ascii="Times New Roman" w:eastAsia="Times New Roman" w:hAnsi="Times New Roman"/>
                  <w:color w:val="auto"/>
                  <w:sz w:val="24"/>
                  <w:szCs w:val="24"/>
                  <w:u w:val="none"/>
                  <w:lang w:eastAsia="ru-RU"/>
                </w:rPr>
                <w:t>Бюджетного кодексу України</w:t>
              </w:r>
            </w:hyperlink>
            <w:r>
              <w:rPr>
                <w:rFonts w:ascii="Times New Roman" w:eastAsia="Times New Roman" w:hAnsi="Times New Roman"/>
                <w:sz w:val="24"/>
                <w:szCs w:val="24"/>
                <w:lang w:eastAsia="ru-RU"/>
              </w:rPr>
              <w:t>.</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Установити, що у 2019  році кошти, отримані до спеціального фонду міського бюджету згідно з відповідними пунктами частини 1 статті 71 </w:t>
            </w:r>
            <w:hyperlink r:id="rId14" w:tgtFrame="_top" w:history="1">
              <w:r>
                <w:rPr>
                  <w:rStyle w:val="a5"/>
                  <w:rFonts w:ascii="Times New Roman" w:eastAsia="Times New Roman" w:hAnsi="Times New Roman"/>
                  <w:color w:val="auto"/>
                  <w:sz w:val="24"/>
                  <w:szCs w:val="24"/>
                  <w:u w:val="none"/>
                  <w:lang w:eastAsia="ru-RU"/>
                </w:rPr>
                <w:t>Бюджетного кодексу України</w:t>
              </w:r>
            </w:hyperlink>
            <w:r>
              <w:rPr>
                <w:rFonts w:ascii="Times New Roman" w:eastAsia="Times New Roman" w:hAnsi="Times New Roman"/>
                <w:sz w:val="24"/>
                <w:szCs w:val="24"/>
                <w:lang w:eastAsia="ru-RU"/>
              </w:rPr>
              <w:t>, спрямовуються на реалізацію заходів, визначених частиною 2 статті 71 Бюджетного кодексу України.</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9. Визначити на 31 грудня 2019 року граничний обсяг міського боргу у сумі 401 860 200 гривень та граничний обсяг гарантованого міського боргу у сумі  310 204 300  гривень.</w:t>
            </w:r>
          </w:p>
          <w:p w:rsidR="005B7B07" w:rsidRDefault="005B7B07">
            <w:pPr>
              <w:pStyle w:val="a3"/>
              <w:autoSpaceDE/>
              <w:jc w:val="both"/>
              <w:rPr>
                <w:rFonts w:ascii="Times New Roman" w:hAnsi="Times New Roman"/>
                <w:sz w:val="24"/>
                <w:szCs w:val="24"/>
                <w:lang w:val="ru-RU"/>
              </w:rPr>
            </w:pPr>
          </w:p>
          <w:p w:rsidR="005B7B07" w:rsidRDefault="005B7B07">
            <w:pPr>
              <w:pStyle w:val="a3"/>
              <w:autoSpaceDE/>
              <w:jc w:val="both"/>
              <w:rPr>
                <w:rFonts w:ascii="Times New Roman" w:hAnsi="Times New Roman"/>
                <w:sz w:val="24"/>
                <w:szCs w:val="24"/>
                <w:lang w:val="ru-RU"/>
              </w:rPr>
            </w:pPr>
            <w:r>
              <w:rPr>
                <w:rFonts w:ascii="Times New Roman" w:hAnsi="Times New Roman"/>
                <w:sz w:val="24"/>
                <w:szCs w:val="24"/>
                <w:lang w:val="ru-RU"/>
              </w:rPr>
              <w:t xml:space="preserve">10. Визначити на 2019 </w:t>
            </w:r>
            <w:proofErr w:type="gramStart"/>
            <w:r>
              <w:rPr>
                <w:rFonts w:ascii="Times New Roman" w:hAnsi="Times New Roman"/>
                <w:sz w:val="24"/>
                <w:szCs w:val="24"/>
                <w:lang w:val="ru-RU"/>
              </w:rPr>
              <w:t>р</w:t>
            </w:r>
            <w:proofErr w:type="gramEnd"/>
            <w:r>
              <w:rPr>
                <w:rFonts w:ascii="Times New Roman" w:hAnsi="Times New Roman"/>
                <w:sz w:val="24"/>
                <w:szCs w:val="24"/>
                <w:lang w:val="ru-RU"/>
              </w:rPr>
              <w:t xml:space="preserve">ік відповідно до </w:t>
            </w:r>
            <w:hyperlink r:id="rId15" w:tgtFrame="_top" w:history="1">
              <w:r>
                <w:rPr>
                  <w:rStyle w:val="a5"/>
                  <w:rFonts w:ascii="Times New Roman" w:hAnsi="Times New Roman"/>
                  <w:color w:val="auto"/>
                  <w:sz w:val="24"/>
                  <w:szCs w:val="24"/>
                  <w:u w:val="none"/>
                  <w:lang w:val="ru-RU"/>
                </w:rPr>
                <w:t>статті 55 Бюджетного кодексу України</w:t>
              </w:r>
            </w:hyperlink>
            <w:r>
              <w:rPr>
                <w:rFonts w:ascii="Times New Roman" w:hAnsi="Times New Roman"/>
                <w:sz w:val="24"/>
                <w:szCs w:val="24"/>
                <w:lang w:val="ru-RU"/>
              </w:rPr>
              <w:t xml:space="preserve"> захищеними видатками міського бюджету видатки загального фонду на: </w:t>
            </w:r>
          </w:p>
          <w:p w:rsidR="005B7B07" w:rsidRDefault="005B7B07">
            <w:pPr>
              <w:pStyle w:val="a3"/>
              <w:autoSpaceDE/>
              <w:ind w:firstLine="567"/>
              <w:jc w:val="both"/>
              <w:rPr>
                <w:rFonts w:ascii="Times New Roman" w:hAnsi="Times New Roman"/>
                <w:sz w:val="24"/>
                <w:szCs w:val="24"/>
                <w:lang w:val="ru-RU"/>
              </w:rPr>
            </w:pPr>
          </w:p>
          <w:p w:rsidR="005B7B07" w:rsidRDefault="005B7B07">
            <w:pPr>
              <w:pStyle w:val="a3"/>
              <w:autoSpaceDE/>
              <w:ind w:firstLine="567"/>
              <w:jc w:val="both"/>
              <w:rPr>
                <w:rFonts w:ascii="Times New Roman" w:hAnsi="Times New Roman"/>
                <w:sz w:val="24"/>
                <w:szCs w:val="24"/>
                <w:lang w:val="ru-RU"/>
              </w:rPr>
            </w:pPr>
            <w:r>
              <w:rPr>
                <w:rFonts w:ascii="Times New Roman" w:hAnsi="Times New Roman"/>
                <w:sz w:val="24"/>
                <w:szCs w:val="24"/>
                <w:lang w:val="ru-RU"/>
              </w:rPr>
              <w:t>- оплату праці працівників бюджетних установ;</w:t>
            </w:r>
          </w:p>
          <w:p w:rsidR="005B7B07" w:rsidRDefault="005B7B07">
            <w:pPr>
              <w:pStyle w:val="a3"/>
              <w:autoSpaceDE/>
              <w:ind w:firstLine="567"/>
              <w:jc w:val="both"/>
              <w:rPr>
                <w:rFonts w:ascii="Times New Roman" w:hAnsi="Times New Roman"/>
                <w:sz w:val="24"/>
                <w:szCs w:val="24"/>
                <w:lang w:val="ru-RU"/>
              </w:rPr>
            </w:pPr>
            <w:r>
              <w:rPr>
                <w:rFonts w:ascii="Times New Roman" w:hAnsi="Times New Roman"/>
                <w:sz w:val="24"/>
                <w:szCs w:val="24"/>
                <w:lang w:val="ru-RU"/>
              </w:rPr>
              <w:t>- нарахування на заробітну плату</w:t>
            </w:r>
            <w:proofErr w:type="gramStart"/>
            <w:r>
              <w:rPr>
                <w:rFonts w:ascii="Times New Roman" w:hAnsi="Times New Roman"/>
                <w:sz w:val="24"/>
                <w:szCs w:val="24"/>
                <w:lang w:val="ru-RU"/>
              </w:rPr>
              <w:t xml:space="preserve"> ;</w:t>
            </w:r>
            <w:proofErr w:type="gramEnd"/>
          </w:p>
          <w:p w:rsidR="005B7B07" w:rsidRDefault="005B7B07">
            <w:pPr>
              <w:pStyle w:val="a3"/>
              <w:autoSpaceDE/>
              <w:ind w:firstLine="567"/>
              <w:jc w:val="both"/>
              <w:rPr>
                <w:rFonts w:ascii="Times New Roman" w:hAnsi="Times New Roman"/>
                <w:sz w:val="24"/>
                <w:szCs w:val="24"/>
                <w:lang w:val="ru-RU"/>
              </w:rPr>
            </w:pPr>
            <w:r>
              <w:rPr>
                <w:rFonts w:ascii="Times New Roman" w:hAnsi="Times New Roman"/>
                <w:sz w:val="24"/>
                <w:szCs w:val="24"/>
                <w:lang w:val="ru-RU"/>
              </w:rPr>
              <w:t>- придбання медикаментів та перев’язувальних матеріалів</w:t>
            </w:r>
            <w:proofErr w:type="gramStart"/>
            <w:r>
              <w:rPr>
                <w:rFonts w:ascii="Times New Roman" w:hAnsi="Times New Roman"/>
                <w:sz w:val="24"/>
                <w:szCs w:val="24"/>
                <w:lang w:val="ru-RU"/>
              </w:rPr>
              <w:t xml:space="preserve"> ;</w:t>
            </w:r>
            <w:proofErr w:type="gramEnd"/>
          </w:p>
          <w:p w:rsidR="005B7B07" w:rsidRDefault="005B7B07">
            <w:pPr>
              <w:pStyle w:val="a3"/>
              <w:autoSpaceDE/>
              <w:ind w:firstLine="567"/>
              <w:jc w:val="both"/>
              <w:rPr>
                <w:rFonts w:ascii="Times New Roman" w:hAnsi="Times New Roman"/>
                <w:sz w:val="24"/>
                <w:szCs w:val="24"/>
                <w:lang w:val="ru-RU"/>
              </w:rPr>
            </w:pPr>
            <w:r>
              <w:rPr>
                <w:rFonts w:ascii="Times New Roman" w:hAnsi="Times New Roman"/>
                <w:sz w:val="24"/>
                <w:szCs w:val="24"/>
                <w:lang w:val="ru-RU"/>
              </w:rPr>
              <w:t>- забезпечення продуктами харчування</w:t>
            </w:r>
            <w:proofErr w:type="gramStart"/>
            <w:r>
              <w:rPr>
                <w:rFonts w:ascii="Times New Roman" w:hAnsi="Times New Roman"/>
                <w:sz w:val="24"/>
                <w:szCs w:val="24"/>
                <w:lang w:val="ru-RU"/>
              </w:rPr>
              <w:t xml:space="preserve"> ;</w:t>
            </w:r>
            <w:proofErr w:type="gramEnd"/>
          </w:p>
          <w:p w:rsidR="005B7B07" w:rsidRDefault="005B7B07">
            <w:pPr>
              <w:pStyle w:val="a3"/>
              <w:autoSpaceDE/>
              <w:ind w:firstLine="567"/>
              <w:jc w:val="both"/>
              <w:rPr>
                <w:rFonts w:ascii="Times New Roman" w:hAnsi="Times New Roman"/>
                <w:sz w:val="24"/>
                <w:szCs w:val="24"/>
                <w:lang w:val="ru-RU"/>
              </w:rPr>
            </w:pPr>
            <w:r>
              <w:rPr>
                <w:rFonts w:ascii="Times New Roman" w:hAnsi="Times New Roman"/>
                <w:sz w:val="24"/>
                <w:szCs w:val="24"/>
                <w:lang w:val="ru-RU"/>
              </w:rPr>
              <w:t>- оплату комунальних послуг та енергоносіїв</w:t>
            </w:r>
            <w:proofErr w:type="gramStart"/>
            <w:r>
              <w:rPr>
                <w:rFonts w:ascii="Times New Roman" w:hAnsi="Times New Roman"/>
                <w:sz w:val="24"/>
                <w:szCs w:val="24"/>
                <w:lang w:val="ru-RU"/>
              </w:rPr>
              <w:t xml:space="preserve"> ;</w:t>
            </w:r>
            <w:proofErr w:type="gramEnd"/>
          </w:p>
          <w:p w:rsidR="005B7B07" w:rsidRDefault="005B7B07">
            <w:pPr>
              <w:pStyle w:val="a3"/>
              <w:autoSpaceDE/>
              <w:ind w:firstLine="567"/>
              <w:jc w:val="both"/>
              <w:rPr>
                <w:rFonts w:ascii="Times New Roman" w:hAnsi="Times New Roman"/>
                <w:sz w:val="24"/>
                <w:szCs w:val="24"/>
                <w:lang w:val="ru-RU"/>
              </w:rPr>
            </w:pPr>
            <w:r>
              <w:rPr>
                <w:rFonts w:ascii="Times New Roman" w:hAnsi="Times New Roman"/>
                <w:sz w:val="24"/>
                <w:szCs w:val="24"/>
                <w:lang w:val="ru-RU"/>
              </w:rPr>
              <w:t>- обслуговування міського боргу</w:t>
            </w:r>
            <w:proofErr w:type="gramStart"/>
            <w:r>
              <w:rPr>
                <w:rFonts w:ascii="Times New Roman" w:hAnsi="Times New Roman"/>
                <w:sz w:val="24"/>
                <w:szCs w:val="24"/>
                <w:lang w:val="ru-RU"/>
              </w:rPr>
              <w:t xml:space="preserve"> ;</w:t>
            </w:r>
            <w:proofErr w:type="gramEnd"/>
          </w:p>
          <w:p w:rsidR="005B7B07" w:rsidRDefault="005B7B07">
            <w:pPr>
              <w:pStyle w:val="a3"/>
              <w:autoSpaceDE/>
              <w:ind w:firstLine="567"/>
              <w:jc w:val="both"/>
              <w:rPr>
                <w:rFonts w:ascii="Times New Roman" w:hAnsi="Times New Roman"/>
                <w:sz w:val="24"/>
                <w:szCs w:val="24"/>
                <w:lang w:val="ru-RU"/>
              </w:rPr>
            </w:pPr>
            <w:r>
              <w:rPr>
                <w:rFonts w:ascii="Times New Roman" w:hAnsi="Times New Roman"/>
                <w:sz w:val="24"/>
                <w:szCs w:val="24"/>
                <w:lang w:val="ru-RU"/>
              </w:rPr>
              <w:t>- поточні трансферти населенню</w:t>
            </w:r>
            <w:proofErr w:type="gramStart"/>
            <w:r>
              <w:rPr>
                <w:rFonts w:ascii="Times New Roman" w:hAnsi="Times New Roman"/>
                <w:sz w:val="24"/>
                <w:szCs w:val="24"/>
                <w:lang w:val="ru-RU"/>
              </w:rPr>
              <w:t xml:space="preserve"> ;</w:t>
            </w:r>
            <w:proofErr w:type="gramEnd"/>
          </w:p>
          <w:p w:rsidR="005B7B07" w:rsidRDefault="005B7B07">
            <w:pPr>
              <w:pStyle w:val="a3"/>
              <w:autoSpaceDE/>
              <w:ind w:firstLine="567"/>
              <w:jc w:val="both"/>
              <w:rPr>
                <w:rFonts w:ascii="Times New Roman" w:hAnsi="Times New Roman"/>
                <w:sz w:val="24"/>
                <w:szCs w:val="24"/>
                <w:lang w:val="ru-RU"/>
              </w:rPr>
            </w:pPr>
            <w:r>
              <w:rPr>
                <w:rFonts w:ascii="Times New Roman" w:hAnsi="Times New Roman"/>
                <w:sz w:val="24"/>
                <w:szCs w:val="24"/>
                <w:lang w:val="ru-RU"/>
              </w:rPr>
              <w:t xml:space="preserve">- поточні трансферти місцевим бюджетам. </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11. Відповідно до </w:t>
            </w:r>
            <w:hyperlink r:id="rId16" w:tgtFrame="_top" w:history="1">
              <w:r>
                <w:rPr>
                  <w:rStyle w:val="a5"/>
                  <w:rFonts w:ascii="Times New Roman" w:eastAsia="Times New Roman" w:hAnsi="Times New Roman"/>
                  <w:color w:val="auto"/>
                  <w:sz w:val="24"/>
                  <w:szCs w:val="24"/>
                  <w:u w:val="none"/>
                  <w:lang w:eastAsia="ru-RU"/>
                </w:rPr>
                <w:t>статті 16 Бюджетного кодексу України</w:t>
              </w:r>
            </w:hyperlink>
            <w:r>
              <w:rPr>
                <w:rFonts w:ascii="Times New Roman" w:eastAsia="Times New Roman" w:hAnsi="Times New Roman"/>
                <w:sz w:val="24"/>
                <w:szCs w:val="24"/>
                <w:lang w:eastAsia="ru-RU"/>
              </w:rPr>
              <w:t xml:space="preserve">, надати право фінансовому управлінню міської ради на здійснення в межах поточного бюджетного періоду на конкурсних засадах розміщення тимчасово вільних коштів міського бюджету на </w:t>
            </w:r>
            <w:r>
              <w:rPr>
                <w:rFonts w:ascii="Times New Roman" w:eastAsia="Times New Roman" w:hAnsi="Times New Roman"/>
                <w:sz w:val="24"/>
                <w:szCs w:val="24"/>
                <w:lang w:eastAsia="ru-RU"/>
              </w:rPr>
              <w:lastRenderedPageBreak/>
              <w:t>депозитах або шляхом придбання цінних паперів, емітованих міською радою, з подальшим поверненням таких коштів до кінця поточного бюджетного періоду, а також шляхом придбання державних цінних паперів, із подальшим поверненням таких коштів до кінця поточного бюджетного періоду.</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12. Надати право фінансовому управлінню отримувати позики на покриття тимчасових касових розривів міського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КМУ, відповідно до </w:t>
            </w:r>
            <w:hyperlink r:id="rId17" w:tgtFrame="_top" w:history="1">
              <w:r>
                <w:rPr>
                  <w:rStyle w:val="a5"/>
                  <w:rFonts w:ascii="Times New Roman" w:eastAsia="Times New Roman" w:hAnsi="Times New Roman"/>
                  <w:color w:val="auto"/>
                  <w:sz w:val="24"/>
                  <w:szCs w:val="24"/>
                  <w:u w:val="none"/>
                  <w:lang w:eastAsia="ru-RU"/>
                </w:rPr>
                <w:t>статей 43</w:t>
              </w:r>
            </w:hyperlink>
            <w:r>
              <w:rPr>
                <w:rFonts w:ascii="Times New Roman" w:eastAsia="Times New Roman" w:hAnsi="Times New Roman"/>
                <w:sz w:val="24"/>
                <w:szCs w:val="24"/>
                <w:lang w:eastAsia="ru-RU"/>
              </w:rPr>
              <w:t xml:space="preserve">, </w:t>
            </w:r>
            <w:hyperlink r:id="rId18" w:tgtFrame="_top" w:history="1">
              <w:r>
                <w:rPr>
                  <w:rStyle w:val="a5"/>
                  <w:rFonts w:ascii="Times New Roman" w:eastAsia="Times New Roman" w:hAnsi="Times New Roman"/>
                  <w:color w:val="auto"/>
                  <w:sz w:val="24"/>
                  <w:szCs w:val="24"/>
                  <w:u w:val="none"/>
                  <w:lang w:eastAsia="ru-RU"/>
                </w:rPr>
                <w:t>73 Бюджетного кодексу України</w:t>
              </w:r>
            </w:hyperlink>
            <w:r>
              <w:rPr>
                <w:rFonts w:ascii="Times New Roman" w:eastAsia="Times New Roman" w:hAnsi="Times New Roman"/>
                <w:sz w:val="24"/>
                <w:szCs w:val="24"/>
                <w:lang w:eastAsia="ru-RU"/>
              </w:rPr>
              <w:t>.</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Головним розпорядникам коштів  забезпечити  виконання норм </w:t>
            </w:r>
            <w:hyperlink r:id="rId19" w:tgtFrame="_top" w:history="1">
              <w:r>
                <w:rPr>
                  <w:rStyle w:val="a5"/>
                  <w:rFonts w:ascii="Times New Roman" w:eastAsia="Times New Roman" w:hAnsi="Times New Roman"/>
                  <w:color w:val="auto"/>
                  <w:sz w:val="24"/>
                  <w:szCs w:val="24"/>
                  <w:u w:val="none"/>
                  <w:lang w:eastAsia="ru-RU"/>
                </w:rPr>
                <w:t>Бюджетного кодексу України</w:t>
              </w:r>
            </w:hyperlink>
            <w:r>
              <w:rPr>
                <w:rFonts w:ascii="Times New Roman" w:eastAsia="Times New Roman" w:hAnsi="Times New Roman"/>
                <w:sz w:val="24"/>
                <w:szCs w:val="24"/>
                <w:lang w:eastAsia="ru-RU"/>
              </w:rPr>
              <w:t xml:space="preserve"> стосовно:</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1) затвердження паспортів бюджетних програм протягом 45 днів з дня набрання чинності цим рішенням;</w:t>
            </w: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міським бюджетом та коштів, наданих під місцеві гарантії;</w:t>
            </w: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забезпечення доступності інформації про бюджет відповідно до законодавства, а саме:</w:t>
            </w: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МФУ, до 15 березня 2019 року;</w:t>
            </w: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оприлюднення паспортів бюджетних програм у триденний строк з дня затвердження таких документів;</w:t>
            </w: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взяття бюджетних зобов'язань, довгострокових зобов'язань за енергосервісом та здійснення витрат бюджету;</w:t>
            </w: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забезпечення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тощо.</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Надати право фінансовому управлінню міської ради в процесі виконання міського бюджету, у виняткових випадках, за обґрунтованим поданням головного розпорядника коштів, здійснювати перерозподіл видатків за кодами функціональної класифікації в розрізі економічної класифікації в межах загального обсягу його бюджетних призначень окремо по загальному та спеціальному фондах міського бюджету. Перерозподіл бюджетних призначень за кодами функціональної класифікації у межах загального обсягу головного розпорядника коштів міського бюджету, збільшення бюджетних призначень на видатки розвитку за рахунок зменшення бюджетних призначень по інших видатках споживання окремо по загальному та спеціальному фондах бюджету здійснювати за рішенням виконавчого комітету міської ради за погодженням з постійною комісією міської ради з питань  бюджету та фінансів.</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lastRenderedPageBreak/>
              <w:t xml:space="preserve">15. Надати право виконавчому комітету протягом 2019 року здійснювати перерозподіл затверджених обсягів трансфертів з інших бюджетів міському бюджету  в межах одного виду та розподіл збільшених або зменшених їх обсягів за погодженням з постійною комісією  міської ради з питань бюджету та фінансів, з наступним затвердженням міською радою. </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Надати право міському голові в процесі виконання міського бюджету, у виняткових випадках, своїм розпорядженням здійснювати зміни до помісячного розпису доходів та видатків міського бюджету на поточний рік відповідно до довідок департаменту фінансів ОДА по відшкодуванню субвенційних коштів соціального спрямування. </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 Установити, що з 01.01.2019 року комунальні унітарні підприємства, які зареєстровані на території міста і належать до спільної власності міської ради, та їх об’єднання, що перебувають на загальній системі оподаткування, сплачують до загального фонду міського бюджету частину прибутку (доходу), розрахованого згідно Положень (стандартів)  бухгалтерського обліку за ставками  у розмірах:</w:t>
            </w: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комунальні підприємства, що здійснюють діяльність по забезпеченню послугами централізованого водопостачання холодної води та централізованого водовідведення та належного функціонування і технічного стану об”єктів водопроводу, каналізації та водопровідно - каналізаційних мереж -  0 відсотків;</w:t>
            </w: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комунальні підприємства, що здійснюють діяльність із постачання теплової енергії, забезпечення  послугами  з централізованого опалення та  централізованого постачання гарячої води – 0 відсотків;</w:t>
            </w: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інші  підприємства -  30 відсотків.</w:t>
            </w: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Відрахування частини чистого прибутку (доходу) здійснюється комунальними унітарними підприємствами та їх об”єднаннями, що належать до комунальної власності міста, відповідно до Порядку, затвердженого рішенням міської ради від 26.04.2013 року № 6/31/6. </w:t>
            </w: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Інформацію про нарахування та сплату частини прибутку (доходу) комунальні підприємства подають до фінансового управління Тернопільської міської ради. </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eastAsia="ru-RU"/>
              </w:rPr>
            </w:pPr>
            <w:r>
              <w:rPr>
                <w:sz w:val="24"/>
                <w:szCs w:val="24"/>
              </w:rPr>
              <w:t xml:space="preserve"> </w:t>
            </w:r>
            <w:r>
              <w:rPr>
                <w:rFonts w:ascii="Times New Roman" w:eastAsia="Times New Roman" w:hAnsi="Times New Roman"/>
                <w:sz w:val="24"/>
                <w:szCs w:val="24"/>
                <w:lang w:eastAsia="ru-RU"/>
              </w:rPr>
              <w:t>18. Внески у статутний капітал комунальних підприємств Тернопільської міської ради здійснювати, в тому числі шляхом перерахування коштів на банківські рахунки підприємств, без включення їх до мережі одержувачів  бюджетних коштів.</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 Дане рішення набирає чинності з 1 січня 2019 року.</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20. Додатки  1- 8  до цього рішення є його невід'ємною частиною.</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Відділу зв’язків з громадськістю та засобами масової інформації міської ради забезпечити оприлюднення цього рішення в десятиденний строк з дня його прийняття відповідно до </w:t>
            </w:r>
            <w:hyperlink r:id="rId20" w:tgtFrame="_top" w:history="1">
              <w:r>
                <w:rPr>
                  <w:rStyle w:val="a5"/>
                  <w:rFonts w:ascii="Times New Roman" w:eastAsia="Times New Roman" w:hAnsi="Times New Roman"/>
                  <w:color w:val="auto"/>
                  <w:sz w:val="24"/>
                  <w:szCs w:val="24"/>
                  <w:u w:val="none"/>
                  <w:lang w:eastAsia="ru-RU"/>
                </w:rPr>
                <w:t>частини четвертої статті 28 Бюджетного кодексу України</w:t>
              </w:r>
            </w:hyperlink>
            <w:r>
              <w:rPr>
                <w:rFonts w:ascii="Times New Roman" w:eastAsia="Times New Roman" w:hAnsi="Times New Roman"/>
                <w:sz w:val="24"/>
                <w:szCs w:val="24"/>
                <w:lang w:eastAsia="ru-RU"/>
              </w:rPr>
              <w:t>.</w:t>
            </w:r>
          </w:p>
          <w:p w:rsidR="005B7B07" w:rsidRDefault="005B7B07">
            <w:pPr>
              <w:spacing w:after="0" w:line="240" w:lineRule="auto"/>
              <w:jc w:val="both"/>
              <w:rPr>
                <w:rFonts w:ascii="Times New Roman" w:eastAsia="Times New Roman" w:hAnsi="Times New Roman"/>
                <w:sz w:val="24"/>
                <w:szCs w:val="24"/>
                <w:lang w:eastAsia="ru-RU"/>
              </w:rPr>
            </w:pPr>
          </w:p>
          <w:p w:rsidR="005B7B07" w:rsidRDefault="005B7B07">
            <w:p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22. Контроль за виконанням рішення покласти на заступника міського голови з питань діяльності виконавчих органів ради Остапчук В.О. та постійну комісію міської ради з питань бюджету та фінансів.</w:t>
            </w:r>
          </w:p>
        </w:tc>
      </w:tr>
      <w:tr w:rsidR="005B7B07" w:rsidTr="005B7B07">
        <w:trPr>
          <w:tblCellSpacing w:w="22" w:type="dxa"/>
          <w:jc w:val="center"/>
        </w:trPr>
        <w:tc>
          <w:tcPr>
            <w:tcW w:w="4954" w:type="pct"/>
            <w:hideMark/>
          </w:tcPr>
          <w:p w:rsidR="005B7B07" w:rsidRDefault="005B7B07">
            <w:pPr>
              <w:spacing w:before="100" w:beforeAutospacing="1" w:after="100" w:afterAutospacing="1"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                 </w:t>
            </w:r>
          </w:p>
          <w:p w:rsidR="005B7B07" w:rsidRDefault="005B7B07">
            <w:pPr>
              <w:spacing w:before="100" w:beforeAutospacing="1" w:after="100" w:afterAutospacing="1"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Міський голова                                                                            С.В.Надал</w:t>
            </w:r>
          </w:p>
        </w:tc>
      </w:tr>
    </w:tbl>
    <w:p w:rsidR="005B7B07" w:rsidRDefault="005B7B07" w:rsidP="005B7B07">
      <w:pPr>
        <w:spacing w:after="0" w:line="240" w:lineRule="auto"/>
        <w:rPr>
          <w:rFonts w:ascii="Times New Roman" w:eastAsia="Times New Roman" w:hAnsi="Times New Roman"/>
          <w:vanish/>
          <w:sz w:val="24"/>
          <w:szCs w:val="24"/>
          <w:lang w:val="ru-RU" w:eastAsia="ru-RU"/>
        </w:rPr>
      </w:pPr>
    </w:p>
    <w:p w:rsidR="00000000" w:rsidRDefault="005B7B07"/>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A094A"/>
    <w:multiLevelType w:val="hybridMultilevel"/>
    <w:tmpl w:val="4A60B0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5B7B07"/>
    <w:rsid w:val="005B7B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5B7B07"/>
    <w:pPr>
      <w:autoSpaceDE w:val="0"/>
      <w:autoSpaceDN w:val="0"/>
      <w:spacing w:after="0" w:line="240" w:lineRule="auto"/>
      <w:jc w:val="center"/>
    </w:pPr>
    <w:rPr>
      <w:rFonts w:ascii="Bookman Old Style" w:eastAsia="Times New Roman" w:hAnsi="Bookman Old Style" w:cs="Times New Roman"/>
      <w:sz w:val="12"/>
      <w:szCs w:val="12"/>
      <w:lang w:eastAsia="ru-RU"/>
    </w:rPr>
  </w:style>
  <w:style w:type="character" w:customStyle="1" w:styleId="a4">
    <w:name w:val="Основной текст с отступом Знак"/>
    <w:basedOn w:val="a0"/>
    <w:link w:val="a3"/>
    <w:semiHidden/>
    <w:rsid w:val="005B7B07"/>
    <w:rPr>
      <w:rFonts w:ascii="Bookman Old Style" w:eastAsia="Times New Roman" w:hAnsi="Bookman Old Style" w:cs="Times New Roman"/>
      <w:sz w:val="12"/>
      <w:szCs w:val="12"/>
      <w:lang w:eastAsia="ru-RU"/>
    </w:rPr>
  </w:style>
  <w:style w:type="character" w:styleId="a5">
    <w:name w:val="Hyperlink"/>
    <w:basedOn w:val="a0"/>
    <w:uiPriority w:val="99"/>
    <w:semiHidden/>
    <w:unhideWhenUsed/>
    <w:rsid w:val="005B7B07"/>
    <w:rPr>
      <w:color w:val="0000FF"/>
      <w:u w:val="single"/>
    </w:rPr>
  </w:style>
</w:styles>
</file>

<file path=word/webSettings.xml><?xml version="1.0" encoding="utf-8"?>
<w:webSettings xmlns:r="http://schemas.openxmlformats.org/officeDocument/2006/relationships" xmlns:w="http://schemas.openxmlformats.org/wordprocessingml/2006/main">
  <w:divs>
    <w:div w:id="9595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2456.html" TargetMode="External"/><Relationship Id="rId13" Type="http://schemas.openxmlformats.org/officeDocument/2006/relationships/hyperlink" Target="http://search.ligazakon.ua/l_doc2.nsf/link1/T102456.html" TargetMode="External"/><Relationship Id="rId18" Type="http://schemas.openxmlformats.org/officeDocument/2006/relationships/hyperlink" Target="http://search.ligazakon.ua/l_doc2.nsf/link1/T102456.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rch.ligazakon.ua/l_doc2.nsf/link1/T102456.html" TargetMode="External"/><Relationship Id="rId12" Type="http://schemas.openxmlformats.org/officeDocument/2006/relationships/hyperlink" Target="http://search.ligazakon.ua/l_doc2.nsf/link1/T102456.html" TargetMode="External"/><Relationship Id="rId17" Type="http://schemas.openxmlformats.org/officeDocument/2006/relationships/hyperlink" Target="http://search.ligazakon.ua/l_doc2.nsf/link1/T102456.html" TargetMode="External"/><Relationship Id="rId2" Type="http://schemas.openxmlformats.org/officeDocument/2006/relationships/styles" Target="styles.xml"/><Relationship Id="rId16" Type="http://schemas.openxmlformats.org/officeDocument/2006/relationships/hyperlink" Target="http://search.ligazakon.ua/l_doc2.nsf/link1/T102456.html" TargetMode="External"/><Relationship Id="rId20" Type="http://schemas.openxmlformats.org/officeDocument/2006/relationships/hyperlink" Target="http://search.ligazakon.ua/l_doc2.nsf/link1/T102456.html" TargetMode="External"/><Relationship Id="rId1" Type="http://schemas.openxmlformats.org/officeDocument/2006/relationships/numbering" Target="numbering.xml"/><Relationship Id="rId6" Type="http://schemas.openxmlformats.org/officeDocument/2006/relationships/hyperlink" Target="http://search.ligazakon.ua/l_doc2.nsf/link1/Z970280.html" TargetMode="External"/><Relationship Id="rId11" Type="http://schemas.openxmlformats.org/officeDocument/2006/relationships/hyperlink" Target="http://search.ligazakon.ua/l_doc2.nsf/link1/T102456.html" TargetMode="External"/><Relationship Id="rId5" Type="http://schemas.openxmlformats.org/officeDocument/2006/relationships/hyperlink" Target="http://search.ligazakon.ua/l_doc2.nsf/link1/T102456.html" TargetMode="External"/><Relationship Id="rId15" Type="http://schemas.openxmlformats.org/officeDocument/2006/relationships/hyperlink" Target="http://search.ligazakon.ua/l_doc2.nsf/link1/T102456.html" TargetMode="External"/><Relationship Id="rId10" Type="http://schemas.openxmlformats.org/officeDocument/2006/relationships/hyperlink" Target="http://search.ligazakon.ua/l_doc2.nsf/link1/T102456.html" TargetMode="External"/><Relationship Id="rId19" Type="http://schemas.openxmlformats.org/officeDocument/2006/relationships/hyperlink" Target="http://search.ligazakon.ua/l_doc2.nsf/link1/T102456.html" TargetMode="External"/><Relationship Id="rId4" Type="http://schemas.openxmlformats.org/officeDocument/2006/relationships/webSettings" Target="webSettings.xml"/><Relationship Id="rId9" Type="http://schemas.openxmlformats.org/officeDocument/2006/relationships/hyperlink" Target="http://search.ligazakon.ua/l_doc2.nsf/link1/T102456.html" TargetMode="External"/><Relationship Id="rId14" Type="http://schemas.openxmlformats.org/officeDocument/2006/relationships/hyperlink" Target="http://search.ligazakon.ua/l_doc2.nsf/link1/T102456.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8580</Words>
  <Characters>4891</Characters>
  <Application>Microsoft Office Word</Application>
  <DocSecurity>0</DocSecurity>
  <Lines>40</Lines>
  <Paragraphs>26</Paragraphs>
  <ScaleCrop>false</ScaleCrop>
  <Company>Reanimator Extreme Edition</Company>
  <LinksUpToDate>false</LinksUpToDate>
  <CharactersWithSpaces>13445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2018-12-21T11:43:00Z</dcterms:created>
  <dcterms:modified xsi:type="dcterms:W3CDTF">2018-12-21T11:43:00Z</dcterms:modified>
</cp:coreProperties>
</file>