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15" w:rsidRDefault="00476915" w:rsidP="00476915">
      <w:pPr>
        <w:widowControl w:val="0"/>
        <w:tabs>
          <w:tab w:val="left" w:pos="5940"/>
        </w:tabs>
        <w:ind w:left="5664"/>
        <w:jc w:val="right"/>
        <w:rPr>
          <w:rFonts w:eastAsia="Times New Roman"/>
          <w:szCs w:val="24"/>
          <w:lang w:val="uk-UA"/>
        </w:rPr>
      </w:pPr>
      <w:r>
        <w:rPr>
          <w:rFonts w:eastAsia="Times New Roman"/>
          <w:szCs w:val="24"/>
          <w:lang w:val="uk-UA"/>
        </w:rPr>
        <w:t xml:space="preserve">Додаток </w:t>
      </w:r>
    </w:p>
    <w:p w:rsidR="00476915" w:rsidRDefault="00476915" w:rsidP="00476915">
      <w:pPr>
        <w:widowControl w:val="0"/>
        <w:tabs>
          <w:tab w:val="left" w:pos="5940"/>
        </w:tabs>
        <w:ind w:left="5664"/>
        <w:jc w:val="right"/>
        <w:rPr>
          <w:rFonts w:eastAsia="Times New Roman"/>
          <w:szCs w:val="24"/>
          <w:lang w:val="uk-UA"/>
        </w:rPr>
      </w:pPr>
      <w:r>
        <w:rPr>
          <w:rFonts w:eastAsia="Times New Roman"/>
          <w:szCs w:val="24"/>
          <w:lang w:val="uk-UA"/>
        </w:rPr>
        <w:t>до рішення виконавчого комітету</w:t>
      </w:r>
    </w:p>
    <w:p w:rsidR="00476915" w:rsidRDefault="00476915" w:rsidP="00476915">
      <w:pPr>
        <w:widowControl w:val="0"/>
        <w:tabs>
          <w:tab w:val="left" w:pos="5940"/>
        </w:tabs>
        <w:jc w:val="right"/>
        <w:rPr>
          <w:rFonts w:eastAsia="Times New Roman"/>
          <w:szCs w:val="24"/>
          <w:lang w:val="uk-UA"/>
        </w:rPr>
      </w:pPr>
      <w:r>
        <w:rPr>
          <w:rFonts w:eastAsia="Times New Roman"/>
          <w:szCs w:val="24"/>
          <w:lang w:val="uk-UA"/>
        </w:rPr>
        <w:tab/>
      </w:r>
      <w:r>
        <w:rPr>
          <w:rFonts w:eastAsia="Times New Roman"/>
          <w:szCs w:val="24"/>
        </w:rPr>
        <w:t>в</w:t>
      </w:r>
      <w:r>
        <w:rPr>
          <w:rFonts w:eastAsia="Times New Roman"/>
          <w:szCs w:val="24"/>
          <w:lang w:val="uk-UA"/>
        </w:rPr>
        <w:t>ід 18.12.2019р. № 1193</w:t>
      </w:r>
    </w:p>
    <w:p w:rsidR="00476915" w:rsidRDefault="00476915" w:rsidP="00476915">
      <w:pPr>
        <w:widowControl w:val="0"/>
        <w:tabs>
          <w:tab w:val="left" w:pos="5940"/>
        </w:tabs>
        <w:jc w:val="center"/>
        <w:rPr>
          <w:rFonts w:eastAsia="Times New Roman"/>
          <w:szCs w:val="24"/>
          <w:lang w:val="uk-UA"/>
        </w:rPr>
      </w:pPr>
    </w:p>
    <w:p w:rsidR="00476915" w:rsidRDefault="00476915" w:rsidP="00476915">
      <w:pPr>
        <w:widowControl w:val="0"/>
        <w:tabs>
          <w:tab w:val="left" w:pos="5940"/>
        </w:tabs>
        <w:jc w:val="center"/>
        <w:rPr>
          <w:rFonts w:eastAsia="Times New Roman"/>
          <w:szCs w:val="24"/>
          <w:lang w:val="uk-UA"/>
        </w:rPr>
      </w:pPr>
      <w:r>
        <w:rPr>
          <w:rFonts w:eastAsia="Times New Roman"/>
          <w:szCs w:val="24"/>
          <w:lang w:val="uk-UA"/>
        </w:rPr>
        <w:t>Звіт про роботу фінансового управління за  2019 рік</w:t>
      </w:r>
    </w:p>
    <w:p w:rsidR="00476915" w:rsidRDefault="00476915" w:rsidP="00476915">
      <w:pPr>
        <w:widowControl w:val="0"/>
        <w:ind w:firstLine="709"/>
        <w:jc w:val="both"/>
        <w:rPr>
          <w:rFonts w:eastAsia="Times New Roman"/>
          <w:szCs w:val="24"/>
          <w:lang w:val="uk-UA"/>
        </w:rPr>
      </w:pPr>
    </w:p>
    <w:p w:rsidR="00476915" w:rsidRDefault="00476915" w:rsidP="00476915">
      <w:pPr>
        <w:widowControl w:val="0"/>
        <w:ind w:firstLine="709"/>
        <w:jc w:val="both"/>
        <w:rPr>
          <w:rFonts w:eastAsia="Times New Roman"/>
          <w:szCs w:val="24"/>
          <w:lang w:val="uk-UA"/>
        </w:rPr>
      </w:pPr>
      <w:r>
        <w:rPr>
          <w:rFonts w:eastAsia="Times New Roman"/>
          <w:szCs w:val="24"/>
          <w:lang w:val="uk-UA"/>
        </w:rPr>
        <w:t>Фінансове управління діє на підставі Положення, затвердженого Тернопільською міською радою, та  керується Конституцією України, Законом України  “Про місцеве самоврядування в Україні”, “Про службу в органах місцевого самоврядування”, указами та розпорядженнями Президента України, постановами КМУ, Бюджетним та Податковим кодексами України та іншими нормативними документами органів державної влади та місцевого самоврядування.</w:t>
      </w:r>
    </w:p>
    <w:p w:rsidR="00476915" w:rsidRDefault="00476915" w:rsidP="00476915">
      <w:pPr>
        <w:widowControl w:val="0"/>
        <w:ind w:firstLine="709"/>
        <w:jc w:val="both"/>
        <w:rPr>
          <w:rFonts w:eastAsia="Times New Roman"/>
          <w:szCs w:val="24"/>
        </w:rPr>
      </w:pPr>
      <w:r>
        <w:rPr>
          <w:rFonts w:eastAsia="Times New Roman"/>
          <w:szCs w:val="24"/>
          <w:lang w:val="uk-UA"/>
        </w:rPr>
        <w:t xml:space="preserve">В своїй роботі управління керується  системою управління якістю  на виконання вимог Настанови з якості Тернопільської міської ради, створеної відповідно до стандартів якості та чинного законодавста, а саме, </w:t>
      </w:r>
      <w:r>
        <w:rPr>
          <w:rFonts w:eastAsia="Times New Roman"/>
          <w:color w:val="000000"/>
          <w:szCs w:val="24"/>
        </w:rPr>
        <w:t>сучасною моделлю управління відповідно до стандартів ISO 9001-2015.</w:t>
      </w:r>
    </w:p>
    <w:p w:rsidR="00476915" w:rsidRDefault="00476915" w:rsidP="00476915">
      <w:pPr>
        <w:widowControl w:val="0"/>
        <w:ind w:firstLine="709"/>
        <w:jc w:val="both"/>
        <w:rPr>
          <w:rFonts w:eastAsia="Times New Roman"/>
          <w:szCs w:val="24"/>
          <w:lang w:val="uk-UA"/>
        </w:rPr>
      </w:pPr>
      <w:r>
        <w:rPr>
          <w:rFonts w:eastAsia="Times New Roman"/>
          <w:szCs w:val="24"/>
        </w:rPr>
        <w:t>Відповідно до Програми проведення внутрішніх аудитів, в червні 201</w:t>
      </w:r>
      <w:r>
        <w:rPr>
          <w:rFonts w:eastAsia="Times New Roman"/>
          <w:szCs w:val="24"/>
          <w:lang w:val="uk-UA"/>
        </w:rPr>
        <w:t>9</w:t>
      </w:r>
      <w:r>
        <w:rPr>
          <w:rFonts w:eastAsia="Times New Roman"/>
          <w:szCs w:val="24"/>
        </w:rPr>
        <w:t xml:space="preserve"> року внутрішніми аудиторами проведено аудит, в результаті  якого порушень</w:t>
      </w:r>
      <w:r>
        <w:rPr>
          <w:rFonts w:eastAsia="Times New Roman"/>
          <w:szCs w:val="24"/>
          <w:lang w:val="uk-UA"/>
        </w:rPr>
        <w:t xml:space="preserve"> не встановлено. Надані  зауваження та рекомендації враховано у роботі.</w:t>
      </w:r>
    </w:p>
    <w:p w:rsidR="00476915" w:rsidRDefault="00476915" w:rsidP="00476915">
      <w:pPr>
        <w:widowControl w:val="0"/>
        <w:ind w:firstLine="708"/>
        <w:jc w:val="both"/>
        <w:rPr>
          <w:rFonts w:eastAsia="Times New Roman"/>
          <w:szCs w:val="24"/>
          <w:lang w:val="uk-UA"/>
        </w:rPr>
      </w:pPr>
      <w:r>
        <w:rPr>
          <w:rFonts w:eastAsia="Times New Roman"/>
          <w:szCs w:val="24"/>
          <w:lang w:val="uk-UA"/>
        </w:rPr>
        <w:t>Основним завданням управління є забезпечення реалізації державної бюджетної політики в місті, формування  та виконання бюджету міста, фінансове забезпечення заходів соціально-економічного розвитку, здійснення контролю за дотриманням всіма учасниками бюджетного процесу діючого бюджетного законодавства, контролю за раціональним та цільовим використанням бюджетних коштів.</w:t>
      </w:r>
    </w:p>
    <w:p w:rsidR="00476915" w:rsidRDefault="00476915" w:rsidP="00476915">
      <w:pPr>
        <w:widowControl w:val="0"/>
        <w:ind w:firstLine="709"/>
        <w:jc w:val="both"/>
        <w:rPr>
          <w:rFonts w:eastAsia="Times New Roman"/>
          <w:szCs w:val="24"/>
          <w:lang w:val="uk-UA"/>
        </w:rPr>
      </w:pPr>
      <w:r>
        <w:rPr>
          <w:rFonts w:eastAsia="Times New Roman"/>
          <w:szCs w:val="24"/>
          <w:lang w:val="uk-UA"/>
        </w:rPr>
        <w:t>В структурі управління функціонують 3 відділи: відділ фінансів  та бюджету, відділ планування доходів та відділ обліку, звітності та організаційної роботи та сектор розрахунків за енергоносії.</w:t>
      </w:r>
    </w:p>
    <w:p w:rsidR="00476915" w:rsidRDefault="00476915" w:rsidP="00476915">
      <w:pPr>
        <w:widowControl w:val="0"/>
        <w:ind w:firstLine="709"/>
        <w:jc w:val="both"/>
        <w:rPr>
          <w:rFonts w:eastAsia="Times New Roman"/>
          <w:szCs w:val="24"/>
          <w:lang w:val="uk-UA"/>
        </w:rPr>
      </w:pPr>
      <w:r>
        <w:rPr>
          <w:rFonts w:eastAsia="Times New Roman"/>
          <w:szCs w:val="24"/>
          <w:lang w:val="uk-UA"/>
        </w:rPr>
        <w:t>Відповідно до Положення  про відділ фінансів та бюджету, основним напрямком роботи є організація та проведення роботи, пов"язаної зі складанням проекту міського бюджету (громади) по видатках у відповідності з чинним законодавством, розробка інструкцій по складанню бюджетних запитів та проведення їх аналізу, здійснення контролю за правильністю використання бюджетних коштів. У відділі працювало 5 чоловік.</w:t>
      </w:r>
    </w:p>
    <w:p w:rsidR="00476915" w:rsidRDefault="00476915" w:rsidP="00476915">
      <w:pPr>
        <w:widowControl w:val="0"/>
        <w:ind w:firstLine="709"/>
        <w:jc w:val="both"/>
        <w:rPr>
          <w:rFonts w:eastAsia="Times New Roman"/>
          <w:szCs w:val="24"/>
          <w:lang w:val="uk-UA"/>
        </w:rPr>
      </w:pPr>
      <w:r>
        <w:rPr>
          <w:rFonts w:eastAsia="Times New Roman"/>
          <w:szCs w:val="24"/>
          <w:lang w:val="uk-UA"/>
        </w:rPr>
        <w:t>Відповідно до Положення про відділ планування доходів, основним напрямком роботи є організація роботи, пов»язаної зі складанням проекту міського бюджету (громади) по дохідній у відповідності з чинним законодавством, здійснення роботи в межах повноважень по забезпеченню виконання бюджету міста (громади), постійний моніторинг надходжень податків та платежів до міського бюджету (громади), тощо. В відділі працювало 4 штатних одиниці.</w:t>
      </w:r>
    </w:p>
    <w:p w:rsidR="00476915" w:rsidRDefault="00476915" w:rsidP="00476915">
      <w:pPr>
        <w:widowControl w:val="0"/>
        <w:ind w:firstLine="709"/>
        <w:jc w:val="both"/>
        <w:rPr>
          <w:rFonts w:eastAsia="Times New Roman"/>
          <w:szCs w:val="24"/>
          <w:lang w:val="uk-UA"/>
        </w:rPr>
      </w:pPr>
      <w:r>
        <w:rPr>
          <w:rFonts w:eastAsia="Times New Roman"/>
          <w:szCs w:val="24"/>
          <w:lang w:val="uk-UA"/>
        </w:rPr>
        <w:t xml:space="preserve">Відповідно до Положення про відділ обліку, звітності та організаційної роботи,  основним напрямком роботи є організація та ведення бухгалтерського обліку фінансово-господарської </w:t>
      </w:r>
      <w:r>
        <w:rPr>
          <w:rFonts w:eastAsia="Times New Roman"/>
          <w:szCs w:val="24"/>
          <w:lang w:val="uk-UA"/>
        </w:rPr>
        <w:lastRenderedPageBreak/>
        <w:t>діяльності управління, організації роботи щодо обліку доходів та видатків  міського бюджету (громади), здійснення контролю за роботою програмного забезпечення та за документальною роботою (діловодство) управління, у звітному періоді працювало 7 штатних одиниць.</w:t>
      </w:r>
    </w:p>
    <w:p w:rsidR="00476915" w:rsidRDefault="00476915" w:rsidP="00476915">
      <w:pPr>
        <w:widowControl w:val="0"/>
        <w:ind w:firstLine="709"/>
        <w:jc w:val="both"/>
        <w:rPr>
          <w:rFonts w:eastAsia="Times New Roman"/>
          <w:szCs w:val="24"/>
          <w:lang w:val="uk-UA"/>
        </w:rPr>
      </w:pPr>
      <w:r>
        <w:rPr>
          <w:rFonts w:eastAsia="Times New Roman"/>
          <w:szCs w:val="24"/>
          <w:lang w:val="uk-UA"/>
        </w:rPr>
        <w:t>Згідно положення про сектор розрахунків за енергоносії, основним напрямком роботи сектору є  організація роботи з планування та прогнозування видатків в частині отриманих субвенцій з державного бюджету на відшкодування пільг та субсидій за спожиті енергоносії, допомоги сім’ям з дітьми, державної соціальної допомоги малозабезпеченим сім’ям, інвалідам з дитинства та дітям-інвалідам, тощо.</w:t>
      </w:r>
    </w:p>
    <w:p w:rsidR="00476915" w:rsidRDefault="00476915" w:rsidP="00476915">
      <w:pPr>
        <w:widowControl w:val="0"/>
        <w:ind w:firstLine="709"/>
        <w:jc w:val="both"/>
        <w:rPr>
          <w:rFonts w:eastAsia="Times New Roman"/>
          <w:szCs w:val="24"/>
          <w:lang w:val="uk-UA"/>
        </w:rPr>
      </w:pPr>
      <w:r>
        <w:rPr>
          <w:rFonts w:eastAsia="Times New Roman"/>
          <w:szCs w:val="24"/>
          <w:lang w:val="uk-UA"/>
        </w:rPr>
        <w:t xml:space="preserve">Реалізацію поставлених питань в звітному році здійснювало 19 посадових осіб, 1 службовець та 1 старший інспектор управління. Всього згідно штатного розпису в управлінні працювало  21 чол.  </w:t>
      </w:r>
    </w:p>
    <w:p w:rsidR="00476915" w:rsidRDefault="00476915" w:rsidP="00476915">
      <w:pPr>
        <w:widowControl w:val="0"/>
        <w:jc w:val="both"/>
        <w:rPr>
          <w:rFonts w:eastAsia="Times New Roman"/>
          <w:szCs w:val="24"/>
          <w:lang w:val="uk-UA"/>
        </w:rPr>
      </w:pPr>
      <w:r>
        <w:rPr>
          <w:rFonts w:eastAsia="Times New Roman"/>
          <w:szCs w:val="24"/>
          <w:lang w:val="uk-UA"/>
        </w:rPr>
        <w:t xml:space="preserve">           Фонд заробітної плати за 11 місяців 2019 року склав 4190,7 тис. грн., в тому числі премія 761,6 тис.грн. Для порівняння за аналогічний період попереднього року заробітна плата  складала 3448,5 тис.грн., в тому числі премія 523,5 тис.грн.</w:t>
      </w:r>
    </w:p>
    <w:p w:rsidR="00476915" w:rsidRDefault="00476915" w:rsidP="00476915">
      <w:pPr>
        <w:widowControl w:val="0"/>
        <w:ind w:firstLine="709"/>
        <w:jc w:val="both"/>
        <w:rPr>
          <w:rFonts w:eastAsia="Times New Roman"/>
          <w:szCs w:val="24"/>
          <w:lang w:val="uk-UA"/>
        </w:rPr>
      </w:pPr>
      <w:r>
        <w:rPr>
          <w:rFonts w:eastAsia="Times New Roman"/>
          <w:szCs w:val="24"/>
          <w:lang w:val="uk-UA"/>
        </w:rPr>
        <w:t xml:space="preserve"> Фінансове управління працює в системі електронного документообігу, постійно відповідає на інформаційні звернення та інформаційні запити юридичних та фізичних осіб суб»єктів господарювання, мешканців міста, депутатів міської ради.</w:t>
      </w:r>
    </w:p>
    <w:p w:rsidR="00476915" w:rsidRDefault="00476915" w:rsidP="00476915">
      <w:pPr>
        <w:widowControl w:val="0"/>
        <w:tabs>
          <w:tab w:val="left" w:pos="851"/>
        </w:tabs>
        <w:ind w:firstLine="709"/>
        <w:jc w:val="both"/>
        <w:rPr>
          <w:rFonts w:eastAsia="Times New Roman"/>
          <w:szCs w:val="24"/>
          <w:lang w:val="uk-UA"/>
        </w:rPr>
      </w:pPr>
      <w:r>
        <w:rPr>
          <w:rFonts w:eastAsia="Times New Roman"/>
          <w:szCs w:val="24"/>
          <w:lang w:val="uk-UA"/>
        </w:rPr>
        <w:t>За 11 місяців 2019 року  до управління  від фізичних та юридичних осіб надійшло 1836 звернення,  депутатських  – 11, від громадян – 22,  особистого прийому громадян начальником управління – 16.</w:t>
      </w:r>
    </w:p>
    <w:p w:rsidR="00476915" w:rsidRDefault="00476915" w:rsidP="00476915">
      <w:pPr>
        <w:widowControl w:val="0"/>
        <w:ind w:firstLine="709"/>
        <w:jc w:val="both"/>
        <w:rPr>
          <w:rFonts w:eastAsia="Times New Roman"/>
          <w:szCs w:val="24"/>
          <w:lang w:val="uk-UA"/>
        </w:rPr>
      </w:pPr>
      <w:r>
        <w:rPr>
          <w:rFonts w:eastAsia="Times New Roman"/>
          <w:szCs w:val="24"/>
          <w:lang w:val="uk-UA"/>
        </w:rPr>
        <w:t xml:space="preserve">На протязі звітного періоду на розгляд сесій міської ради управлінням підготовлено 6 рішень, які стосуються бюджетних питань, 4 рішення  про місцеві податки і збори (ставки та пільги),  одне з яких - за регуляторною процедурою. </w:t>
      </w:r>
    </w:p>
    <w:p w:rsidR="00476915" w:rsidRDefault="00476915" w:rsidP="00476915">
      <w:pPr>
        <w:ind w:firstLine="708"/>
        <w:jc w:val="both"/>
        <w:rPr>
          <w:rFonts w:eastAsia="Times New Roman"/>
          <w:b/>
          <w:szCs w:val="24"/>
        </w:rPr>
      </w:pPr>
      <w:r>
        <w:rPr>
          <w:rFonts w:eastAsia="Times New Roman"/>
          <w:szCs w:val="24"/>
        </w:rPr>
        <w:t xml:space="preserve">В результаті чого на утримання галузей громади було направлено </w:t>
      </w:r>
      <w:r>
        <w:rPr>
          <w:rFonts w:eastAsia="Times New Roman"/>
          <w:szCs w:val="24"/>
          <w:lang w:val="uk-UA"/>
        </w:rPr>
        <w:t xml:space="preserve">179,4 млн.грн.: </w:t>
      </w:r>
      <w:r>
        <w:rPr>
          <w:rFonts w:eastAsia="Times New Roman"/>
          <w:szCs w:val="24"/>
        </w:rPr>
        <w:t>за рахунок вільних залишків бюджетних коштів загального та спеціального фондів</w:t>
      </w:r>
      <w:r>
        <w:rPr>
          <w:rFonts w:eastAsia="Times New Roman"/>
          <w:szCs w:val="24"/>
          <w:lang w:val="uk-UA"/>
        </w:rPr>
        <w:t>,</w:t>
      </w:r>
      <w:r>
        <w:rPr>
          <w:rFonts w:eastAsia="Times New Roman"/>
          <w:szCs w:val="24"/>
        </w:rPr>
        <w:t xml:space="preserve"> за рахунок збільшення дох</w:t>
      </w:r>
      <w:r>
        <w:rPr>
          <w:rFonts w:eastAsia="Times New Roman"/>
          <w:szCs w:val="24"/>
          <w:lang w:val="uk-UA"/>
        </w:rPr>
        <w:t>ідної частини</w:t>
      </w:r>
      <w:r>
        <w:rPr>
          <w:rFonts w:eastAsia="Times New Roman"/>
          <w:szCs w:val="24"/>
        </w:rPr>
        <w:t xml:space="preserve"> загального</w:t>
      </w:r>
      <w:r>
        <w:rPr>
          <w:rFonts w:eastAsia="Times New Roman"/>
          <w:szCs w:val="24"/>
          <w:lang w:val="uk-UA"/>
        </w:rPr>
        <w:t xml:space="preserve"> та спеціального фондів</w:t>
      </w:r>
      <w:r>
        <w:rPr>
          <w:rFonts w:eastAsia="Times New Roman"/>
          <w:szCs w:val="24"/>
        </w:rPr>
        <w:t>,</w:t>
      </w:r>
      <w:r>
        <w:rPr>
          <w:rFonts w:eastAsia="Times New Roman"/>
          <w:szCs w:val="24"/>
          <w:lang w:val="uk-UA"/>
        </w:rPr>
        <w:t xml:space="preserve"> а також </w:t>
      </w:r>
      <w:r>
        <w:rPr>
          <w:rFonts w:eastAsia="Times New Roman"/>
          <w:szCs w:val="24"/>
        </w:rPr>
        <w:t xml:space="preserve"> за рахунок субвенцій</w:t>
      </w:r>
      <w:r>
        <w:rPr>
          <w:rFonts w:eastAsia="Times New Roman"/>
          <w:szCs w:val="24"/>
          <w:lang w:val="uk-UA"/>
        </w:rPr>
        <w:t>.</w:t>
      </w:r>
    </w:p>
    <w:p w:rsidR="00476915" w:rsidRDefault="00476915" w:rsidP="00476915">
      <w:pPr>
        <w:widowControl w:val="0"/>
        <w:ind w:firstLine="709"/>
        <w:jc w:val="both"/>
        <w:rPr>
          <w:rFonts w:eastAsia="Times New Roman"/>
          <w:szCs w:val="24"/>
          <w:lang w:val="uk-UA"/>
        </w:rPr>
      </w:pPr>
      <w:r>
        <w:rPr>
          <w:rFonts w:eastAsia="Times New Roman"/>
          <w:szCs w:val="24"/>
          <w:lang w:val="uk-UA"/>
        </w:rPr>
        <w:t xml:space="preserve">Відкрите обговорення проекту регуляторного акту – проекту рішення «Про місцеві податки і збори ТМТГ» відбулося 24.05.2019 року. </w:t>
      </w:r>
    </w:p>
    <w:p w:rsidR="00476915" w:rsidRDefault="00476915" w:rsidP="00476915">
      <w:pPr>
        <w:widowControl w:val="0"/>
        <w:ind w:firstLine="709"/>
        <w:jc w:val="both"/>
        <w:rPr>
          <w:rFonts w:eastAsia="Times New Roman"/>
          <w:szCs w:val="24"/>
          <w:lang w:val="uk-UA"/>
        </w:rPr>
      </w:pPr>
      <w:r>
        <w:rPr>
          <w:rFonts w:eastAsia="Times New Roman"/>
          <w:szCs w:val="24"/>
          <w:lang w:val="uk-UA"/>
        </w:rPr>
        <w:t>Даний проект рішення був прийнятий сесією міської ради  06.06.2019 № 7/35/5. Це рішення вступає в дію  з 1 січня 2020 року.</w:t>
      </w:r>
    </w:p>
    <w:p w:rsidR="00476915" w:rsidRDefault="00476915" w:rsidP="00476915">
      <w:pPr>
        <w:widowControl w:val="0"/>
        <w:ind w:firstLine="708"/>
        <w:jc w:val="both"/>
        <w:rPr>
          <w:rFonts w:eastAsia="Times New Roman"/>
          <w:szCs w:val="24"/>
          <w:lang w:val="uk-UA" w:eastAsia="en-US"/>
        </w:rPr>
      </w:pPr>
      <w:r>
        <w:rPr>
          <w:rFonts w:eastAsia="Times New Roman"/>
          <w:szCs w:val="24"/>
          <w:lang w:val="uk-UA"/>
        </w:rPr>
        <w:t xml:space="preserve">Згідно ст.28 Бюджетного кодексу України готуємо  інформацію про виконання бюджету міста Тернополя в порівнянні з аналогічними показниками за відповідний період попереднього року із зазначенням їх динаміки та направляємо у відділ зв"язків з громадськістю та засобами масової інформації для розміщення на офіційному сайті міської ради та строки проведення публічного представлення звіту про виконання міського бюджет. </w:t>
      </w:r>
    </w:p>
    <w:p w:rsidR="00476915" w:rsidRDefault="00476915" w:rsidP="00476915">
      <w:pPr>
        <w:widowControl w:val="0"/>
        <w:ind w:firstLine="708"/>
        <w:jc w:val="both"/>
        <w:rPr>
          <w:rFonts w:eastAsia="Times New Roman"/>
          <w:szCs w:val="24"/>
          <w:lang w:val="uk-UA"/>
        </w:rPr>
      </w:pPr>
      <w:r>
        <w:rPr>
          <w:rFonts w:eastAsia="Times New Roman"/>
          <w:szCs w:val="24"/>
          <w:lang w:val="uk-UA"/>
        </w:rPr>
        <w:t xml:space="preserve">Враховуючи вимоги ЗУ «Про доступ до публічної інформації», ми постійно направляємо в управління організаційно-виконавчої роботи, у відділ зв’язків з громадськістю та засобами масової інформації електронні варіанти проектів рішень міської ради та виконавчого комітету в межах своєї компетенції для оприлюднення їх у всіх засобах масової інформації. </w:t>
      </w:r>
    </w:p>
    <w:p w:rsidR="00476915" w:rsidRDefault="00476915" w:rsidP="00476915">
      <w:pPr>
        <w:widowControl w:val="0"/>
        <w:ind w:firstLine="708"/>
        <w:jc w:val="both"/>
        <w:rPr>
          <w:rFonts w:eastAsia="Times New Roman"/>
          <w:szCs w:val="24"/>
          <w:lang w:val="uk-UA"/>
        </w:rPr>
      </w:pPr>
      <w:r>
        <w:rPr>
          <w:rFonts w:eastAsia="Times New Roman"/>
          <w:szCs w:val="24"/>
          <w:lang w:val="uk-UA"/>
        </w:rPr>
        <w:lastRenderedPageBreak/>
        <w:t xml:space="preserve">Публічне представлення інформації про виконання бюджету та звітів про виконання паспортів бюджетних програм головними розпорядниками бюджетних коштів за 2018 рік було проведено 14.03.2019 року.  </w:t>
      </w:r>
    </w:p>
    <w:p w:rsidR="00476915" w:rsidRDefault="00476915" w:rsidP="00476915">
      <w:pPr>
        <w:ind w:firstLine="708"/>
        <w:jc w:val="both"/>
        <w:rPr>
          <w:rFonts w:eastAsia="Calibri"/>
          <w:szCs w:val="24"/>
          <w:lang w:eastAsia="en-US"/>
        </w:rPr>
      </w:pPr>
      <w:r>
        <w:rPr>
          <w:szCs w:val="24"/>
        </w:rPr>
        <w:t>Працівниками управління</w:t>
      </w:r>
      <w:r>
        <w:rPr>
          <w:szCs w:val="24"/>
          <w:lang w:val="uk-UA"/>
        </w:rPr>
        <w:t xml:space="preserve"> за звітний період</w:t>
      </w:r>
      <w:r>
        <w:rPr>
          <w:szCs w:val="24"/>
        </w:rPr>
        <w:t xml:space="preserve"> проведено </w:t>
      </w:r>
      <w:r>
        <w:rPr>
          <w:szCs w:val="24"/>
          <w:lang w:val="uk-UA"/>
        </w:rPr>
        <w:t>25</w:t>
      </w:r>
      <w:r>
        <w:rPr>
          <w:szCs w:val="24"/>
        </w:rPr>
        <w:t xml:space="preserve"> (</w:t>
      </w:r>
      <w:r>
        <w:rPr>
          <w:szCs w:val="24"/>
          <w:lang w:val="uk-UA"/>
        </w:rPr>
        <w:t>двадцять п»ять</w:t>
      </w:r>
      <w:r>
        <w:rPr>
          <w:szCs w:val="24"/>
        </w:rPr>
        <w:t>) перевірок, з них:</w:t>
      </w:r>
    </w:p>
    <w:p w:rsidR="00476915" w:rsidRDefault="00476915" w:rsidP="00476915">
      <w:pPr>
        <w:numPr>
          <w:ilvl w:val="0"/>
          <w:numId w:val="1"/>
        </w:numPr>
        <w:spacing w:after="0" w:line="240" w:lineRule="auto"/>
        <w:jc w:val="both"/>
        <w:rPr>
          <w:szCs w:val="24"/>
        </w:rPr>
      </w:pPr>
      <w:r>
        <w:rPr>
          <w:szCs w:val="24"/>
        </w:rPr>
        <w:t xml:space="preserve"> 12 (дванадцять)  перевірок  по питанню правильності складання кошторисів  на  2019 рік;</w:t>
      </w:r>
    </w:p>
    <w:p w:rsidR="00476915" w:rsidRDefault="00476915" w:rsidP="00476915">
      <w:pPr>
        <w:numPr>
          <w:ilvl w:val="0"/>
          <w:numId w:val="1"/>
        </w:numPr>
        <w:spacing w:after="0" w:line="240" w:lineRule="auto"/>
        <w:jc w:val="both"/>
        <w:rPr>
          <w:szCs w:val="24"/>
        </w:rPr>
      </w:pPr>
      <w:r>
        <w:rPr>
          <w:szCs w:val="24"/>
        </w:rPr>
        <w:t xml:space="preserve">   1 (одна) перевірка правильності складання та  затвердження кошторисів  за  2016,2017,2018 роки по  Тернопільському  педагогічному ліцею спортивного профілю;</w:t>
      </w:r>
    </w:p>
    <w:p w:rsidR="00476915" w:rsidRDefault="00476915" w:rsidP="00476915">
      <w:pPr>
        <w:numPr>
          <w:ilvl w:val="0"/>
          <w:numId w:val="1"/>
        </w:numPr>
        <w:spacing w:after="0" w:line="240" w:lineRule="auto"/>
        <w:jc w:val="both"/>
        <w:rPr>
          <w:szCs w:val="24"/>
        </w:rPr>
      </w:pPr>
      <w:r>
        <w:rPr>
          <w:szCs w:val="24"/>
        </w:rPr>
        <w:t>1 (одна) перевірка правильності нарахування заробітної плати працівникам КУ Тернопільський муніципальний духовий оркестр «Оркестр волі» за 2018 рік та І-ше півріччя 2019 року;</w:t>
      </w:r>
    </w:p>
    <w:p w:rsidR="00476915" w:rsidRDefault="00476915" w:rsidP="00476915">
      <w:pPr>
        <w:numPr>
          <w:ilvl w:val="0"/>
          <w:numId w:val="1"/>
        </w:numPr>
        <w:spacing w:after="0" w:line="240" w:lineRule="auto"/>
        <w:jc w:val="both"/>
        <w:rPr>
          <w:szCs w:val="24"/>
        </w:rPr>
      </w:pPr>
      <w:r>
        <w:rPr>
          <w:szCs w:val="24"/>
        </w:rPr>
        <w:t>1(одна) перевірка правильності  використання  коштів на  харчування пільгових  категорій дітей в ДНЗ;</w:t>
      </w:r>
    </w:p>
    <w:p w:rsidR="00476915" w:rsidRDefault="00476915" w:rsidP="00476915">
      <w:pPr>
        <w:numPr>
          <w:ilvl w:val="0"/>
          <w:numId w:val="1"/>
        </w:numPr>
        <w:spacing w:after="0" w:line="240" w:lineRule="auto"/>
        <w:jc w:val="both"/>
        <w:rPr>
          <w:szCs w:val="24"/>
        </w:rPr>
      </w:pPr>
      <w:r>
        <w:rPr>
          <w:szCs w:val="24"/>
          <w:lang w:val="uk-UA"/>
        </w:rPr>
        <w:t>7</w:t>
      </w:r>
      <w:r>
        <w:rPr>
          <w:szCs w:val="24"/>
        </w:rPr>
        <w:t xml:space="preserve"> (</w:t>
      </w:r>
      <w:r>
        <w:rPr>
          <w:szCs w:val="24"/>
          <w:lang w:val="uk-UA"/>
        </w:rPr>
        <w:t>сім</w:t>
      </w:r>
      <w:r>
        <w:rPr>
          <w:szCs w:val="24"/>
        </w:rPr>
        <w:t>) перевір</w:t>
      </w:r>
      <w:r>
        <w:rPr>
          <w:szCs w:val="24"/>
          <w:lang w:val="uk-UA"/>
        </w:rPr>
        <w:t>ок</w:t>
      </w:r>
      <w:r>
        <w:rPr>
          <w:szCs w:val="24"/>
        </w:rPr>
        <w:t xml:space="preserve"> правильності складання тарифікації педагогічного персоналу;</w:t>
      </w:r>
    </w:p>
    <w:p w:rsidR="00476915" w:rsidRDefault="00476915" w:rsidP="00476915">
      <w:pPr>
        <w:numPr>
          <w:ilvl w:val="0"/>
          <w:numId w:val="1"/>
        </w:numPr>
        <w:spacing w:after="0" w:line="240" w:lineRule="auto"/>
        <w:jc w:val="both"/>
        <w:rPr>
          <w:sz w:val="28"/>
          <w:szCs w:val="28"/>
        </w:rPr>
      </w:pPr>
      <w:r>
        <w:rPr>
          <w:szCs w:val="24"/>
          <w:lang w:val="uk-UA"/>
        </w:rPr>
        <w:t>2</w:t>
      </w:r>
      <w:r>
        <w:rPr>
          <w:szCs w:val="24"/>
        </w:rPr>
        <w:t xml:space="preserve"> (</w:t>
      </w:r>
      <w:r>
        <w:rPr>
          <w:szCs w:val="24"/>
          <w:lang w:val="uk-UA"/>
        </w:rPr>
        <w:t>дві</w:t>
      </w:r>
      <w:r>
        <w:rPr>
          <w:szCs w:val="24"/>
        </w:rPr>
        <w:t>) перевірк</w:t>
      </w:r>
      <w:r>
        <w:rPr>
          <w:szCs w:val="24"/>
          <w:lang w:val="uk-UA"/>
        </w:rPr>
        <w:t>и</w:t>
      </w:r>
      <w:r>
        <w:rPr>
          <w:szCs w:val="24"/>
        </w:rPr>
        <w:t xml:space="preserve"> наповнюваності груп в ДНЗ.</w:t>
      </w:r>
    </w:p>
    <w:p w:rsidR="00476915" w:rsidRDefault="00476915" w:rsidP="00476915">
      <w:pPr>
        <w:numPr>
          <w:ilvl w:val="0"/>
          <w:numId w:val="1"/>
        </w:numPr>
        <w:spacing w:after="0" w:line="240" w:lineRule="auto"/>
        <w:jc w:val="both"/>
        <w:rPr>
          <w:sz w:val="28"/>
          <w:szCs w:val="28"/>
        </w:rPr>
      </w:pPr>
      <w:r>
        <w:rPr>
          <w:szCs w:val="24"/>
          <w:lang w:val="uk-UA"/>
        </w:rPr>
        <w:t>1 (одна) перевірка правильності виплати надбавки за вислугу років  лікарям і фахівцям з базовою  та неповною  вищою  медичною освітою</w:t>
      </w:r>
    </w:p>
    <w:p w:rsidR="00476915" w:rsidRDefault="00476915" w:rsidP="00476915">
      <w:pPr>
        <w:ind w:firstLine="708"/>
        <w:jc w:val="both"/>
        <w:rPr>
          <w:rFonts w:eastAsia="Times New Roman"/>
          <w:sz w:val="24"/>
          <w:szCs w:val="24"/>
          <w:lang w:val="uk-UA"/>
        </w:rPr>
      </w:pPr>
      <w:r>
        <w:rPr>
          <w:rFonts w:eastAsia="Times New Roman"/>
          <w:szCs w:val="24"/>
          <w:lang w:val="uk-UA"/>
        </w:rPr>
        <w:t xml:space="preserve">За дотриманням бюджетної дисципліни керівництво управління постійно наголошує на нарадах та семінарах, які проходять за участю представників головних  розпорядників коштів. Зачитуються та обговорюються обзорні листи, які надходять з МФУ та інших контролюючих служб про порушення, які виявлені ними в інших регіонах. </w:t>
      </w:r>
    </w:p>
    <w:p w:rsidR="00476915" w:rsidRDefault="00476915" w:rsidP="00476915">
      <w:pPr>
        <w:shd w:val="clear" w:color="auto" w:fill="FFFFFF"/>
        <w:spacing w:line="274" w:lineRule="exact"/>
        <w:ind w:firstLine="708"/>
        <w:jc w:val="both"/>
        <w:rPr>
          <w:rFonts w:eastAsia="Times New Roman"/>
          <w:szCs w:val="24"/>
          <w:lang w:val="uk-UA"/>
        </w:rPr>
      </w:pPr>
      <w:r>
        <w:rPr>
          <w:rFonts w:eastAsia="Times New Roman"/>
          <w:szCs w:val="24"/>
          <w:lang w:val="uk-UA"/>
        </w:rPr>
        <w:t xml:space="preserve">Фінансовим управлінням розроблено Заходи  щодо наповнення дохідної частини бюджету, </w:t>
      </w:r>
      <w:r>
        <w:rPr>
          <w:rFonts w:eastAsia="Times New Roman"/>
          <w:color w:val="000000"/>
          <w:szCs w:val="24"/>
          <w:lang w:val="uk-UA"/>
        </w:rPr>
        <w:t xml:space="preserve">економного та раціонального використання бюджетних коштів, дотримання суворої бюджетної дисципліни, упорядкування мережі бюджетних установ, що фінансуються за рахунок коштів міського бюджету, </w:t>
      </w:r>
      <w:r>
        <w:rPr>
          <w:rFonts w:eastAsia="Times New Roman"/>
          <w:szCs w:val="24"/>
          <w:lang w:val="uk-UA"/>
        </w:rPr>
        <w:t xml:space="preserve"> які  прийнято розпорядженням міського голови від 21.01.2019р. № 6,  за станом виконання яких  на протязі звітного періоду здійснювався  постійний контроль.</w:t>
      </w:r>
    </w:p>
    <w:p w:rsidR="00476915" w:rsidRDefault="00476915" w:rsidP="00476915">
      <w:pPr>
        <w:jc w:val="both"/>
        <w:rPr>
          <w:rFonts w:eastAsia="Times New Roman"/>
          <w:spacing w:val="-6"/>
          <w:szCs w:val="24"/>
          <w:lang w:val="uk-UA"/>
        </w:rPr>
      </w:pPr>
      <w:r>
        <w:rPr>
          <w:rFonts w:eastAsia="Times New Roman"/>
          <w:spacing w:val="-6"/>
          <w:szCs w:val="24"/>
          <w:lang w:val="uk-UA"/>
        </w:rPr>
        <w:t xml:space="preserve"> </w:t>
      </w:r>
      <w:r>
        <w:rPr>
          <w:rFonts w:eastAsia="Times New Roman"/>
          <w:spacing w:val="-6"/>
          <w:szCs w:val="24"/>
          <w:lang w:val="uk-UA"/>
        </w:rPr>
        <w:tab/>
        <w:t>Щоквартально фінансове управління звітує в управління економіки , промисловості та праці міської ради</w:t>
      </w:r>
      <w:r>
        <w:rPr>
          <w:rFonts w:eastAsia="Times New Roman"/>
          <w:szCs w:val="24"/>
          <w:lang w:val="uk-UA"/>
        </w:rPr>
        <w:t xml:space="preserve"> про стан виконання Програми економічного</w:t>
      </w:r>
      <w:r>
        <w:rPr>
          <w:rFonts w:eastAsia="Times New Roman"/>
          <w:sz w:val="28"/>
          <w:szCs w:val="28"/>
          <w:lang w:val="uk-UA"/>
        </w:rPr>
        <w:t xml:space="preserve">  </w:t>
      </w:r>
      <w:r>
        <w:rPr>
          <w:rFonts w:eastAsia="Times New Roman"/>
          <w:color w:val="000000"/>
          <w:szCs w:val="24"/>
          <w:lang w:val="uk-UA"/>
        </w:rPr>
        <w:t>та соціального розвитку міста Тернополя в 2019 році (розділ «</w:t>
      </w:r>
      <w:r>
        <w:rPr>
          <w:rFonts w:eastAsia="Times New Roman"/>
          <w:spacing w:val="-6"/>
          <w:szCs w:val="24"/>
          <w:lang w:val="uk-UA"/>
        </w:rPr>
        <w:t xml:space="preserve">Податково-бюджетна політика»).  </w:t>
      </w:r>
    </w:p>
    <w:p w:rsidR="00476915" w:rsidRDefault="00476915" w:rsidP="00476915">
      <w:pPr>
        <w:jc w:val="both"/>
        <w:rPr>
          <w:rFonts w:eastAsia="Times New Roman"/>
          <w:szCs w:val="24"/>
          <w:lang w:val="uk-UA"/>
        </w:rPr>
      </w:pPr>
      <w:r>
        <w:rPr>
          <w:rFonts w:eastAsia="Times New Roman"/>
          <w:spacing w:val="-6"/>
          <w:szCs w:val="24"/>
          <w:lang w:val="uk-UA"/>
        </w:rPr>
        <w:tab/>
        <w:t xml:space="preserve">З метою підготовки проекту  </w:t>
      </w:r>
      <w:r>
        <w:rPr>
          <w:rFonts w:eastAsia="Times New Roman"/>
          <w:szCs w:val="24"/>
          <w:lang w:val="uk-UA"/>
        </w:rPr>
        <w:t>Програми економічного</w:t>
      </w:r>
      <w:r>
        <w:rPr>
          <w:rFonts w:eastAsia="Times New Roman"/>
          <w:sz w:val="28"/>
          <w:szCs w:val="28"/>
          <w:lang w:val="uk-UA"/>
        </w:rPr>
        <w:t xml:space="preserve">  </w:t>
      </w:r>
      <w:r>
        <w:rPr>
          <w:rFonts w:eastAsia="Times New Roman"/>
          <w:color w:val="000000"/>
          <w:szCs w:val="24"/>
          <w:lang w:val="uk-UA"/>
        </w:rPr>
        <w:t>та соціального розвитку міста Тернополя на 2020-2021 роки нами підготовлена попередня інформація, яка стосується її фінансової частини.</w:t>
      </w:r>
    </w:p>
    <w:p w:rsidR="00476915" w:rsidRDefault="00476915" w:rsidP="00476915">
      <w:pPr>
        <w:jc w:val="both"/>
        <w:rPr>
          <w:rFonts w:eastAsia="Calibri"/>
          <w:szCs w:val="24"/>
          <w:lang w:eastAsia="en-US"/>
        </w:rPr>
      </w:pPr>
      <w:r>
        <w:rPr>
          <w:rFonts w:eastAsia="Times New Roman"/>
          <w:szCs w:val="24"/>
          <w:lang w:val="uk-UA"/>
        </w:rPr>
        <w:t xml:space="preserve">               </w:t>
      </w:r>
      <w:r>
        <w:rPr>
          <w:szCs w:val="24"/>
        </w:rPr>
        <w:t>Спільними зусиллями управління  та головних  розпорядників  коштів за 9-ть місяців 2019 року проведені  заходи по оптимізації витрат на 12,7 млн.грн.,   в  тому  числі:</w:t>
      </w:r>
    </w:p>
    <w:p w:rsidR="00476915" w:rsidRDefault="00476915" w:rsidP="00476915">
      <w:pPr>
        <w:jc w:val="both"/>
        <w:rPr>
          <w:szCs w:val="24"/>
        </w:rPr>
      </w:pPr>
      <w:r>
        <w:rPr>
          <w:szCs w:val="24"/>
        </w:rPr>
        <w:t xml:space="preserve">         -  закладами освіти - 4,1 млн.грн. (надбавки та доплати обов</w:t>
      </w:r>
      <w:r>
        <w:rPr>
          <w:rFonts w:eastAsia="Times New Roman"/>
          <w:szCs w:val="24"/>
        </w:rPr>
        <w:t>’</w:t>
      </w:r>
      <w:r>
        <w:rPr>
          <w:szCs w:val="24"/>
        </w:rPr>
        <w:t>язкового характеру проводяться в межах фонду заробітної плати передбачених на заклади,  оптимізація  гуртків позашкільних навчальних закладів, розроблені  та  запроваджені  енергозберігаючі  заходи  щодо  споживання  енергоносіїв);</w:t>
      </w:r>
    </w:p>
    <w:p w:rsidR="00476915" w:rsidRDefault="00476915" w:rsidP="00476915">
      <w:pPr>
        <w:jc w:val="both"/>
        <w:rPr>
          <w:szCs w:val="24"/>
        </w:rPr>
      </w:pPr>
      <w:r>
        <w:rPr>
          <w:szCs w:val="24"/>
        </w:rPr>
        <w:t xml:space="preserve">         -  закладами охорони  здоров</w:t>
      </w:r>
      <w:r>
        <w:rPr>
          <w:rFonts w:eastAsia="Times New Roman"/>
          <w:szCs w:val="24"/>
        </w:rPr>
        <w:t>’</w:t>
      </w:r>
      <w:r>
        <w:rPr>
          <w:szCs w:val="24"/>
        </w:rPr>
        <w:t>я - 5,4 млн.грн. (відпустки  без  збереження   заробітної  плати  за  згодою  працівників  і  за  погодженням  з  адміністрацією,  заходи з оптимізації ліжкового фонду, заходи з енергозбереження, недопущення росту фактичної чисельності  працівників, оплата доплат та надбавок   які  носять обов</w:t>
      </w:r>
      <w:r>
        <w:rPr>
          <w:rFonts w:eastAsia="Times New Roman"/>
          <w:szCs w:val="24"/>
        </w:rPr>
        <w:t>’</w:t>
      </w:r>
      <w:r>
        <w:rPr>
          <w:szCs w:val="24"/>
        </w:rPr>
        <w:t>язковий   характер проводиться  в межах фонду заробітної плати);</w:t>
      </w:r>
    </w:p>
    <w:p w:rsidR="00476915" w:rsidRDefault="00476915" w:rsidP="00476915">
      <w:pPr>
        <w:jc w:val="both"/>
        <w:rPr>
          <w:szCs w:val="24"/>
        </w:rPr>
      </w:pPr>
      <w:r>
        <w:rPr>
          <w:szCs w:val="24"/>
        </w:rPr>
        <w:lastRenderedPageBreak/>
        <w:t xml:space="preserve">         -  управлінням  соціальної  політики  -  0,1 млн.грн.    проводилась  економія  по  енергоносіях  шляхом  відключення  газового  котла  в  теплі  дні,  заміна  електролампочок  на  енергозберігаючі,  проводиться  оптимізація  витрат   бюджетних  коштів,  передбачених  на  утримання управління та підпорядкованих підрозділів, впорядковано структуру  чисельності працівників  у  межах  затверджених  асигнувань  на  оплату  праці, надбавки та доплати обов</w:t>
      </w:r>
      <w:r>
        <w:rPr>
          <w:rFonts w:eastAsia="Times New Roman"/>
          <w:szCs w:val="24"/>
        </w:rPr>
        <w:t>’</w:t>
      </w:r>
      <w:r>
        <w:rPr>
          <w:szCs w:val="24"/>
        </w:rPr>
        <w:t>язкового характеру проводяться в межах фонду заробітної плати передбачених на управління на 2019 рік.);</w:t>
      </w:r>
    </w:p>
    <w:p w:rsidR="00476915" w:rsidRDefault="00476915" w:rsidP="00476915">
      <w:pPr>
        <w:jc w:val="both"/>
        <w:rPr>
          <w:szCs w:val="24"/>
        </w:rPr>
      </w:pPr>
      <w:r>
        <w:rPr>
          <w:szCs w:val="24"/>
        </w:rPr>
        <w:t xml:space="preserve">        -  закладими  управління  у справах  сім</w:t>
      </w:r>
      <w:r>
        <w:rPr>
          <w:rFonts w:eastAsia="Times New Roman"/>
          <w:szCs w:val="24"/>
        </w:rPr>
        <w:t>’</w:t>
      </w:r>
      <w:r>
        <w:rPr>
          <w:szCs w:val="24"/>
        </w:rPr>
        <w:t>ї  молодіжної  політики  і  спорту  - 1,6 тис.грн. (  розроблені  та  запроваджені  енергозберігаючі  заходи  щодо  споживання  енергоносіїв, здійснюються  заходи з оптимізації мережі установ  та  видатків на їх утримання, виходячи із наявних фінансових ресурсів, не допускається збільшення фактичної чисельності працюючих, надбавки та доплати обов</w:t>
      </w:r>
      <w:r>
        <w:rPr>
          <w:rFonts w:eastAsia="Times New Roman"/>
          <w:szCs w:val="24"/>
        </w:rPr>
        <w:t>’</w:t>
      </w:r>
      <w:r>
        <w:rPr>
          <w:szCs w:val="24"/>
        </w:rPr>
        <w:t>язкового характеру проводяться в межах фонду оплати праці);</w:t>
      </w:r>
    </w:p>
    <w:p w:rsidR="00476915" w:rsidRDefault="00476915" w:rsidP="00476915">
      <w:pPr>
        <w:jc w:val="both"/>
        <w:rPr>
          <w:szCs w:val="24"/>
        </w:rPr>
      </w:pPr>
      <w:r>
        <w:rPr>
          <w:szCs w:val="24"/>
        </w:rPr>
        <w:t xml:space="preserve">        -  закладами  управління  культури  і  мистецтв - 1,6  тис.грн.  (розроблені  та  запроваджені  енергозберігаючі  заходи  щодо  споживання  енергоносіїв,  обмежено  використання  бюджетних  коштів  для  проведення  заходів  з  відзначення  пам</w:t>
      </w:r>
      <w:r>
        <w:rPr>
          <w:rFonts w:eastAsia="Times New Roman"/>
          <w:szCs w:val="24"/>
        </w:rPr>
        <w:t>’</w:t>
      </w:r>
      <w:r>
        <w:rPr>
          <w:szCs w:val="24"/>
        </w:rPr>
        <w:t>ятних  та  історичних  дат, здійснюються  заходи з оптимізації мережі установ  та  видатків на їх утримання, виходячи із наявних фінансових ресурсів, не допускається збільшення фактичної чисельності працюючих, надбавки та доплати обов</w:t>
      </w:r>
      <w:r>
        <w:rPr>
          <w:rFonts w:eastAsia="Times New Roman"/>
          <w:szCs w:val="24"/>
        </w:rPr>
        <w:t>’</w:t>
      </w:r>
      <w:r>
        <w:rPr>
          <w:szCs w:val="24"/>
        </w:rPr>
        <w:t>язкового характеру проводяться в межах фонду оплати праці);</w:t>
      </w:r>
    </w:p>
    <w:p w:rsidR="00476915" w:rsidRDefault="00476915" w:rsidP="00476915">
      <w:pPr>
        <w:jc w:val="both"/>
        <w:rPr>
          <w:szCs w:val="24"/>
        </w:rPr>
      </w:pPr>
      <w:r>
        <w:rPr>
          <w:szCs w:val="24"/>
        </w:rPr>
        <w:t xml:space="preserve">           - управлінням житлово - комунального господарства,  благоустрою  та  екології - розроблені  плани  заходів  з  енергозбереження  із  забезпеченням  зменшення  витрат  на  оплату  комунальних  послуг та енергоносіїв,  здійснюються  заходи  з  оптимізації  мережі  бюджетних  установ  та  видатків  на  їх  утримання,   виходячи із наявних фінансових ресурсів, не допускається збільшення фактичної чисельності працюючих, надбавки та доплати обов</w:t>
      </w:r>
      <w:r>
        <w:rPr>
          <w:rFonts w:eastAsia="Times New Roman"/>
          <w:szCs w:val="24"/>
        </w:rPr>
        <w:t>’</w:t>
      </w:r>
      <w:r>
        <w:rPr>
          <w:szCs w:val="24"/>
        </w:rPr>
        <w:t>язкового характеру проводяться в межах фонду оплати праці,  службові  відрядження  працівників проводяться  за  погодженням  заступника  міського  голови,  згідно  з  розподілом  обов</w:t>
      </w:r>
      <w:r>
        <w:rPr>
          <w:rFonts w:eastAsia="Times New Roman"/>
          <w:szCs w:val="24"/>
        </w:rPr>
        <w:t>’</w:t>
      </w:r>
      <w:r>
        <w:rPr>
          <w:szCs w:val="24"/>
        </w:rPr>
        <w:t>язків;</w:t>
      </w:r>
    </w:p>
    <w:p w:rsidR="00476915" w:rsidRDefault="00476915" w:rsidP="00476915">
      <w:pPr>
        <w:jc w:val="both"/>
        <w:rPr>
          <w:szCs w:val="24"/>
        </w:rPr>
      </w:pPr>
      <w:r>
        <w:rPr>
          <w:szCs w:val="24"/>
        </w:rPr>
        <w:t xml:space="preserve">            - управлінням  транспорту, комунікацій та  зв</w:t>
      </w:r>
      <w:r>
        <w:rPr>
          <w:rFonts w:eastAsia="Times New Roman"/>
          <w:szCs w:val="24"/>
        </w:rPr>
        <w:t>’</w:t>
      </w:r>
      <w:r>
        <w:rPr>
          <w:szCs w:val="24"/>
        </w:rPr>
        <w:t>язку  -  розроблені  заходи  щодо  наповнення  міського  бюджету,  економного  та  раціонального  використання  бюджетних  коштів,  дотримання  суворої  бюджетної  дисципліни,  упорядкування  мережі  установ,  які  фінансуються  за  рахунок  коштів  міського  бюджету  у  2019  році,  а  саме: утворення  нових  бюджетних  установ  не  передбачено,  усі  нарахування  та  виплати  працівникам  здійснюються  виключно  в  межах  фонду  оплати  праці,  затвердженого  в  загальному  фонді  бюджету,  штатна  чисельність  працівників  знаходиться  у  межах  затверджених  асигнувань,  службові  відрядження  здійснюються  в  межах  кошторису,  здійснюється  внутрішній  контроль  за  взяттям  бюджетних  зобов</w:t>
      </w:r>
      <w:r>
        <w:rPr>
          <w:rFonts w:eastAsia="Times New Roman"/>
          <w:szCs w:val="24"/>
        </w:rPr>
        <w:t>’</w:t>
      </w:r>
      <w:r>
        <w:rPr>
          <w:szCs w:val="24"/>
        </w:rPr>
        <w:t xml:space="preserve">язань  та  витрачанням  бюджетних  коштів; </w:t>
      </w:r>
    </w:p>
    <w:p w:rsidR="00476915" w:rsidRDefault="00476915" w:rsidP="00476915">
      <w:pPr>
        <w:jc w:val="both"/>
        <w:rPr>
          <w:sz w:val="28"/>
          <w:szCs w:val="28"/>
        </w:rPr>
      </w:pPr>
      <w:r>
        <w:rPr>
          <w:szCs w:val="24"/>
        </w:rPr>
        <w:t xml:space="preserve">            - міській раді - встановлення  та  виплати  надбавок,  доплат,  винагород,  премій  виплачувалось  виключно  в  межах  фонду  оплати  праці,  припинено  витрати  на  проведення  виставок,  ярмарків,  з</w:t>
      </w:r>
      <w:r>
        <w:rPr>
          <w:rFonts w:eastAsia="Times New Roman"/>
          <w:szCs w:val="24"/>
        </w:rPr>
        <w:t>’</w:t>
      </w:r>
      <w:r>
        <w:rPr>
          <w:szCs w:val="24"/>
        </w:rPr>
        <w:t xml:space="preserve">їздів  за  рахунок  коштів  загального  фонду,  відрядження  за  кордон  здійснювалось  виключно  за  погодженням  із  заступниками  міського  голови,  використання  пального  проводилося  в  межах  встановлених  лімітів  на  місяць.  </w:t>
      </w:r>
    </w:p>
    <w:p w:rsidR="00476915" w:rsidRDefault="00476915" w:rsidP="00476915">
      <w:pPr>
        <w:widowControl w:val="0"/>
        <w:ind w:firstLine="709"/>
        <w:jc w:val="both"/>
        <w:rPr>
          <w:rFonts w:eastAsia="Times New Roman"/>
          <w:sz w:val="24"/>
          <w:szCs w:val="24"/>
          <w:lang w:val="uk-UA"/>
        </w:rPr>
      </w:pPr>
      <w:r>
        <w:rPr>
          <w:rFonts w:eastAsia="Times New Roman"/>
          <w:szCs w:val="24"/>
          <w:lang w:val="uk-UA"/>
        </w:rPr>
        <w:t xml:space="preserve">  Фінансовим управлінням постійно готуються інформації департаменту фінансів Тернопільської ОДА щодо стану використання субвенцій з державного бюджету на оплату житлово-комунальних послуг, допомог сім’ям з дітьми та інших соціальних виплат. Проводиться щоденний моніторинг поступлень до бюджету міста в розрізі всіх видів податків і зборів, </w:t>
      </w:r>
      <w:r>
        <w:rPr>
          <w:rFonts w:eastAsia="Times New Roman"/>
          <w:szCs w:val="24"/>
          <w:lang w:val="uk-UA"/>
        </w:rPr>
        <w:lastRenderedPageBreak/>
        <w:t>неподаткових надходжень, тощо.</w:t>
      </w:r>
    </w:p>
    <w:p w:rsidR="00476915" w:rsidRDefault="00476915" w:rsidP="00476915">
      <w:pPr>
        <w:widowControl w:val="0"/>
        <w:ind w:firstLine="709"/>
        <w:jc w:val="both"/>
        <w:rPr>
          <w:rFonts w:eastAsia="Times New Roman"/>
          <w:szCs w:val="24"/>
          <w:lang w:val="uk-UA"/>
        </w:rPr>
      </w:pPr>
      <w:r>
        <w:rPr>
          <w:rFonts w:eastAsia="Times New Roman"/>
          <w:szCs w:val="24"/>
          <w:lang w:val="uk-UA"/>
        </w:rPr>
        <w:t xml:space="preserve">  Звіт про виконання бюджету міста щоквартально розглядається виконавчим комітетом та затверджується на сесіях міської ради.</w:t>
      </w:r>
    </w:p>
    <w:p w:rsidR="00476915" w:rsidRDefault="00476915" w:rsidP="00476915">
      <w:pPr>
        <w:widowControl w:val="0"/>
        <w:ind w:firstLine="709"/>
        <w:jc w:val="both"/>
        <w:rPr>
          <w:rFonts w:eastAsia="Times New Roman"/>
          <w:szCs w:val="24"/>
          <w:lang w:val="uk-UA"/>
        </w:rPr>
      </w:pPr>
      <w:r>
        <w:rPr>
          <w:rFonts w:eastAsia="Times New Roman"/>
          <w:szCs w:val="24"/>
          <w:lang w:val="uk-UA"/>
        </w:rPr>
        <w:t xml:space="preserve">  Наше управління постійно співпрацює з органами Держказначейства, податковою службою та іншими органами державної влади, працівники управління приймають участь в роботах комісій міської ради. </w:t>
      </w:r>
      <w:r>
        <w:rPr>
          <w:rFonts w:eastAsia="Times New Roman"/>
          <w:szCs w:val="24"/>
          <w:lang w:val="uk-UA"/>
        </w:rPr>
        <w:tab/>
        <w:t xml:space="preserve"> </w:t>
      </w:r>
    </w:p>
    <w:p w:rsidR="00476915" w:rsidRDefault="00476915" w:rsidP="00476915">
      <w:pPr>
        <w:widowControl w:val="0"/>
        <w:ind w:firstLine="708"/>
        <w:jc w:val="both"/>
        <w:rPr>
          <w:rFonts w:eastAsia="Times New Roman"/>
          <w:szCs w:val="24"/>
          <w:lang w:val="uk-UA"/>
        </w:rPr>
      </w:pPr>
      <w:r>
        <w:rPr>
          <w:rFonts w:eastAsia="Times New Roman"/>
          <w:szCs w:val="24"/>
          <w:lang w:val="uk-UA"/>
        </w:rPr>
        <w:t xml:space="preserve">Відповідно до пілотного проекту «Ініціатива «Відкритий бюджет </w:t>
      </w:r>
      <w:r>
        <w:rPr>
          <w:rFonts w:eastAsia="Times New Roman"/>
          <w:color w:val="000000"/>
          <w:szCs w:val="24"/>
          <w:lang w:val="uk-UA"/>
        </w:rPr>
        <w:t>на сайті Тернопільської міської ради у розділі «</w:t>
      </w:r>
      <w:hyperlink r:id="rId5" w:tgtFrame="_blank" w:history="1">
        <w:r>
          <w:rPr>
            <w:rStyle w:val="a5"/>
            <w:rFonts w:eastAsia="Times New Roman"/>
            <w:szCs w:val="24"/>
            <w:lang w:val="uk-UA"/>
          </w:rPr>
          <w:t>Бюджет міста Тернополя</w:t>
        </w:r>
      </w:hyperlink>
      <w:r>
        <w:rPr>
          <w:rFonts w:eastAsia="Times New Roman"/>
          <w:color w:val="000000"/>
          <w:szCs w:val="24"/>
          <w:lang w:val="uk-UA"/>
        </w:rPr>
        <w:t xml:space="preserve">» постійно розміщаєттся графічне представлення доходів і видатків бюджету на поточний рік. </w:t>
      </w:r>
      <w:r>
        <w:rPr>
          <w:rFonts w:eastAsia="Times New Roman"/>
          <w:color w:val="000000"/>
          <w:szCs w:val="24"/>
        </w:rPr>
        <w:t xml:space="preserve">Городяни можуть у вільному доступі ознайомитися з візуалізацією бюджету та надавати свої пропозиції щодо їх удосконалення, надіславши листи на електронну пошту: </w:t>
      </w:r>
      <w:hyperlink r:id="rId6" w:tgtFrame="_blank" w:history="1">
        <w:r>
          <w:rPr>
            <w:rStyle w:val="a5"/>
            <w:rFonts w:eastAsia="Times New Roman"/>
            <w:color w:val="333399"/>
            <w:szCs w:val="24"/>
          </w:rPr>
          <w:t>rada.te.ua@ukr.net</w:t>
        </w:r>
      </w:hyperlink>
      <w:r>
        <w:rPr>
          <w:rFonts w:eastAsia="Times New Roman"/>
          <w:szCs w:val="24"/>
          <w:lang w:val="uk-UA"/>
        </w:rPr>
        <w:t xml:space="preserve">.                  </w:t>
      </w:r>
    </w:p>
    <w:p w:rsidR="00476915" w:rsidRDefault="00476915" w:rsidP="00476915">
      <w:pPr>
        <w:widowControl w:val="0"/>
        <w:ind w:firstLine="708"/>
        <w:jc w:val="both"/>
        <w:rPr>
          <w:rFonts w:eastAsia="Times New Roman"/>
          <w:szCs w:val="24"/>
          <w:lang w:val="uk-UA" w:eastAsia="en-US"/>
        </w:rPr>
      </w:pPr>
      <w:r>
        <w:rPr>
          <w:rFonts w:eastAsia="Times New Roman"/>
          <w:szCs w:val="24"/>
          <w:lang w:val="uk-UA"/>
        </w:rPr>
        <w:t>Інформацію про надходження коштів міського бюджету також щотижнево розміщаємо на офіційному веб-сайті міської ради, а по видатковій частині – один раз в місяць, а також за остаточними даними місячного казначейського звіту уточнюється щомісячне виконання міського бюджету, як по дохідній, так і по видатковій частинах.</w:t>
      </w:r>
      <w:r>
        <w:rPr>
          <w:rFonts w:eastAsia="Times New Roman"/>
          <w:szCs w:val="24"/>
          <w:lang w:val="uk-UA"/>
        </w:rPr>
        <w:tab/>
      </w:r>
    </w:p>
    <w:p w:rsidR="00476915" w:rsidRDefault="00476915" w:rsidP="00476915">
      <w:pPr>
        <w:widowControl w:val="0"/>
        <w:ind w:firstLine="708"/>
        <w:jc w:val="both"/>
        <w:rPr>
          <w:rFonts w:eastAsia="Times New Roman"/>
          <w:szCs w:val="24"/>
          <w:lang w:val="uk-UA"/>
        </w:rPr>
      </w:pPr>
      <w:r>
        <w:rPr>
          <w:rFonts w:eastAsia="Times New Roman"/>
          <w:szCs w:val="24"/>
          <w:lang w:val="uk-UA"/>
        </w:rPr>
        <w:t xml:space="preserve">За звітний період  працівники управління приймали участь у форумах, засіданнях та надавали необхідну інформацію  в спільному у проекті  з Європейським інвестиційним банком в проекті  «Програма розвитку муніципальної інфраструктури України» та  в  проекті  «Створення механізму сталого фінансування термомодернізації бюджетних установ». </w:t>
      </w:r>
    </w:p>
    <w:p w:rsidR="00476915" w:rsidRDefault="00476915" w:rsidP="00476915">
      <w:pPr>
        <w:widowControl w:val="0"/>
        <w:ind w:firstLine="708"/>
        <w:jc w:val="both"/>
        <w:rPr>
          <w:rFonts w:eastAsia="Times New Roman"/>
          <w:szCs w:val="24"/>
          <w:lang w:val="uk-UA"/>
        </w:rPr>
      </w:pPr>
      <w:r>
        <w:rPr>
          <w:rFonts w:eastAsia="Times New Roman"/>
          <w:szCs w:val="24"/>
          <w:lang w:val="uk-UA"/>
        </w:rPr>
        <w:t>В розділах «Питання – відповіді», «Петиції» , що  розміщені на сайті міської ради, постійно надаємо відповіді та пропозиції з питань , які належать до нашої компетенції.</w:t>
      </w:r>
    </w:p>
    <w:p w:rsidR="00476915" w:rsidRDefault="00476915" w:rsidP="00476915">
      <w:pPr>
        <w:widowControl w:val="0"/>
        <w:ind w:firstLine="708"/>
        <w:jc w:val="both"/>
        <w:rPr>
          <w:rFonts w:eastAsia="Times New Roman"/>
          <w:szCs w:val="24"/>
          <w:lang w:val="uk-UA"/>
        </w:rPr>
      </w:pPr>
      <w:r>
        <w:rPr>
          <w:rFonts w:eastAsia="Times New Roman"/>
          <w:szCs w:val="24"/>
          <w:lang w:val="uk-UA"/>
        </w:rPr>
        <w:t>В 2019 році приймали  участь у засіданнях Номінаційного комітету з питань попереднього розгляду проектів Громадського бюджету  на 2020 рік.</w:t>
      </w:r>
    </w:p>
    <w:p w:rsidR="00476915" w:rsidRDefault="00476915" w:rsidP="00476915">
      <w:pPr>
        <w:widowControl w:val="0"/>
        <w:ind w:firstLine="709"/>
        <w:jc w:val="both"/>
        <w:rPr>
          <w:rFonts w:eastAsia="Times New Roman"/>
          <w:szCs w:val="24"/>
          <w:lang w:val="uk-UA"/>
        </w:rPr>
      </w:pPr>
      <w:r>
        <w:rPr>
          <w:rFonts w:eastAsia="Times New Roman"/>
          <w:szCs w:val="24"/>
          <w:lang w:val="uk-UA"/>
        </w:rPr>
        <w:t>На протязі звітного періоду основне завдання ми вбачали у виконанні планових завдань бюджету міста, в своєчасному фінансуванні належних заходів та програм.</w:t>
      </w:r>
    </w:p>
    <w:p w:rsidR="00476915" w:rsidRDefault="00476915" w:rsidP="00476915">
      <w:pPr>
        <w:ind w:firstLine="708"/>
        <w:jc w:val="both"/>
        <w:rPr>
          <w:rFonts w:eastAsia="Times New Roman"/>
          <w:szCs w:val="24"/>
          <w:lang w:val="uk-UA"/>
        </w:rPr>
      </w:pPr>
      <w:r>
        <w:rPr>
          <w:rFonts w:eastAsia="Times New Roman"/>
          <w:szCs w:val="24"/>
          <w:lang w:val="uk-UA"/>
        </w:rPr>
        <w:t>Як вже зазначалось, основним завданням управління є забезпечення виконання бюджету міста.</w:t>
      </w:r>
    </w:p>
    <w:p w:rsidR="00476915" w:rsidRDefault="00476915" w:rsidP="00476915">
      <w:pPr>
        <w:ind w:firstLine="708"/>
        <w:jc w:val="both"/>
        <w:rPr>
          <w:rFonts w:eastAsia="Times New Roman"/>
          <w:szCs w:val="24"/>
          <w:lang w:val="uk-UA"/>
        </w:rPr>
      </w:pPr>
      <w:r>
        <w:rPr>
          <w:rFonts w:eastAsia="Times New Roman"/>
          <w:szCs w:val="24"/>
          <w:lang w:val="uk-UA"/>
        </w:rPr>
        <w:t>Так,  за січень – листопад бюджет міста  по доходах в цілому виконано на 101,4 відсотки,  внаслідок чого додатково  мобілізовано 34,3 млн.грн. При  плані  2 367,7 тис..грн  надходження  склали  2 402,0 млн. грн., з яких до загального фонду – 2 262,7 млн.грн.  та до спеціального фонду 104, 9 млн.грн. Виконання річного плану доходів склало 91,8 відсотків.</w:t>
      </w:r>
    </w:p>
    <w:p w:rsidR="00476915" w:rsidRDefault="00476915" w:rsidP="00476915">
      <w:pPr>
        <w:ind w:firstLine="708"/>
        <w:jc w:val="both"/>
        <w:rPr>
          <w:rFonts w:eastAsia="Times New Roman"/>
          <w:szCs w:val="24"/>
          <w:lang w:val="uk-UA"/>
        </w:rPr>
      </w:pPr>
      <w:r>
        <w:rPr>
          <w:rFonts w:eastAsia="Times New Roman"/>
          <w:szCs w:val="24"/>
          <w:lang w:val="uk-UA"/>
        </w:rPr>
        <w:t>Порівняно з  відповідним періодом минулого  року  досягнуто приріст  доходів в цілому  в сумі 177,0 млн.грн або  9,8 відсотки.</w:t>
      </w:r>
    </w:p>
    <w:p w:rsidR="00476915" w:rsidRDefault="00476915" w:rsidP="00476915">
      <w:pPr>
        <w:ind w:firstLine="345"/>
        <w:jc w:val="both"/>
        <w:rPr>
          <w:rFonts w:eastAsia="Times New Roman"/>
          <w:szCs w:val="24"/>
          <w:lang w:val="uk-UA"/>
        </w:rPr>
      </w:pPr>
      <w:r>
        <w:rPr>
          <w:rFonts w:eastAsia="Times New Roman"/>
          <w:i/>
          <w:szCs w:val="24"/>
          <w:lang w:val="uk-UA"/>
        </w:rPr>
        <w:t xml:space="preserve">       </w:t>
      </w:r>
      <w:r>
        <w:rPr>
          <w:rFonts w:eastAsia="Times New Roman"/>
          <w:szCs w:val="24"/>
          <w:lang w:val="uk-UA"/>
        </w:rPr>
        <w:t>По власних доходах бюджету (без врахування міжбюджетних трансфертів) виконання  плану склало 104,9  відсотків, із запланованих 1 411,0 млн.грн. мобілізовано 1 480,8 млн.грн, що порівняно з попереднім роком  більше на 145,4 млн.грн або на 10,9 відсотків.</w:t>
      </w:r>
    </w:p>
    <w:p w:rsidR="00476915" w:rsidRDefault="00476915" w:rsidP="00476915">
      <w:pPr>
        <w:widowControl w:val="0"/>
        <w:ind w:firstLine="536"/>
        <w:jc w:val="both"/>
        <w:rPr>
          <w:rFonts w:eastAsia="Times New Roman"/>
          <w:szCs w:val="24"/>
          <w:lang w:val="uk-UA"/>
        </w:rPr>
      </w:pPr>
      <w:r>
        <w:rPr>
          <w:rFonts w:eastAsia="Times New Roman"/>
          <w:i/>
          <w:szCs w:val="24"/>
          <w:lang w:val="uk-UA"/>
        </w:rPr>
        <w:t xml:space="preserve">  </w:t>
      </w:r>
      <w:r>
        <w:rPr>
          <w:rFonts w:eastAsia="Times New Roman"/>
          <w:szCs w:val="24"/>
          <w:lang w:val="uk-UA"/>
        </w:rPr>
        <w:tab/>
        <w:t xml:space="preserve">Доходи загального фонду бюджету міста  при плані 2 262,7 млн.грн виконані на 100,5 відсотки, а його власні надходження (без урахування трансфертів)  - на 103,6 відсотків, яких при </w:t>
      </w:r>
      <w:r>
        <w:rPr>
          <w:rFonts w:eastAsia="Times New Roman"/>
          <w:szCs w:val="24"/>
          <w:lang w:val="uk-UA"/>
        </w:rPr>
        <w:lastRenderedPageBreak/>
        <w:t xml:space="preserve">плані 1 307, 5 тис.грн надійшло 1 354, 3 млн.грн.  </w:t>
      </w:r>
    </w:p>
    <w:p w:rsidR="00476915" w:rsidRDefault="00476915" w:rsidP="00476915">
      <w:pPr>
        <w:widowControl w:val="0"/>
        <w:tabs>
          <w:tab w:val="left" w:pos="567"/>
        </w:tabs>
        <w:ind w:firstLine="536"/>
        <w:jc w:val="both"/>
        <w:rPr>
          <w:rFonts w:eastAsia="Times New Roman"/>
          <w:szCs w:val="24"/>
          <w:lang w:val="uk-UA"/>
        </w:rPr>
      </w:pPr>
      <w:r>
        <w:rPr>
          <w:rFonts w:eastAsia="Times New Roman"/>
          <w:szCs w:val="24"/>
          <w:lang w:val="uk-UA"/>
        </w:rPr>
        <w:t>За попередніми даними, власні доходи загального фонду за рік складуть 1 479, 9 млн. грн.  при уточненому плані 1 471,0 млн.грн або 100,6 відсотки.</w:t>
      </w:r>
    </w:p>
    <w:p w:rsidR="00476915" w:rsidRDefault="00476915" w:rsidP="00476915">
      <w:pPr>
        <w:ind w:firstLine="567"/>
        <w:jc w:val="both"/>
        <w:rPr>
          <w:rFonts w:eastAsia="Times New Roman"/>
          <w:szCs w:val="24"/>
          <w:lang w:val="uk-UA"/>
        </w:rPr>
      </w:pPr>
      <w:r>
        <w:rPr>
          <w:rFonts w:eastAsia="Times New Roman"/>
          <w:szCs w:val="24"/>
          <w:lang w:val="uk-UA"/>
        </w:rPr>
        <w:t xml:space="preserve">Найбільшу питому вагу у власних  доходах бюджету (55,8 відсотки) традиційно  займає податок на доходи фізичних осіб (ПДФО), поступлення по якому склали  825,7 млдн.грн при плані 793,2 тис.грн або 104,1 відсотків, що дозволило додатково  одержати 32, 5 млн..грн. Порівняно з січнем – листопадом минулого року досягнуто приріст  поступлень цього податку   на 23,0  відсотків або на 154, 8 млн.грн.  </w:t>
      </w:r>
    </w:p>
    <w:p w:rsidR="00476915" w:rsidRDefault="00476915" w:rsidP="00476915">
      <w:pPr>
        <w:shd w:val="clear" w:color="auto" w:fill="FFFFFF"/>
        <w:ind w:firstLine="540"/>
        <w:jc w:val="both"/>
        <w:rPr>
          <w:rFonts w:eastAsia="Times New Roman"/>
          <w:b/>
          <w:i/>
          <w:szCs w:val="24"/>
          <w:lang w:val="uk-UA"/>
        </w:rPr>
      </w:pPr>
      <w:r>
        <w:rPr>
          <w:rFonts w:eastAsia="Times New Roman"/>
          <w:szCs w:val="24"/>
          <w:lang w:val="uk-UA"/>
        </w:rPr>
        <w:t xml:space="preserve">    Крім ПДФО, за 11 місяців 2019 року  зверх  плану  залучено єдиного податку – 9,4 млн..грн, податку на нерухоме майно, відмінне від земельної ділянки – 9,6 млн.грн, плати за землю – 5,1 тис.грн., плати за розміщення тимчасово вільних коштів – 5,1 млн.грн плати за встановлення земельного сервітуту – 1,1 млн.грн та ін.</w:t>
      </w:r>
    </w:p>
    <w:p w:rsidR="00476915" w:rsidRDefault="00476915" w:rsidP="00476915">
      <w:pPr>
        <w:shd w:val="clear" w:color="auto" w:fill="FFFFFF"/>
        <w:spacing w:after="120"/>
        <w:ind w:firstLine="540"/>
        <w:jc w:val="both"/>
        <w:rPr>
          <w:rFonts w:eastAsia="Times New Roman"/>
          <w:i/>
          <w:szCs w:val="24"/>
          <w:lang w:val="uk-UA"/>
        </w:rPr>
      </w:pPr>
      <w:r>
        <w:rPr>
          <w:rFonts w:eastAsia="Times New Roman"/>
          <w:szCs w:val="24"/>
          <w:lang w:val="uk-UA"/>
        </w:rPr>
        <w:t xml:space="preserve">  Крім податкових надходжень, вагомими складовими  доходів ( частка  в надходженнях загального фонду яких  - 40,4 %) є   міжбюджетні трансферти, одержані у вигляді освітньої, медичної субвенцій, а також субвенцій соціального спрямування. За  звітний період  при плані 955,2 млн.грн. трансферти  поповнили міську казну на 919, 7 млн.грн або на 96,3  відсотків</w:t>
      </w:r>
      <w:r>
        <w:rPr>
          <w:rFonts w:eastAsia="Times New Roman"/>
          <w:i/>
          <w:szCs w:val="24"/>
          <w:lang w:val="uk-UA"/>
        </w:rPr>
        <w:t xml:space="preserve">. </w:t>
      </w:r>
    </w:p>
    <w:p w:rsidR="00476915" w:rsidRDefault="00476915" w:rsidP="00476915">
      <w:pPr>
        <w:shd w:val="clear" w:color="auto" w:fill="FFFFFF"/>
        <w:ind w:firstLine="540"/>
        <w:jc w:val="both"/>
        <w:rPr>
          <w:rFonts w:eastAsia="Times New Roman"/>
          <w:szCs w:val="24"/>
          <w:lang w:val="uk-UA"/>
        </w:rPr>
      </w:pPr>
      <w:r>
        <w:rPr>
          <w:rFonts w:eastAsia="Times New Roman"/>
          <w:szCs w:val="24"/>
          <w:lang w:val="uk-UA"/>
        </w:rPr>
        <w:t xml:space="preserve"> Зокрема, відповідно до плану (100%) до загального фонду надійшло трансфертів з державного бюджету, а саме, медичної субвенції в сумі 144,7 млн.грн, освітньої субвенції – 297, 6 тис.грн, субвенції на здійснення заходів щодо соціально – економічного розвитку окремих територій – 55, 6 тис.грн. </w:t>
      </w:r>
    </w:p>
    <w:p w:rsidR="00476915" w:rsidRDefault="00476915" w:rsidP="00476915">
      <w:pPr>
        <w:shd w:val="clear" w:color="auto" w:fill="FFFFFF"/>
        <w:ind w:firstLine="540"/>
        <w:jc w:val="both"/>
        <w:rPr>
          <w:rFonts w:eastAsia="Times New Roman"/>
          <w:szCs w:val="24"/>
          <w:lang w:val="uk-UA"/>
        </w:rPr>
      </w:pPr>
      <w:r>
        <w:rPr>
          <w:rFonts w:eastAsia="Times New Roman"/>
          <w:szCs w:val="24"/>
          <w:lang w:val="uk-UA"/>
        </w:rPr>
        <w:t xml:space="preserve">Трансферти з обласного бюджету надійшли в сумі 398, 4 млн..грн із запланованих 433, 9 млн.грн або 92,1 відсотків (це субвенції  на надання пільг та житлових субсидій населенню, на виплату допомоги сім»ям з дітьми, на відшкодування вартості лікарських засобів,  та інші субвенції соціального спрямування).   </w:t>
      </w:r>
    </w:p>
    <w:p w:rsidR="00476915" w:rsidRDefault="00476915" w:rsidP="00476915">
      <w:pPr>
        <w:ind w:firstLine="360"/>
        <w:jc w:val="both"/>
        <w:rPr>
          <w:rFonts w:eastAsia="Times New Roman"/>
          <w:szCs w:val="24"/>
          <w:lang w:val="uk-UA"/>
        </w:rPr>
      </w:pPr>
      <w:r>
        <w:rPr>
          <w:rFonts w:eastAsia="Times New Roman"/>
          <w:szCs w:val="24"/>
          <w:lang w:val="uk-UA"/>
        </w:rPr>
        <w:t xml:space="preserve">Доходи спеціального фонду бюджету міста виконані на 121,9 відсотки, що дало можливість  додатково залучити до міського бюджету  23,0 млн.грн  коштів цільового призначення.  Доходи бюджету розвитку - невід»ємної інвестиційної складової  спеціального фонду, при плані 55, 3 млн.грн мобілізовані в сумі  69 ,2 млн.грн або на 29,7 відсотків більше.                                                           </w:t>
      </w:r>
    </w:p>
    <w:p w:rsidR="00476915" w:rsidRDefault="00476915" w:rsidP="00476915">
      <w:pPr>
        <w:pStyle w:val="a3"/>
        <w:ind w:firstLine="360"/>
        <w:jc w:val="both"/>
        <w:rPr>
          <w:rFonts w:ascii="Times New Roman" w:hAnsi="Times New Roman"/>
          <w:sz w:val="24"/>
          <w:szCs w:val="24"/>
          <w:lang w:val="uk-UA"/>
        </w:rPr>
      </w:pPr>
      <w:r>
        <w:rPr>
          <w:rFonts w:ascii="Times New Roman" w:hAnsi="Times New Roman"/>
          <w:sz w:val="24"/>
          <w:szCs w:val="24"/>
          <w:lang w:val="uk-UA"/>
        </w:rPr>
        <w:t xml:space="preserve">    Кошти, які надійшли до бюджету громади за 11 місяців   2019 року, дали можливість в цілому забезпечити виконання видаткової частини бюджету до річного плану на 73,2 відсотка та спрямувати на фінансування галузей  – 2251,4млн.грн, в тому числі по загальному фонду – 1839,0 млн. грн і по спеціальному – 412,4 млн. грн. </w:t>
      </w:r>
    </w:p>
    <w:p w:rsidR="00476915" w:rsidRDefault="00476915" w:rsidP="00476915">
      <w:pPr>
        <w:pStyle w:val="a3"/>
        <w:ind w:firstLine="360"/>
        <w:jc w:val="both"/>
        <w:rPr>
          <w:rFonts w:ascii="Times New Roman" w:hAnsi="Times New Roman"/>
          <w:b/>
          <w:sz w:val="24"/>
          <w:szCs w:val="24"/>
          <w:lang w:val="uk-UA"/>
        </w:rPr>
      </w:pPr>
      <w:r>
        <w:rPr>
          <w:rFonts w:ascii="Times New Roman" w:hAnsi="Times New Roman"/>
          <w:sz w:val="24"/>
          <w:szCs w:val="24"/>
          <w:lang w:val="uk-UA"/>
        </w:rPr>
        <w:t xml:space="preserve">     За рахунок отриманих коштів профінансовано заклади освіти на 851,9млн.грн, охорони здоров’я – на 228,6 млн.грн, культури - на 45,7млн.грн, соціального  захисту – на  471,2 млн.грн, на утримання  фізичної культури і спорту  -  на 46,0 млн.грн. на утримання житлово-комунального господарства - на 283,7  млн.грн.</w:t>
      </w:r>
      <w:r>
        <w:rPr>
          <w:rFonts w:ascii="Times New Roman" w:hAnsi="Times New Roman"/>
          <w:b/>
          <w:sz w:val="24"/>
          <w:szCs w:val="24"/>
          <w:lang w:val="uk-UA"/>
        </w:rPr>
        <w:t xml:space="preserve"> </w:t>
      </w:r>
      <w:r>
        <w:rPr>
          <w:rFonts w:ascii="Times New Roman" w:hAnsi="Times New Roman"/>
          <w:sz w:val="24"/>
          <w:szCs w:val="24"/>
          <w:lang w:val="uk-UA"/>
        </w:rPr>
        <w:t>Проведено виплату заробітної плати з нарахуваннями працівникам бюджетних установ та здійснено оплату комунальних послуг та спожитих у звітному періоді  енергоносіїв, на що направлено відповідно 797,7млн.грн та  58,3 млн.грн, або 35,4 та 2,6 відсотків всіх видатків бюджету.</w:t>
      </w:r>
      <w:r>
        <w:rPr>
          <w:rFonts w:ascii="Times New Roman" w:hAnsi="Times New Roman"/>
          <w:b/>
          <w:sz w:val="24"/>
          <w:szCs w:val="24"/>
          <w:lang w:val="uk-UA"/>
        </w:rPr>
        <w:t xml:space="preserve">             </w:t>
      </w:r>
    </w:p>
    <w:p w:rsidR="00476915" w:rsidRDefault="00476915" w:rsidP="00476915">
      <w:pPr>
        <w:pStyle w:val="a3"/>
        <w:jc w:val="both"/>
        <w:rPr>
          <w:sz w:val="28"/>
          <w:szCs w:val="28"/>
          <w:lang w:val="uk-UA"/>
        </w:rPr>
      </w:pPr>
      <w:r>
        <w:rPr>
          <w:rFonts w:ascii="Times New Roman" w:hAnsi="Times New Roman"/>
          <w:sz w:val="24"/>
          <w:szCs w:val="24"/>
          <w:lang w:val="uk-UA"/>
        </w:rPr>
        <w:t xml:space="preserve">         Станом на 01.12.2019 року  заборгованості за спожиті енергоносії  та  оплату  праці працівникам  бюджетних  установ міста Тернополя (громади ) немає.   </w:t>
      </w:r>
      <w:r>
        <w:rPr>
          <w:sz w:val="28"/>
          <w:szCs w:val="28"/>
        </w:rPr>
        <w:t xml:space="preserve">          </w:t>
      </w:r>
    </w:p>
    <w:p w:rsidR="00476915" w:rsidRDefault="00476915" w:rsidP="00476915">
      <w:pPr>
        <w:ind w:firstLine="708"/>
        <w:jc w:val="both"/>
        <w:rPr>
          <w:rFonts w:eastAsia="Times New Roman"/>
          <w:sz w:val="24"/>
          <w:szCs w:val="24"/>
          <w:lang w:val="uk-UA"/>
        </w:rPr>
      </w:pPr>
      <w:r>
        <w:rPr>
          <w:rFonts w:eastAsia="Times New Roman"/>
          <w:szCs w:val="24"/>
          <w:lang w:val="uk-UA"/>
        </w:rPr>
        <w:lastRenderedPageBreak/>
        <w:t xml:space="preserve">Протягом року управлінням проводилася робота щодо відшкодування  пільг та субсидій населенню та коштів на виплату допомог сім’ям з дітьми, державної соціальної допомоги малозабезпеченим сім’ям, інвалідам з дитинства та дітям-інвалідам.    </w:t>
      </w:r>
    </w:p>
    <w:p w:rsidR="00476915" w:rsidRDefault="00476915" w:rsidP="00476915">
      <w:pPr>
        <w:ind w:firstLine="708"/>
        <w:jc w:val="both"/>
        <w:rPr>
          <w:rFonts w:eastAsia="Calibri"/>
          <w:szCs w:val="24"/>
          <w:lang w:val="uk-UA" w:eastAsia="en-US"/>
        </w:rPr>
      </w:pPr>
      <w:r>
        <w:rPr>
          <w:szCs w:val="24"/>
          <w:lang w:val="uk-UA"/>
        </w:rPr>
        <w:t xml:space="preserve">За 11 місяців 2019 року </w:t>
      </w:r>
      <w:r>
        <w:rPr>
          <w:lang w:val="uk-UA"/>
        </w:rPr>
        <w:t>на відшкодування пільг і субсидій населенню</w:t>
      </w:r>
      <w:r>
        <w:rPr>
          <w:szCs w:val="24"/>
          <w:lang w:val="uk-UA"/>
        </w:rPr>
        <w:t xml:space="preserve"> профінансовано 129,2 млн.грн., в тому числі</w:t>
      </w:r>
      <w:r>
        <w:rPr>
          <w:lang w:val="uk-UA"/>
        </w:rPr>
        <w:t xml:space="preserve"> </w:t>
      </w:r>
      <w:r>
        <w:rPr>
          <w:szCs w:val="24"/>
          <w:lang w:val="uk-UA"/>
        </w:rPr>
        <w:t>за:</w:t>
      </w:r>
    </w:p>
    <w:p w:rsidR="00476915" w:rsidRDefault="00476915" w:rsidP="00476915">
      <w:pPr>
        <w:pStyle w:val="a4"/>
        <w:numPr>
          <w:ilvl w:val="0"/>
          <w:numId w:val="2"/>
        </w:numPr>
        <w:jc w:val="both"/>
        <w:rPr>
          <w:rFonts w:ascii="Times New Roman" w:hAnsi="Times New Roman" w:cs="Times New Roman"/>
          <w:lang w:val="uk-UA"/>
        </w:rPr>
      </w:pPr>
      <w:r>
        <w:rPr>
          <w:rFonts w:ascii="Times New Roman" w:hAnsi="Times New Roman" w:cs="Times New Roman"/>
          <w:lang w:val="uk-UA"/>
        </w:rPr>
        <w:t>електричну енергію – 6,1 млн. грн.;</w:t>
      </w:r>
    </w:p>
    <w:p w:rsidR="00476915" w:rsidRDefault="00476915" w:rsidP="00476915">
      <w:pPr>
        <w:pStyle w:val="a4"/>
        <w:numPr>
          <w:ilvl w:val="0"/>
          <w:numId w:val="2"/>
        </w:numPr>
        <w:jc w:val="both"/>
        <w:rPr>
          <w:rFonts w:ascii="Times New Roman" w:hAnsi="Times New Roman" w:cs="Times New Roman"/>
          <w:lang w:val="uk-UA"/>
        </w:rPr>
      </w:pPr>
      <w:r>
        <w:rPr>
          <w:rFonts w:ascii="Times New Roman" w:hAnsi="Times New Roman" w:cs="Times New Roman"/>
          <w:lang w:val="uk-UA"/>
        </w:rPr>
        <w:t>природний газ – 41,2 млн. грн.;</w:t>
      </w:r>
    </w:p>
    <w:p w:rsidR="00476915" w:rsidRDefault="00476915" w:rsidP="00476915">
      <w:pPr>
        <w:pStyle w:val="a4"/>
        <w:numPr>
          <w:ilvl w:val="0"/>
          <w:numId w:val="2"/>
        </w:numPr>
        <w:jc w:val="both"/>
        <w:rPr>
          <w:rFonts w:ascii="Times New Roman" w:hAnsi="Times New Roman" w:cs="Times New Roman"/>
          <w:lang w:val="uk-UA"/>
        </w:rPr>
      </w:pPr>
      <w:r>
        <w:rPr>
          <w:rFonts w:ascii="Times New Roman" w:hAnsi="Times New Roman" w:cs="Times New Roman"/>
          <w:lang w:val="uk-UA"/>
        </w:rPr>
        <w:t>теплопостачання – 63,7 млн. грн.;</w:t>
      </w:r>
    </w:p>
    <w:p w:rsidR="00476915" w:rsidRDefault="00476915" w:rsidP="00476915">
      <w:pPr>
        <w:pStyle w:val="a4"/>
        <w:numPr>
          <w:ilvl w:val="0"/>
          <w:numId w:val="2"/>
        </w:numPr>
        <w:jc w:val="both"/>
        <w:rPr>
          <w:rFonts w:ascii="Times New Roman" w:hAnsi="Times New Roman" w:cs="Times New Roman"/>
          <w:lang w:val="uk-UA"/>
        </w:rPr>
      </w:pPr>
      <w:r>
        <w:rPr>
          <w:rFonts w:ascii="Times New Roman" w:hAnsi="Times New Roman" w:cs="Times New Roman"/>
          <w:lang w:val="uk-UA"/>
        </w:rPr>
        <w:t>водопостачання і водовідведення – 6,0 млн. грн.;</w:t>
      </w:r>
    </w:p>
    <w:p w:rsidR="00476915" w:rsidRDefault="00476915" w:rsidP="00476915">
      <w:pPr>
        <w:pStyle w:val="a4"/>
        <w:numPr>
          <w:ilvl w:val="0"/>
          <w:numId w:val="2"/>
        </w:numPr>
        <w:jc w:val="both"/>
        <w:rPr>
          <w:rFonts w:ascii="Times New Roman" w:hAnsi="Times New Roman" w:cs="Times New Roman"/>
          <w:lang w:val="uk-UA"/>
        </w:rPr>
      </w:pPr>
      <w:r>
        <w:rPr>
          <w:rFonts w:ascii="Times New Roman" w:hAnsi="Times New Roman" w:cs="Times New Roman"/>
          <w:lang w:val="uk-UA"/>
        </w:rPr>
        <w:t>квартплату та інші послуги – 12,2 млн. грн.</w:t>
      </w:r>
    </w:p>
    <w:p w:rsidR="00476915" w:rsidRDefault="00476915" w:rsidP="00476915">
      <w:pPr>
        <w:ind w:firstLine="708"/>
        <w:jc w:val="both"/>
        <w:rPr>
          <w:rFonts w:ascii="Times New Roman" w:hAnsi="Times New Roman" w:cs="Times New Roman"/>
          <w:szCs w:val="24"/>
          <w:lang w:val="uk-UA"/>
        </w:rPr>
      </w:pPr>
      <w:r>
        <w:rPr>
          <w:lang w:val="uk-UA"/>
        </w:rPr>
        <w:t>Загалом отримано на відшкодування пільг населенню 45,7 млн. грн., субсидій – 83,5 млн. грн.</w:t>
      </w:r>
    </w:p>
    <w:p w:rsidR="00476915" w:rsidRDefault="00476915" w:rsidP="00476915">
      <w:pPr>
        <w:ind w:firstLine="708"/>
        <w:jc w:val="both"/>
        <w:rPr>
          <w:szCs w:val="24"/>
          <w:lang w:val="uk-UA"/>
        </w:rPr>
      </w:pPr>
      <w:r>
        <w:rPr>
          <w:szCs w:val="24"/>
          <w:lang w:val="uk-UA"/>
        </w:rPr>
        <w:t xml:space="preserve">Також проводилася робота щодо відшкодування коштів на виплату допомог сім’ям з дітьми, державної соціальної допомоги малозабезпеченим сім’ям, інвалідам з дитинства та дітям-інвалідам, на що направлено 0,9 млн.грн. </w:t>
      </w:r>
    </w:p>
    <w:p w:rsidR="00476915" w:rsidRDefault="00476915" w:rsidP="00476915">
      <w:pPr>
        <w:ind w:firstLine="708"/>
        <w:jc w:val="both"/>
        <w:rPr>
          <w:szCs w:val="24"/>
          <w:lang w:val="uk-UA"/>
        </w:rPr>
      </w:pPr>
    </w:p>
    <w:p w:rsidR="00476915" w:rsidRDefault="00476915" w:rsidP="00476915">
      <w:pPr>
        <w:ind w:firstLine="360"/>
        <w:jc w:val="both"/>
        <w:rPr>
          <w:rFonts w:eastAsia="Times New Roman"/>
          <w:szCs w:val="24"/>
          <w:lang w:val="uk-UA"/>
        </w:rPr>
      </w:pPr>
      <w:r>
        <w:rPr>
          <w:rFonts w:eastAsia="Times New Roman"/>
          <w:szCs w:val="24"/>
          <w:lang w:val="uk-UA"/>
        </w:rPr>
        <w:t xml:space="preserve">   На сьогодні Тернопільська міська рада виступає гарантом по кредитній угоді ЄБРР з КП «Тернопільміськтеплокомуненерго» для реалізації програми пріоритетних інвестицій з модернізації систем централізованого теплопостачання міста Тернополя та по угоді з НЕФКО щодо виконання КП теплових мереж „Тернопільміськтеплокомуненерго” зобов”язань на фінансування в рамках Програми </w:t>
      </w:r>
      <w:r>
        <w:rPr>
          <w:rFonts w:eastAsia="Times New Roman"/>
          <w:szCs w:val="24"/>
        </w:rPr>
        <w:t>DemoUkrainaDH</w:t>
      </w:r>
      <w:r>
        <w:rPr>
          <w:rFonts w:eastAsia="Times New Roman"/>
          <w:szCs w:val="24"/>
          <w:lang w:val="uk-UA"/>
        </w:rPr>
        <w:t xml:space="preserve"> (25 ІТП, котельні – Теплокомуненерго). У зв»язку із цим, </w:t>
      </w:r>
      <w:r>
        <w:rPr>
          <w:rFonts w:eastAsia="Times New Roman"/>
          <w:color w:val="000000"/>
          <w:szCs w:val="24"/>
          <w:lang w:val="uk-UA"/>
        </w:rPr>
        <w:t xml:space="preserve"> постійно забезпечується інформування МФУ, ЄБРР, НЕФКО по показниках, що стосуються надання Тернопільською міською радою місцевих гарантій за кредитами, залученими КП фірма теплових мереж «Тернопільміськтеплокомуненерго».</w:t>
      </w:r>
    </w:p>
    <w:p w:rsidR="00476915" w:rsidRDefault="00476915" w:rsidP="00476915">
      <w:pPr>
        <w:ind w:firstLine="360"/>
        <w:jc w:val="both"/>
        <w:rPr>
          <w:rFonts w:eastAsia="Times New Roman"/>
          <w:szCs w:val="24"/>
          <w:lang w:val="uk-UA"/>
        </w:rPr>
      </w:pPr>
      <w:r>
        <w:rPr>
          <w:rFonts w:eastAsia="Times New Roman"/>
          <w:szCs w:val="24"/>
          <w:lang w:val="uk-UA"/>
        </w:rPr>
        <w:t xml:space="preserve">    Крім того, управлінням підготовлено пакет документів  по питанню  надання місцевої гарантії за кредитом Європейського Інвестиційного банку  комунальному підприємству «Міськавтотранс» з метою реалізації проекту « Міський громадський транспорт в Україні»,  для  їх погодження Міністерством фінансів України. </w:t>
      </w:r>
    </w:p>
    <w:p w:rsidR="00476915" w:rsidRDefault="00476915" w:rsidP="00476915">
      <w:pPr>
        <w:spacing w:after="120"/>
        <w:ind w:firstLine="360"/>
        <w:jc w:val="both"/>
        <w:rPr>
          <w:rFonts w:eastAsia="Times New Roman"/>
          <w:color w:val="000000"/>
          <w:szCs w:val="24"/>
          <w:lang w:val="uk-UA"/>
        </w:rPr>
      </w:pPr>
      <w:r>
        <w:rPr>
          <w:rFonts w:eastAsia="Times New Roman"/>
          <w:szCs w:val="24"/>
          <w:lang w:val="uk-UA"/>
        </w:rPr>
        <w:t xml:space="preserve">Крім того,  територіальна громада вперше залучатиме кошти від місцевих запозичень, які дозволять  задіяти додаткові фінансові ресурси для реалізації інвестиційних проектів  в сфері енергозбереження та енергоефективності. Це  -  кредити Північної екологічної фінансової корпорації (НЕФКО) для фінансування інвестиційного проекту «Реконструкція системи зовнішнього освітлення м. Тернополя «Світло без ртуті» -  в сумі 12,5 млн.грн.  та Європейського інвестиційного банку для фінансування проекту «Глибока термомодернізація будівель закладів освіти м. Тернополя» в сумі  біля 900,0  млн.грн. ( 25,4 млн. євро).   </w:t>
      </w:r>
      <w:r>
        <w:rPr>
          <w:rFonts w:eastAsia="Times New Roman"/>
          <w:color w:val="000000"/>
          <w:szCs w:val="24"/>
          <w:lang w:val="uk-UA"/>
        </w:rPr>
        <w:t xml:space="preserve">  </w:t>
      </w:r>
    </w:p>
    <w:p w:rsidR="00476915" w:rsidRDefault="00476915" w:rsidP="00476915">
      <w:pPr>
        <w:spacing w:after="120"/>
        <w:ind w:firstLine="360"/>
        <w:jc w:val="both"/>
        <w:rPr>
          <w:rFonts w:eastAsia="Times New Roman"/>
          <w:b/>
          <w:szCs w:val="24"/>
          <w:lang w:val="uk-UA"/>
        </w:rPr>
      </w:pPr>
    </w:p>
    <w:p w:rsidR="00476915" w:rsidRDefault="00476915" w:rsidP="00476915">
      <w:pPr>
        <w:widowControl w:val="0"/>
        <w:jc w:val="both"/>
        <w:outlineLvl w:val="0"/>
        <w:rPr>
          <w:rFonts w:eastAsia="Times New Roman"/>
          <w:szCs w:val="24"/>
          <w:lang w:val="uk-UA"/>
        </w:rPr>
      </w:pPr>
      <w:r>
        <w:rPr>
          <w:rFonts w:eastAsia="Times New Roman"/>
          <w:szCs w:val="24"/>
          <w:lang w:val="uk-UA"/>
        </w:rPr>
        <w:t xml:space="preserve">Начальник фінансового управління                                                             Н.П.Кучер </w:t>
      </w:r>
    </w:p>
    <w:p w:rsidR="00476915" w:rsidRDefault="00476915" w:rsidP="00476915">
      <w:pPr>
        <w:widowControl w:val="0"/>
        <w:jc w:val="both"/>
        <w:outlineLvl w:val="0"/>
        <w:rPr>
          <w:rFonts w:eastAsia="Times New Roman"/>
          <w:szCs w:val="24"/>
          <w:lang w:val="uk-UA"/>
        </w:rPr>
      </w:pPr>
    </w:p>
    <w:p w:rsidR="00476915" w:rsidRDefault="00476915" w:rsidP="00476915">
      <w:pPr>
        <w:jc w:val="both"/>
        <w:rPr>
          <w:rFonts w:eastAsia="Times New Roman"/>
          <w:szCs w:val="24"/>
          <w:lang w:val="uk-UA"/>
        </w:rPr>
      </w:pPr>
      <w:r>
        <w:rPr>
          <w:rFonts w:eastAsia="Times New Roman"/>
          <w:szCs w:val="24"/>
          <w:lang w:val="uk-UA"/>
        </w:rPr>
        <w:t>Заступник міського голови-</w:t>
      </w:r>
    </w:p>
    <w:p w:rsidR="00476915" w:rsidRDefault="00476915" w:rsidP="00476915">
      <w:pPr>
        <w:jc w:val="both"/>
        <w:rPr>
          <w:rFonts w:eastAsia="Times New Roman"/>
          <w:szCs w:val="24"/>
          <w:lang w:val="uk-UA"/>
        </w:rPr>
      </w:pPr>
      <w:r>
        <w:rPr>
          <w:rFonts w:eastAsia="Times New Roman"/>
          <w:szCs w:val="24"/>
          <w:lang w:val="uk-UA"/>
        </w:rPr>
        <w:t xml:space="preserve">керуючий справами                                                                                       І.С.Хімейчук </w:t>
      </w:r>
    </w:p>
    <w:p w:rsidR="00476915" w:rsidRDefault="00476915" w:rsidP="00476915">
      <w:pPr>
        <w:jc w:val="both"/>
        <w:rPr>
          <w:rFonts w:eastAsia="Times New Roman"/>
          <w:szCs w:val="24"/>
          <w:lang w:val="uk-UA"/>
        </w:rPr>
      </w:pPr>
      <w:r>
        <w:rPr>
          <w:rFonts w:eastAsia="Times New Roman"/>
          <w:szCs w:val="24"/>
          <w:lang w:val="uk-UA"/>
        </w:rPr>
        <w:lastRenderedPageBreak/>
        <w:t xml:space="preserve">            </w:t>
      </w:r>
    </w:p>
    <w:p w:rsidR="00476915" w:rsidRDefault="00476915" w:rsidP="00476915">
      <w:pPr>
        <w:jc w:val="both"/>
        <w:rPr>
          <w:rFonts w:eastAsia="Times New Roman"/>
          <w:szCs w:val="24"/>
          <w:lang w:val="uk-UA"/>
        </w:rPr>
      </w:pPr>
      <w:r>
        <w:rPr>
          <w:rFonts w:eastAsia="Times New Roman"/>
          <w:szCs w:val="24"/>
          <w:lang w:val="uk-UA"/>
        </w:rPr>
        <w:t>Міський голова                                                                                               С.В.Надал</w:t>
      </w:r>
    </w:p>
    <w:p w:rsidR="00476915" w:rsidRDefault="00476915" w:rsidP="00476915">
      <w:pPr>
        <w:rPr>
          <w:rFonts w:eastAsia="Calibri"/>
          <w:lang w:val="uk-UA" w:eastAsia="en-US"/>
        </w:rPr>
      </w:pPr>
    </w:p>
    <w:p w:rsidR="00476915" w:rsidRDefault="00476915" w:rsidP="00476915">
      <w:pPr>
        <w:rPr>
          <w:lang w:val="uk-UA"/>
        </w:rPr>
      </w:pPr>
      <w:r>
        <w:rPr>
          <w:lang w:val="uk-UA"/>
        </w:rPr>
        <w:t xml:space="preserve">                                                                        </w:t>
      </w:r>
    </w:p>
    <w:p w:rsidR="00000000" w:rsidRDefault="0047691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F77"/>
    <w:multiLevelType w:val="hybridMultilevel"/>
    <w:tmpl w:val="FAB82B36"/>
    <w:lvl w:ilvl="0" w:tplc="E0D289A4">
      <w:numFmt w:val="bullet"/>
      <w:lvlText w:val="-"/>
      <w:lvlJc w:val="left"/>
      <w:pPr>
        <w:ind w:left="106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797D04F6"/>
    <w:multiLevelType w:val="hybridMultilevel"/>
    <w:tmpl w:val="69627270"/>
    <w:lvl w:ilvl="0" w:tplc="7ECCD052">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6915"/>
    <w:rsid w:val="00476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6915"/>
    <w:pPr>
      <w:spacing w:after="0" w:line="240" w:lineRule="auto"/>
    </w:pPr>
    <w:rPr>
      <w:rFonts w:ascii="Calibri" w:eastAsia="Times New Roman" w:hAnsi="Calibri" w:cs="Times New Roman"/>
    </w:rPr>
  </w:style>
  <w:style w:type="paragraph" w:styleId="a4">
    <w:name w:val="List Paragraph"/>
    <w:basedOn w:val="a"/>
    <w:uiPriority w:val="34"/>
    <w:qFormat/>
    <w:rsid w:val="00476915"/>
    <w:pPr>
      <w:spacing w:after="0" w:line="240" w:lineRule="auto"/>
      <w:ind w:left="708"/>
    </w:pPr>
    <w:rPr>
      <w:rFonts w:ascii="Arial Unicode MS" w:eastAsia="Arial Unicode MS" w:hAnsi="Arial Unicode MS" w:cs="Arial Unicode MS"/>
      <w:color w:val="000000"/>
      <w:sz w:val="24"/>
      <w:szCs w:val="24"/>
      <w:lang w:eastAsia="uk-UA"/>
    </w:rPr>
  </w:style>
  <w:style w:type="character" w:styleId="a5">
    <w:name w:val="Hyperlink"/>
    <w:basedOn w:val="a0"/>
    <w:uiPriority w:val="99"/>
    <w:semiHidden/>
    <w:unhideWhenUsed/>
    <w:rsid w:val="00476915"/>
    <w:rPr>
      <w:color w:val="0000FF"/>
      <w:u w:val="single"/>
    </w:rPr>
  </w:style>
</w:styles>
</file>

<file path=word/webSettings.xml><?xml version="1.0" encoding="utf-8"?>
<w:webSettings xmlns:r="http://schemas.openxmlformats.org/officeDocument/2006/relationships" xmlns:w="http://schemas.openxmlformats.org/wordprocessingml/2006/main">
  <w:divs>
    <w:div w:id="4088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a.te.ua@ukr.net" TargetMode="External"/><Relationship Id="rId5" Type="http://schemas.openxmlformats.org/officeDocument/2006/relationships/hyperlink" Target="http://rada.te.ua/normativnie-dokument/byudget_mista_tern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3275</Words>
  <Characters>18669</Characters>
  <Application>Microsoft Office Word</Application>
  <DocSecurity>0</DocSecurity>
  <Lines>155</Lines>
  <Paragraphs>43</Paragraphs>
  <ScaleCrop>false</ScaleCrop>
  <Company>Reanimator Extreme Edition</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2019-12-21T10:02:00Z</dcterms:created>
  <dcterms:modified xsi:type="dcterms:W3CDTF">2019-12-21T10:03:00Z</dcterms:modified>
</cp:coreProperties>
</file>