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A2" w:rsidRDefault="00790AA2" w:rsidP="00790AA2">
      <w:pPr>
        <w:ind w:firstLine="851"/>
        <w:jc w:val="right"/>
        <w:rPr>
          <w:lang w:val="uk-UA"/>
        </w:rPr>
      </w:pPr>
      <w:r>
        <w:rPr>
          <w:lang w:val="uk-UA"/>
        </w:rPr>
        <w:t>Додаток до рішення</w:t>
      </w:r>
    </w:p>
    <w:p w:rsidR="00790AA2" w:rsidRDefault="00790AA2" w:rsidP="00790AA2">
      <w:pPr>
        <w:ind w:firstLine="851"/>
        <w:jc w:val="right"/>
        <w:rPr>
          <w:lang w:val="uk-UA"/>
        </w:rPr>
      </w:pPr>
      <w:r>
        <w:rPr>
          <w:lang w:val="uk-UA"/>
        </w:rPr>
        <w:t>виконавчого комітету</w:t>
      </w:r>
    </w:p>
    <w:p w:rsidR="00790AA2" w:rsidRDefault="00790AA2" w:rsidP="00790AA2">
      <w:pPr>
        <w:ind w:firstLine="851"/>
        <w:jc w:val="right"/>
      </w:pPr>
      <w:r>
        <w:rPr>
          <w:lang w:val="uk-UA"/>
        </w:rPr>
        <w:t xml:space="preserve">від </w:t>
      </w:r>
      <w:r>
        <w:t>18.</w:t>
      </w:r>
      <w:r>
        <w:rPr>
          <w:lang w:val="en-US"/>
        </w:rPr>
        <w:t>12.2019</w:t>
      </w:r>
      <w:r>
        <w:rPr>
          <w:lang w:val="uk-UA"/>
        </w:rPr>
        <w:t xml:space="preserve"> року №</w:t>
      </w:r>
      <w:r>
        <w:t>1190</w:t>
      </w:r>
    </w:p>
    <w:p w:rsidR="00790AA2" w:rsidRDefault="00790AA2" w:rsidP="00790AA2">
      <w:pPr>
        <w:spacing w:before="240" w:after="120"/>
        <w:ind w:firstLine="851"/>
        <w:jc w:val="center"/>
        <w:rPr>
          <w:b/>
          <w:lang w:val="uk-UA"/>
        </w:rPr>
      </w:pPr>
    </w:p>
    <w:p w:rsidR="00790AA2" w:rsidRDefault="00790AA2" w:rsidP="00790AA2">
      <w:pPr>
        <w:spacing w:before="240" w:after="120"/>
        <w:ind w:firstLine="851"/>
        <w:jc w:val="center"/>
        <w:rPr>
          <w:b/>
          <w:lang w:val="uk-UA"/>
        </w:rPr>
      </w:pPr>
      <w:r>
        <w:rPr>
          <w:b/>
          <w:lang w:val="uk-UA"/>
        </w:rPr>
        <w:t>Звіт про роботу управління стратегічного розвитку міста за 2019 рік</w:t>
      </w:r>
    </w:p>
    <w:p w:rsidR="00790AA2" w:rsidRDefault="00790AA2" w:rsidP="00790AA2">
      <w:pPr>
        <w:widowControl w:val="0"/>
        <w:ind w:firstLine="851"/>
        <w:jc w:val="both"/>
        <w:rPr>
          <w:lang w:val="uk-UA"/>
        </w:rPr>
      </w:pPr>
    </w:p>
    <w:p w:rsidR="00790AA2" w:rsidRDefault="00790AA2" w:rsidP="00790AA2">
      <w:pPr>
        <w:widowControl w:val="0"/>
        <w:ind w:firstLine="851"/>
        <w:jc w:val="center"/>
        <w:rPr>
          <w:b/>
          <w:lang w:val="uk-UA"/>
        </w:rPr>
      </w:pPr>
      <w:r>
        <w:rPr>
          <w:b/>
          <w:lang w:val="uk-UA"/>
        </w:rPr>
        <w:t>1. Міжнародне співробітництво</w:t>
      </w:r>
    </w:p>
    <w:p w:rsidR="00790AA2" w:rsidRDefault="00790AA2" w:rsidP="00790AA2">
      <w:pPr>
        <w:widowControl w:val="0"/>
        <w:ind w:firstLine="851"/>
        <w:jc w:val="both"/>
        <w:rPr>
          <w:lang w:val="uk-UA"/>
        </w:rPr>
      </w:pPr>
      <w:r>
        <w:rPr>
          <w:lang w:val="uk-UA"/>
        </w:rPr>
        <w:t>Місто Тернопіль веде активну міжнародну діяльність відповідно до діючої Програми розвитку міжнародного співробітництва і туризму Тернопільської міської територіальної громади на 2019-2021 роки</w:t>
      </w:r>
    </w:p>
    <w:p w:rsidR="00790AA2" w:rsidRDefault="00790AA2" w:rsidP="00790AA2">
      <w:pPr>
        <w:widowControl w:val="0"/>
        <w:ind w:firstLine="851"/>
        <w:jc w:val="both"/>
        <w:rPr>
          <w:lang w:val="uk-UA"/>
        </w:rPr>
      </w:pPr>
      <w:r>
        <w:rPr>
          <w:lang w:val="uk-UA"/>
        </w:rPr>
        <w:t>В рамках реалізації Програми в частині міжнародного співробітництва та відповідно до пріоритетних напрямків зовнішньої політики України у 2019 році управлінням було забезпечено проведення міжнародних заходів в місті за участю представників партнерських міст Тернополя згідно укладених угод, участь іноземних учасників у міжнародних заходах, що проводилися в місті у сфері культури, освіти, спорту та економіки. У міжнародних заходах за кордоном брали участь художні колективи, спортивні команди, учні та педагоги освітніх закладів міста та представники міської ради.</w:t>
      </w:r>
    </w:p>
    <w:p w:rsidR="00790AA2" w:rsidRDefault="00790AA2" w:rsidP="00790AA2">
      <w:pPr>
        <w:widowControl w:val="0"/>
        <w:ind w:firstLine="851"/>
        <w:jc w:val="both"/>
        <w:rPr>
          <w:lang w:val="uk-UA"/>
        </w:rPr>
      </w:pPr>
      <w:r>
        <w:rPr>
          <w:lang w:val="uk-UA"/>
        </w:rPr>
        <w:t xml:space="preserve">В 2019 році діяльність управління була спрямована на реалізацію таких напрямків роботи: </w:t>
      </w:r>
    </w:p>
    <w:p w:rsidR="00790AA2" w:rsidRDefault="00790AA2" w:rsidP="00790AA2">
      <w:pPr>
        <w:widowControl w:val="0"/>
        <w:ind w:firstLine="851"/>
        <w:jc w:val="both"/>
        <w:rPr>
          <w:lang w:val="uk-UA"/>
        </w:rPr>
      </w:pPr>
      <w:r>
        <w:rPr>
          <w:lang w:val="uk-UA"/>
        </w:rPr>
        <w:t xml:space="preserve">- співробітництво Тернополя із зарубіжними містами </w:t>
      </w:r>
    </w:p>
    <w:p w:rsidR="00790AA2" w:rsidRDefault="00790AA2" w:rsidP="00790AA2">
      <w:pPr>
        <w:widowControl w:val="0"/>
        <w:ind w:firstLine="851"/>
        <w:jc w:val="both"/>
        <w:rPr>
          <w:lang w:val="uk-UA"/>
        </w:rPr>
      </w:pPr>
      <w:r>
        <w:rPr>
          <w:lang w:val="uk-UA"/>
        </w:rPr>
        <w:t>- організація та проведення у місті міжнародних заходів - організація і забезпечення протокольних міжнародних заходів та зустрічей</w:t>
      </w:r>
    </w:p>
    <w:p w:rsidR="00790AA2" w:rsidRDefault="00790AA2" w:rsidP="00790AA2">
      <w:pPr>
        <w:widowControl w:val="0"/>
        <w:ind w:firstLine="851"/>
        <w:jc w:val="both"/>
        <w:rPr>
          <w:lang w:val="uk-UA"/>
        </w:rPr>
      </w:pPr>
      <w:r>
        <w:rPr>
          <w:lang w:val="uk-UA"/>
        </w:rPr>
        <w:t xml:space="preserve">- членство міста у міжнародних організаціях </w:t>
      </w:r>
    </w:p>
    <w:p w:rsidR="00790AA2" w:rsidRDefault="00790AA2" w:rsidP="00790AA2">
      <w:pPr>
        <w:widowControl w:val="0"/>
        <w:ind w:firstLine="851"/>
        <w:jc w:val="both"/>
        <w:rPr>
          <w:lang w:val="uk-UA"/>
        </w:rPr>
      </w:pPr>
      <w:r>
        <w:rPr>
          <w:lang w:val="uk-UA"/>
        </w:rPr>
        <w:t>- сприяння реалізації міжнародних проектів</w:t>
      </w:r>
    </w:p>
    <w:p w:rsidR="00790AA2" w:rsidRDefault="00790AA2" w:rsidP="00790AA2">
      <w:pPr>
        <w:widowControl w:val="0"/>
        <w:ind w:firstLine="851"/>
        <w:jc w:val="both"/>
        <w:rPr>
          <w:lang w:val="uk-UA"/>
        </w:rPr>
      </w:pPr>
      <w:r>
        <w:rPr>
          <w:lang w:val="uk-UA"/>
        </w:rPr>
        <w:t xml:space="preserve">- участь міста у міжнародних комунікативних заходах (конференціях, семінарах, круглих столах, програмах по обміну досвідом, навчальних програмах та тренінгах) - забезпечення позитивного іміджу Тернополя за кордоном та серед представників іноземних дипломатичних установ </w:t>
      </w:r>
    </w:p>
    <w:p w:rsidR="00790AA2" w:rsidRDefault="00790AA2" w:rsidP="00790AA2">
      <w:pPr>
        <w:widowControl w:val="0"/>
        <w:ind w:firstLine="851"/>
        <w:jc w:val="both"/>
        <w:rPr>
          <w:lang w:val="uk-UA"/>
        </w:rPr>
      </w:pPr>
      <w:r>
        <w:rPr>
          <w:lang w:val="uk-UA"/>
        </w:rPr>
        <w:t>- забезпечення співробітництва міської влади та міжнародних компаній та організацій, здатних виступити учасниками важливих для економіки міста проектів</w:t>
      </w:r>
    </w:p>
    <w:p w:rsidR="00790AA2" w:rsidRDefault="00790AA2" w:rsidP="00790AA2">
      <w:pPr>
        <w:widowControl w:val="0"/>
        <w:ind w:firstLine="851"/>
        <w:jc w:val="both"/>
        <w:rPr>
          <w:lang w:val="uk-UA"/>
        </w:rPr>
      </w:pPr>
      <w:r>
        <w:rPr>
          <w:lang w:val="uk-UA"/>
        </w:rPr>
        <w:t xml:space="preserve">У 2019 році значно посилилася робота у напрямку співробітництва з містами -партнерами Тернополя. Зокрема, збільшилась кількість реалізованих спільних проектів з естонським містом Вільянді та 24 серпня 2019 року під час святкування Дня міста Тернополя на Конференції партнерських міст відбулось підписання Договору про співробітництво з містом Вільянді. </w:t>
      </w:r>
    </w:p>
    <w:p w:rsidR="00790AA2" w:rsidRDefault="00790AA2" w:rsidP="00790AA2">
      <w:pPr>
        <w:widowControl w:val="0"/>
        <w:ind w:firstLine="851"/>
        <w:jc w:val="both"/>
        <w:rPr>
          <w:lang w:val="uk-UA"/>
        </w:rPr>
      </w:pPr>
      <w:r>
        <w:rPr>
          <w:lang w:val="uk-UA"/>
        </w:rPr>
        <w:t xml:space="preserve">Завдяки співпраці з українською громадою штату Парана, відбувся візит делегації міста на чолі з міським головою до Бразилії, де 6 березня 2019 року підписано Угоду про партнерство і співробітництво з бразильським містом Прудентополіс.  </w:t>
      </w:r>
    </w:p>
    <w:p w:rsidR="00790AA2" w:rsidRDefault="00790AA2" w:rsidP="00790AA2">
      <w:pPr>
        <w:ind w:firstLine="851"/>
        <w:jc w:val="both"/>
        <w:rPr>
          <w:lang w:val="uk-UA"/>
        </w:rPr>
      </w:pPr>
      <w:r>
        <w:rPr>
          <w:lang w:val="uk-UA"/>
        </w:rPr>
        <w:lastRenderedPageBreak/>
        <w:t xml:space="preserve">Коло партнерських міст Тернополя розширилося завдяки долученню двох білоруських міст – Пінська та Гродно. В рамках Другого форуму регіонів України та Білорусі, що відбувся 3 жовтня 2019 року у Житомирі, підписано Угоду про партнерство і співробітництва між Тернополем та Пінськом та Угоду про партнерство між Тернополем та Гродно. </w:t>
      </w:r>
    </w:p>
    <w:p w:rsidR="00790AA2" w:rsidRDefault="00790AA2" w:rsidP="00790AA2">
      <w:pPr>
        <w:widowControl w:val="0"/>
        <w:ind w:firstLine="851"/>
        <w:jc w:val="both"/>
        <w:rPr>
          <w:lang w:val="uk-UA"/>
        </w:rPr>
      </w:pPr>
      <w:r>
        <w:rPr>
          <w:lang w:val="uk-UA"/>
        </w:rPr>
        <w:t>Таким чином, на даний час місто Тернопіль співпрацює з 30 муніципалітетами європейських та інших міст (рис. 1).</w:t>
      </w:r>
    </w:p>
    <w:p w:rsidR="00790AA2" w:rsidRDefault="00790AA2" w:rsidP="00790AA2">
      <w:pPr>
        <w:widowControl w:val="0"/>
        <w:ind w:firstLine="851"/>
        <w:jc w:val="both"/>
        <w:rPr>
          <w:lang w:val="uk-UA"/>
        </w:rPr>
      </w:pPr>
      <w:r>
        <w:rPr>
          <w:lang w:val="uk-UA"/>
        </w:rPr>
        <w:t>Серед них – міста-побратими (4 міста), з якими урочисто укладені Присяги про побратимство: Хожув (Польща), Батумі (Грузія), Тарнув (Польща), Тирасполь (Молдова).</w:t>
      </w:r>
    </w:p>
    <w:p w:rsidR="00790AA2" w:rsidRDefault="00790AA2" w:rsidP="00790AA2">
      <w:pPr>
        <w:widowControl w:val="0"/>
        <w:ind w:firstLine="851"/>
        <w:jc w:val="both"/>
        <w:rPr>
          <w:lang w:val="uk-UA"/>
        </w:rPr>
      </w:pPr>
      <w:r>
        <w:rPr>
          <w:lang w:val="uk-UA"/>
        </w:rPr>
        <w:t xml:space="preserve">Партнерські міста (19 міст): Ельблонг (Польща), Радом (Польща), Новотомишльський повіт (Польща), Вільянді (Естонія), Шумен (Болгарія), Слівен (Болгарія), Ялова (Туреччина), Мурсія (Іспанія), Суленцінський повіт (Польща), Таураге (Литва), ЄлєняГура (Польща), Ниса (Польща), Плонськ (Польща), Сувалки (Польща), Апостолес (Аргентина), Парма (США), Пінськ (Білорусь), Гродно (Білорусь), Прудентополіс (Бразилія). </w:t>
      </w:r>
    </w:p>
    <w:p w:rsidR="00790AA2" w:rsidRDefault="00790AA2" w:rsidP="00790AA2">
      <w:pPr>
        <w:widowControl w:val="0"/>
        <w:ind w:firstLine="851"/>
        <w:jc w:val="both"/>
        <w:rPr>
          <w:lang w:val="uk-UA"/>
        </w:rPr>
      </w:pPr>
      <w:r>
        <w:rPr>
          <w:lang w:val="uk-UA"/>
        </w:rPr>
        <w:t>Дружні міста (7 міст): Люблін (Польща), Йонкерс (США), Торонто (Канада), Касторія (Греція), Бжег (Польща), Ольштин (Польща), Соколов-Подляський повіт (Польща).</w:t>
      </w:r>
    </w:p>
    <w:p w:rsidR="00790AA2" w:rsidRDefault="00790AA2" w:rsidP="00790AA2">
      <w:pPr>
        <w:widowControl w:val="0"/>
        <w:ind w:firstLine="851"/>
        <w:jc w:val="both"/>
        <w:rPr>
          <w:lang w:val="uk-UA"/>
        </w:rPr>
      </w:pPr>
    </w:p>
    <w:p w:rsidR="00790AA2" w:rsidRDefault="00790AA2" w:rsidP="00790AA2">
      <w:pPr>
        <w:widowControl w:val="0"/>
        <w:jc w:val="both"/>
        <w:rPr>
          <w:lang w:val="uk-UA"/>
        </w:rPr>
      </w:pPr>
    </w:p>
    <w:p w:rsidR="00790AA2" w:rsidRDefault="00790AA2" w:rsidP="00790AA2">
      <w:pPr>
        <w:widowControl w:val="0"/>
        <w:ind w:firstLine="851"/>
        <w:jc w:val="center"/>
        <w:rPr>
          <w:b/>
          <w:bCs/>
          <w:lang w:val="uk-UA"/>
        </w:rPr>
      </w:pPr>
      <w:r>
        <w:rPr>
          <w:b/>
          <w:bCs/>
          <w:lang w:val="uk-UA"/>
        </w:rPr>
        <w:t>Рис. 1. Динаміка кількості партнерських міст Тернополя з муніципалітетами Європи та світу</w:t>
      </w:r>
    </w:p>
    <w:p w:rsidR="00790AA2" w:rsidRDefault="00790AA2" w:rsidP="00790AA2">
      <w:pPr>
        <w:widowControl w:val="0"/>
        <w:jc w:val="center"/>
        <w:rPr>
          <w:b/>
          <w:bCs/>
          <w:lang w:val="uk-UA"/>
        </w:rPr>
      </w:pPr>
    </w:p>
    <w:p w:rsidR="00790AA2" w:rsidRDefault="00790AA2" w:rsidP="00790AA2">
      <w:pPr>
        <w:widowControl w:val="0"/>
        <w:ind w:firstLine="851"/>
        <w:jc w:val="center"/>
        <w:rPr>
          <w:b/>
          <w:bCs/>
          <w:lang w:val="uk-UA"/>
        </w:rPr>
      </w:pPr>
      <w:r>
        <w:rPr>
          <w:b/>
          <w:bCs/>
          <w:lang w:val="uk-UA"/>
        </w:rPr>
        <w:t>Рис. 2. Динаміка діяльності міста у сфері міжнародного співробітництва</w:t>
      </w:r>
    </w:p>
    <w:p w:rsidR="00790AA2" w:rsidRDefault="00790AA2" w:rsidP="00790AA2">
      <w:pPr>
        <w:widowControl w:val="0"/>
        <w:ind w:firstLine="851"/>
        <w:jc w:val="both"/>
        <w:rPr>
          <w:bCs/>
          <w:lang w:val="uk-UA"/>
        </w:rPr>
      </w:pPr>
    </w:p>
    <w:p w:rsidR="00790AA2" w:rsidRDefault="00790AA2" w:rsidP="00790AA2">
      <w:pPr>
        <w:widowControl w:val="0"/>
        <w:ind w:firstLine="851"/>
        <w:jc w:val="both"/>
        <w:rPr>
          <w:lang w:val="uk-UA"/>
        </w:rPr>
      </w:pPr>
      <w:r>
        <w:rPr>
          <w:bCs/>
          <w:lang w:val="uk-UA"/>
        </w:rPr>
        <w:t>Міжнародна діяльність управління за 10 міс. 2019 року:</w:t>
      </w:r>
    </w:p>
    <w:p w:rsidR="00790AA2" w:rsidRDefault="00790AA2" w:rsidP="00790AA2">
      <w:pPr>
        <w:widowControl w:val="0"/>
        <w:ind w:firstLine="851"/>
        <w:jc w:val="both"/>
        <w:rPr>
          <w:i/>
          <w:lang w:val="uk-UA"/>
        </w:rPr>
      </w:pPr>
      <w:r>
        <w:rPr>
          <w:i/>
          <w:lang w:val="uk-UA"/>
        </w:rPr>
        <w:t xml:space="preserve">1. Забезпечено перебування представників міст-побратимів та партнерських міст та іноземних делегацій в міжнародних заходах </w:t>
      </w:r>
      <w:r>
        <w:rPr>
          <w:b/>
          <w:i/>
          <w:lang w:val="uk-UA"/>
        </w:rPr>
        <w:t xml:space="preserve">у Тернополі, </w:t>
      </w:r>
      <w:r>
        <w:rPr>
          <w:i/>
          <w:lang w:val="uk-UA"/>
        </w:rPr>
        <w:t>візити представників міжнародних організацій та  ділових кіл, міжнародні зустрічі :</w:t>
      </w:r>
    </w:p>
    <w:p w:rsidR="00790AA2" w:rsidRDefault="00790AA2" w:rsidP="00790AA2">
      <w:pPr>
        <w:pStyle w:val="a3"/>
        <w:numPr>
          <w:ilvl w:val="0"/>
          <w:numId w:val="1"/>
        </w:numPr>
        <w:suppressAutoHyphens/>
        <w:spacing w:line="276" w:lineRule="auto"/>
        <w:ind w:left="0" w:firstLine="851"/>
        <w:jc w:val="both"/>
        <w:rPr>
          <w:lang w:val="uk-UA"/>
        </w:rPr>
      </w:pPr>
      <w:r>
        <w:rPr>
          <w:lang w:val="uk-UA"/>
        </w:rPr>
        <w:t xml:space="preserve">3 січня – організовано зустріч начальника міського відділу УДСУ в Тернопільській області Поворозника В.М. з представником пожежної служби Греції в Європейській Пожежній Асоціації п. ГрегоріСкладопулосом. Обговорено перспективи співпраці. </w:t>
      </w:r>
    </w:p>
    <w:p w:rsidR="00790AA2" w:rsidRDefault="00790AA2" w:rsidP="00790AA2">
      <w:pPr>
        <w:pStyle w:val="a3"/>
        <w:numPr>
          <w:ilvl w:val="0"/>
          <w:numId w:val="1"/>
        </w:numPr>
        <w:suppressAutoHyphens/>
        <w:spacing w:line="276" w:lineRule="auto"/>
        <w:ind w:left="0" w:firstLine="851"/>
        <w:jc w:val="both"/>
        <w:rPr>
          <w:lang w:val="uk-UA"/>
        </w:rPr>
      </w:pPr>
      <w:r>
        <w:rPr>
          <w:lang w:val="uk-UA"/>
        </w:rPr>
        <w:t xml:space="preserve">9 січня – організація зустрічі голови Тернопільської обласної ради профспілок Присяжного А.В. з представником грецької профспілки. </w:t>
      </w:r>
    </w:p>
    <w:p w:rsidR="00790AA2" w:rsidRDefault="00790AA2" w:rsidP="00790AA2">
      <w:pPr>
        <w:numPr>
          <w:ilvl w:val="0"/>
          <w:numId w:val="1"/>
        </w:numPr>
        <w:spacing w:after="0"/>
        <w:ind w:left="0" w:firstLine="851"/>
        <w:jc w:val="both"/>
        <w:rPr>
          <w:lang w:val="uk-UA"/>
        </w:rPr>
      </w:pPr>
      <w:r>
        <w:rPr>
          <w:lang w:val="uk-UA"/>
        </w:rPr>
        <w:t xml:space="preserve">21 лютого відбулася зустріч з міським головою директора компанії RANWATTA, Шрі Ланка. </w:t>
      </w:r>
    </w:p>
    <w:p w:rsidR="00790AA2" w:rsidRDefault="00790AA2" w:rsidP="00790AA2">
      <w:pPr>
        <w:pStyle w:val="a3"/>
        <w:numPr>
          <w:ilvl w:val="0"/>
          <w:numId w:val="1"/>
        </w:numPr>
        <w:suppressAutoHyphens/>
        <w:spacing w:line="276" w:lineRule="auto"/>
        <w:ind w:left="0" w:firstLine="851"/>
        <w:jc w:val="both"/>
        <w:rPr>
          <w:lang w:val="uk-UA"/>
        </w:rPr>
      </w:pPr>
      <w:r>
        <w:rPr>
          <w:lang w:val="uk-UA"/>
        </w:rPr>
        <w:t xml:space="preserve">7-11 травня в Тернополі перебувала група учасників українсько – естонського проекту, що реалізовувався з партнерським містом Вільянді.  </w:t>
      </w:r>
    </w:p>
    <w:p w:rsidR="00790AA2" w:rsidRDefault="00790AA2" w:rsidP="00790AA2">
      <w:pPr>
        <w:pStyle w:val="a3"/>
        <w:numPr>
          <w:ilvl w:val="0"/>
          <w:numId w:val="1"/>
        </w:numPr>
        <w:suppressAutoHyphens/>
        <w:spacing w:line="276" w:lineRule="auto"/>
        <w:ind w:left="0" w:firstLine="851"/>
        <w:jc w:val="both"/>
        <w:rPr>
          <w:lang w:val="uk-UA"/>
        </w:rPr>
      </w:pPr>
      <w:r>
        <w:rPr>
          <w:lang w:val="uk-UA"/>
        </w:rPr>
        <w:t xml:space="preserve">18 травня – в рамках святкування Днів Європи та Днів Польської культури делегація партнерського міста ЄлєняГура, Польща,  відвідала місто Тернопіль. </w:t>
      </w:r>
    </w:p>
    <w:p w:rsidR="00790AA2" w:rsidRDefault="00790AA2" w:rsidP="00790AA2">
      <w:pPr>
        <w:pStyle w:val="a3"/>
        <w:numPr>
          <w:ilvl w:val="0"/>
          <w:numId w:val="1"/>
        </w:numPr>
        <w:suppressAutoHyphens/>
        <w:spacing w:line="276" w:lineRule="auto"/>
        <w:ind w:left="0" w:firstLine="851"/>
        <w:jc w:val="both"/>
        <w:rPr>
          <w:lang w:val="uk-UA"/>
        </w:rPr>
      </w:pPr>
      <w:r>
        <w:rPr>
          <w:lang w:val="uk-UA"/>
        </w:rPr>
        <w:lastRenderedPageBreak/>
        <w:t>19 травня – в рамках святкування Днів Європи та Днів Польської культури делегація партнерського міста Вільянді, Естонія,  відвідала місто Тернопіль.</w:t>
      </w:r>
    </w:p>
    <w:p w:rsidR="00790AA2" w:rsidRDefault="00790AA2" w:rsidP="00790AA2">
      <w:pPr>
        <w:numPr>
          <w:ilvl w:val="0"/>
          <w:numId w:val="1"/>
        </w:numPr>
        <w:spacing w:after="0"/>
        <w:ind w:left="0" w:firstLine="851"/>
        <w:jc w:val="both"/>
        <w:rPr>
          <w:lang w:val="uk-UA"/>
        </w:rPr>
      </w:pPr>
      <w:r>
        <w:rPr>
          <w:lang w:val="uk-UA"/>
        </w:rPr>
        <w:t xml:space="preserve">23 травня – зустріч міського голови з делегацією представництва ЄС в Україні. Обговорення питань реалізації реформ в освітній галузі та охороні здоров’я, розвитку туризму в Тернополі, процесу децентралізації та об’єднання громад.   </w:t>
      </w:r>
    </w:p>
    <w:p w:rsidR="00790AA2" w:rsidRDefault="00790AA2" w:rsidP="00790AA2">
      <w:pPr>
        <w:numPr>
          <w:ilvl w:val="0"/>
          <w:numId w:val="1"/>
        </w:numPr>
        <w:spacing w:after="0"/>
        <w:ind w:left="0" w:firstLine="851"/>
        <w:jc w:val="both"/>
        <w:rPr>
          <w:lang w:val="uk-UA"/>
        </w:rPr>
      </w:pPr>
      <w:r>
        <w:rPr>
          <w:lang w:val="uk-UA"/>
        </w:rPr>
        <w:t xml:space="preserve">01 липня – зустріч міського голови з депутатом польського Сейму п. Марією Новак щодо розширення співпраці з партнерським містом Хожув. </w:t>
      </w:r>
    </w:p>
    <w:p w:rsidR="00790AA2" w:rsidRDefault="00790AA2" w:rsidP="00790AA2">
      <w:pPr>
        <w:numPr>
          <w:ilvl w:val="0"/>
          <w:numId w:val="1"/>
        </w:numPr>
        <w:spacing w:after="0"/>
        <w:ind w:left="0" w:firstLine="851"/>
        <w:jc w:val="both"/>
        <w:rPr>
          <w:lang w:val="uk-UA"/>
        </w:rPr>
      </w:pPr>
      <w:r>
        <w:rPr>
          <w:lang w:val="uk-UA"/>
        </w:rPr>
        <w:t xml:space="preserve">04 липня – зустріч заступника міського голови Хімейчука І.С. з польською делегацією гмінСулікув та Платерувка. </w:t>
      </w:r>
    </w:p>
    <w:p w:rsidR="00790AA2" w:rsidRDefault="00790AA2" w:rsidP="00790AA2">
      <w:pPr>
        <w:numPr>
          <w:ilvl w:val="0"/>
          <w:numId w:val="1"/>
        </w:numPr>
        <w:spacing w:after="0"/>
        <w:ind w:left="0" w:firstLine="851"/>
        <w:jc w:val="both"/>
        <w:rPr>
          <w:lang w:val="uk-UA"/>
        </w:rPr>
      </w:pPr>
      <w:r>
        <w:rPr>
          <w:lang w:val="uk-UA"/>
        </w:rPr>
        <w:t xml:space="preserve">13 липня – зустріч міського голови з громадянином Литовської республіки грузинського походження, який реалізовує проект “BuildingBridges – Vilnius –Tbilisi”. </w:t>
      </w:r>
    </w:p>
    <w:p w:rsidR="00790AA2" w:rsidRDefault="00790AA2" w:rsidP="00790AA2">
      <w:pPr>
        <w:numPr>
          <w:ilvl w:val="0"/>
          <w:numId w:val="1"/>
        </w:numPr>
        <w:suppressAutoHyphens/>
        <w:spacing w:after="0"/>
        <w:ind w:left="0" w:firstLine="851"/>
        <w:jc w:val="both"/>
        <w:rPr>
          <w:lang w:val="uk-UA"/>
        </w:rPr>
      </w:pPr>
      <w:r>
        <w:rPr>
          <w:lang w:val="uk-UA"/>
        </w:rPr>
        <w:t xml:space="preserve">22 липня – зустріч міського голови з делегацією представників ОБСЄ.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Вільянді, Естонія,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Плонськ, Польща,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Таураге, Литва,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Ниса, Польща,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Сувалкі, Польща,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Хожув, Польща,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Ельблонг, Польща,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ЄлєняГура, Польща, в святкуванні Днів міста Тернополя. </w:t>
      </w:r>
    </w:p>
    <w:p w:rsidR="00790AA2" w:rsidRDefault="00790AA2" w:rsidP="00790AA2">
      <w:pPr>
        <w:numPr>
          <w:ilvl w:val="0"/>
          <w:numId w:val="1"/>
        </w:numPr>
        <w:suppressAutoHyphens/>
        <w:spacing w:after="0"/>
        <w:ind w:left="0" w:firstLine="851"/>
        <w:jc w:val="both"/>
        <w:rPr>
          <w:lang w:val="uk-UA"/>
        </w:rPr>
      </w:pPr>
      <w:r>
        <w:rPr>
          <w:lang w:val="uk-UA"/>
        </w:rPr>
        <w:t xml:space="preserve">22-27 серпня – участь делегації партнерського міста Новий Томишль, Польща, в святкуванні Днів міста Тернополя. </w:t>
      </w:r>
    </w:p>
    <w:p w:rsidR="00790AA2" w:rsidRDefault="00790AA2" w:rsidP="00790AA2">
      <w:pPr>
        <w:pStyle w:val="a3"/>
        <w:numPr>
          <w:ilvl w:val="0"/>
          <w:numId w:val="1"/>
        </w:numPr>
        <w:suppressAutoHyphens/>
        <w:spacing w:line="276" w:lineRule="auto"/>
        <w:ind w:left="0" w:firstLine="851"/>
        <w:jc w:val="both"/>
        <w:rPr>
          <w:lang w:val="uk-UA"/>
        </w:rPr>
      </w:pPr>
      <w:r>
        <w:rPr>
          <w:lang w:val="uk-UA"/>
        </w:rPr>
        <w:t xml:space="preserve">23 серпня – візит делегації з польського міста Жнін. Обговорення досвіду Тернополя у проведенні міжнародних змагань з водно-моторного спорту. </w:t>
      </w:r>
    </w:p>
    <w:p w:rsidR="00790AA2" w:rsidRDefault="00790AA2" w:rsidP="00790AA2">
      <w:pPr>
        <w:pStyle w:val="a3"/>
        <w:numPr>
          <w:ilvl w:val="0"/>
          <w:numId w:val="1"/>
        </w:numPr>
        <w:suppressAutoHyphens/>
        <w:spacing w:line="276" w:lineRule="auto"/>
        <w:ind w:left="0" w:firstLine="851"/>
        <w:jc w:val="both"/>
        <w:rPr>
          <w:lang w:val="uk-UA"/>
        </w:rPr>
      </w:pPr>
      <w:r>
        <w:rPr>
          <w:lang w:val="uk-UA"/>
        </w:rPr>
        <w:t xml:space="preserve">27-29 серпня – у Міжнародному юнацькому футбольному турнірі в Тернополі взяли участь футбольні команди з міст Слівен (Болгарія), Таураге (Литва), Плонськ (Польща). </w:t>
      </w:r>
    </w:p>
    <w:p w:rsidR="00790AA2" w:rsidRDefault="00790AA2" w:rsidP="00790AA2">
      <w:pPr>
        <w:numPr>
          <w:ilvl w:val="0"/>
          <w:numId w:val="1"/>
        </w:numPr>
        <w:suppressAutoHyphens/>
        <w:spacing w:after="0"/>
        <w:ind w:left="0" w:firstLine="851"/>
        <w:jc w:val="both"/>
        <w:rPr>
          <w:lang w:val="uk-UA"/>
        </w:rPr>
      </w:pPr>
      <w:r>
        <w:rPr>
          <w:lang w:val="uk-UA"/>
        </w:rPr>
        <w:t xml:space="preserve">26 вересня відбулася зустріч міського голови з делегацією мерів міст Македонії. Темою зустрічі було обговорення питань , пов’язаних з культурою та культурною спадщиною. </w:t>
      </w:r>
    </w:p>
    <w:p w:rsidR="00790AA2" w:rsidRDefault="00790AA2" w:rsidP="00790AA2">
      <w:pPr>
        <w:widowControl w:val="0"/>
        <w:ind w:firstLine="851"/>
        <w:jc w:val="both"/>
        <w:rPr>
          <w:i/>
          <w:lang w:val="uk-UA"/>
        </w:rPr>
      </w:pPr>
      <w:r>
        <w:rPr>
          <w:i/>
          <w:lang w:val="uk-UA"/>
        </w:rPr>
        <w:t xml:space="preserve">2. Забезпечення участі культурних, спортивних та освітніх колективів, офіційних делегацій міста Тернополя у міжнародних заходах та зустрічах </w:t>
      </w:r>
      <w:r>
        <w:rPr>
          <w:b/>
          <w:i/>
          <w:lang w:val="uk-UA"/>
        </w:rPr>
        <w:t>за кордоном.</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30 січня – візит начальника відділу міжнародного співробітництва і туризму Кашицького В.В. до польського міста Бидгощ з метою налагодження співпраці та вивчення досвіду написання та реалізації міжнародних проектів. </w:t>
      </w:r>
    </w:p>
    <w:p w:rsidR="00790AA2" w:rsidRDefault="00790AA2" w:rsidP="00790AA2">
      <w:pPr>
        <w:numPr>
          <w:ilvl w:val="0"/>
          <w:numId w:val="2"/>
        </w:numPr>
        <w:spacing w:after="0"/>
        <w:ind w:left="0" w:firstLine="851"/>
        <w:jc w:val="both"/>
        <w:rPr>
          <w:lang w:val="uk-UA"/>
        </w:rPr>
      </w:pPr>
      <w:r>
        <w:rPr>
          <w:lang w:val="uk-UA"/>
        </w:rPr>
        <w:t xml:space="preserve">15-19 лютого – участь футбольної команди ТМР у Футбольному турнірі в партнерському місті Плонськ, Польща. </w:t>
      </w:r>
    </w:p>
    <w:p w:rsidR="00790AA2" w:rsidRDefault="00790AA2" w:rsidP="00790AA2">
      <w:pPr>
        <w:numPr>
          <w:ilvl w:val="0"/>
          <w:numId w:val="2"/>
        </w:numPr>
        <w:spacing w:after="0"/>
        <w:ind w:left="0" w:firstLine="851"/>
        <w:jc w:val="both"/>
        <w:rPr>
          <w:lang w:val="uk-UA"/>
        </w:rPr>
      </w:pPr>
      <w:r>
        <w:rPr>
          <w:lang w:val="uk-UA"/>
        </w:rPr>
        <w:t xml:space="preserve">1-9 березня – візит делегації ТМР на чолі з міським головою до бразильського міста Прудентополіс.  </w:t>
      </w:r>
    </w:p>
    <w:p w:rsidR="00790AA2" w:rsidRDefault="00790AA2" w:rsidP="00790AA2">
      <w:pPr>
        <w:numPr>
          <w:ilvl w:val="0"/>
          <w:numId w:val="2"/>
        </w:numPr>
        <w:spacing w:after="0"/>
        <w:ind w:left="0" w:firstLine="851"/>
        <w:jc w:val="both"/>
        <w:rPr>
          <w:lang w:val="uk-UA"/>
        </w:rPr>
      </w:pPr>
      <w:r>
        <w:rPr>
          <w:lang w:val="uk-UA"/>
        </w:rPr>
        <w:lastRenderedPageBreak/>
        <w:t xml:space="preserve">05-11 березня – участь команди Тернополя в Міжнародному турнірі по бриджу в партнерському місті Ельблонг, Польща. </w:t>
      </w:r>
    </w:p>
    <w:p w:rsidR="00790AA2" w:rsidRDefault="00790AA2" w:rsidP="00790AA2">
      <w:pPr>
        <w:numPr>
          <w:ilvl w:val="0"/>
          <w:numId w:val="2"/>
        </w:numPr>
        <w:spacing w:after="0"/>
        <w:ind w:left="0" w:firstLine="851"/>
        <w:jc w:val="both"/>
        <w:rPr>
          <w:lang w:val="uk-UA"/>
        </w:rPr>
      </w:pPr>
      <w:r>
        <w:rPr>
          <w:lang w:val="uk-UA"/>
        </w:rPr>
        <w:t xml:space="preserve">8-9 квітня – участь  заступника міського голови Бицюри Л.О. в V Європейському конгресі органів місцевого самоврядування в Кракові, Польща. </w:t>
      </w:r>
    </w:p>
    <w:p w:rsidR="00790AA2" w:rsidRDefault="00790AA2" w:rsidP="00790AA2">
      <w:pPr>
        <w:numPr>
          <w:ilvl w:val="0"/>
          <w:numId w:val="2"/>
        </w:numPr>
        <w:spacing w:after="0"/>
        <w:ind w:left="0" w:firstLine="851"/>
        <w:jc w:val="both"/>
        <w:rPr>
          <w:lang w:val="uk-UA"/>
        </w:rPr>
      </w:pPr>
      <w:r>
        <w:rPr>
          <w:lang w:val="uk-UA"/>
        </w:rPr>
        <w:t xml:space="preserve">2-5 травня – участь делегації ТМР в святкових заходах в місті Плонськ, Польща, з нагоди 15 – річчя вступу Польщі в ЄС. </w:t>
      </w:r>
    </w:p>
    <w:p w:rsidR="00790AA2" w:rsidRDefault="00790AA2" w:rsidP="00790AA2">
      <w:pPr>
        <w:numPr>
          <w:ilvl w:val="0"/>
          <w:numId w:val="2"/>
        </w:numPr>
        <w:spacing w:after="0"/>
        <w:ind w:left="0" w:firstLine="851"/>
        <w:jc w:val="both"/>
        <w:rPr>
          <w:lang w:val="uk-UA"/>
        </w:rPr>
      </w:pPr>
      <w:r>
        <w:rPr>
          <w:lang w:val="uk-UA"/>
        </w:rPr>
        <w:t xml:space="preserve">23-26 травня  – візит депутатів ТМР до м. Ниса на святкування Днів міста. </w:t>
      </w:r>
    </w:p>
    <w:p w:rsidR="00790AA2" w:rsidRDefault="00790AA2" w:rsidP="00790AA2">
      <w:pPr>
        <w:numPr>
          <w:ilvl w:val="0"/>
          <w:numId w:val="2"/>
        </w:numPr>
        <w:spacing w:after="0"/>
        <w:ind w:left="0" w:firstLine="851"/>
        <w:jc w:val="both"/>
        <w:rPr>
          <w:lang w:val="uk-UA"/>
        </w:rPr>
      </w:pPr>
      <w:r>
        <w:rPr>
          <w:lang w:val="uk-UA"/>
        </w:rPr>
        <w:t xml:space="preserve">27 травня-02 червня  – візит міського голови до Оттави, Канада на Форум «Партнерство «Відкритий уряд» 2019» </w:t>
      </w:r>
    </w:p>
    <w:p w:rsidR="00790AA2" w:rsidRDefault="00790AA2" w:rsidP="00790AA2">
      <w:pPr>
        <w:numPr>
          <w:ilvl w:val="0"/>
          <w:numId w:val="2"/>
        </w:numPr>
        <w:spacing w:after="0"/>
        <w:ind w:left="0" w:firstLine="851"/>
        <w:jc w:val="both"/>
        <w:rPr>
          <w:lang w:val="uk-UA"/>
        </w:rPr>
      </w:pPr>
      <w:r>
        <w:rPr>
          <w:lang w:val="uk-UA"/>
        </w:rPr>
        <w:t xml:space="preserve">31 травня-2 червня – візит делегації ТМР до м. Таураге, Литва , на святкування Днів міста. </w:t>
      </w:r>
    </w:p>
    <w:p w:rsidR="00790AA2" w:rsidRDefault="00790AA2" w:rsidP="00790AA2">
      <w:pPr>
        <w:numPr>
          <w:ilvl w:val="0"/>
          <w:numId w:val="2"/>
        </w:numPr>
        <w:spacing w:after="0"/>
        <w:ind w:left="0" w:firstLine="851"/>
        <w:jc w:val="both"/>
        <w:rPr>
          <w:lang w:val="uk-UA"/>
        </w:rPr>
      </w:pPr>
      <w:r>
        <w:rPr>
          <w:lang w:val="uk-UA"/>
        </w:rPr>
        <w:t xml:space="preserve">31 травня-3 червня – візит танцювального ансамблю БК «Березіль» «Сонечко» на Міжнародний дитячий фольклорний фестиваль танцю «Дружба без кордонів» у партнерському місті  Слівен, Болгарія. </w:t>
      </w:r>
    </w:p>
    <w:p w:rsidR="00790AA2" w:rsidRDefault="00790AA2" w:rsidP="00790AA2">
      <w:pPr>
        <w:numPr>
          <w:ilvl w:val="0"/>
          <w:numId w:val="2"/>
        </w:numPr>
        <w:spacing w:after="0"/>
        <w:ind w:left="0" w:firstLine="851"/>
        <w:jc w:val="both"/>
        <w:rPr>
          <w:lang w:val="uk-UA"/>
        </w:rPr>
      </w:pPr>
      <w:r>
        <w:rPr>
          <w:lang w:val="uk-UA"/>
        </w:rPr>
        <w:t xml:space="preserve">06-10 червня – візит делегації ТМР до м Вільянді, Естонія на святкування Ганзейських Днів. </w:t>
      </w:r>
    </w:p>
    <w:p w:rsidR="00790AA2" w:rsidRDefault="00790AA2" w:rsidP="00790AA2">
      <w:pPr>
        <w:numPr>
          <w:ilvl w:val="0"/>
          <w:numId w:val="2"/>
        </w:numPr>
        <w:spacing w:after="0"/>
        <w:ind w:left="0" w:firstLine="851"/>
        <w:jc w:val="both"/>
        <w:rPr>
          <w:lang w:val="uk-UA"/>
        </w:rPr>
      </w:pPr>
      <w:r>
        <w:rPr>
          <w:lang w:val="uk-UA"/>
        </w:rPr>
        <w:t xml:space="preserve">17-22 червня та 15-19 липня – на запрошення мерії міста Таураге дві групи дітей воїнів АТО відвідали Таураге з метою відпочинку та реабілітації. </w:t>
      </w:r>
    </w:p>
    <w:p w:rsidR="00790AA2" w:rsidRDefault="00790AA2" w:rsidP="00790AA2">
      <w:pPr>
        <w:numPr>
          <w:ilvl w:val="0"/>
          <w:numId w:val="2"/>
        </w:numPr>
        <w:spacing w:after="0"/>
        <w:ind w:left="0" w:firstLine="851"/>
        <w:jc w:val="both"/>
        <w:rPr>
          <w:lang w:val="uk-UA"/>
        </w:rPr>
      </w:pPr>
      <w:r>
        <w:rPr>
          <w:lang w:val="uk-UA"/>
        </w:rPr>
        <w:t xml:space="preserve">21-23 червня – візит делегації ТМР до м Тарнув на святкування Днів міста. </w:t>
      </w:r>
    </w:p>
    <w:p w:rsidR="00790AA2" w:rsidRDefault="00790AA2" w:rsidP="00790AA2">
      <w:pPr>
        <w:numPr>
          <w:ilvl w:val="0"/>
          <w:numId w:val="2"/>
        </w:numPr>
        <w:spacing w:after="0"/>
        <w:ind w:left="0" w:firstLine="851"/>
        <w:jc w:val="both"/>
        <w:rPr>
          <w:lang w:val="uk-UA"/>
        </w:rPr>
      </w:pPr>
      <w:r>
        <w:rPr>
          <w:lang w:val="uk-UA"/>
        </w:rPr>
        <w:t>04 липня – надано сприяння в організації етапу 21-го Естафетного бігу неповносправних людей у Тернополі.</w:t>
      </w:r>
    </w:p>
    <w:p w:rsidR="00790AA2" w:rsidRDefault="00790AA2" w:rsidP="00790AA2">
      <w:pPr>
        <w:numPr>
          <w:ilvl w:val="0"/>
          <w:numId w:val="2"/>
        </w:numPr>
        <w:spacing w:after="0"/>
        <w:ind w:left="0" w:firstLine="851"/>
        <w:jc w:val="both"/>
        <w:rPr>
          <w:lang w:val="uk-UA"/>
        </w:rPr>
      </w:pPr>
      <w:r>
        <w:rPr>
          <w:lang w:val="uk-UA"/>
        </w:rPr>
        <w:t xml:space="preserve">13-14 липня – організація перебування учасників проекту «Україна Інкогніта» у Тернополі. </w:t>
      </w:r>
    </w:p>
    <w:p w:rsidR="00790AA2" w:rsidRDefault="00790AA2" w:rsidP="00790AA2">
      <w:pPr>
        <w:numPr>
          <w:ilvl w:val="0"/>
          <w:numId w:val="2"/>
        </w:numPr>
        <w:spacing w:after="0"/>
        <w:ind w:left="0" w:firstLine="851"/>
        <w:jc w:val="both"/>
        <w:rPr>
          <w:lang w:val="uk-UA"/>
        </w:rPr>
      </w:pPr>
      <w:r>
        <w:rPr>
          <w:lang w:val="uk-UA"/>
        </w:rPr>
        <w:t xml:space="preserve">9-12 серпня – візит делегації ТМР в партнерське місто Сувалкі на День міста. </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29 серпня-2 червня – візит делегації ТМР в місто Ельблонг, Польща, на Свято Хліба. </w:t>
      </w:r>
    </w:p>
    <w:p w:rsidR="00790AA2" w:rsidRDefault="00790AA2" w:rsidP="00790AA2">
      <w:pPr>
        <w:pStyle w:val="a3"/>
        <w:numPr>
          <w:ilvl w:val="0"/>
          <w:numId w:val="2"/>
        </w:numPr>
        <w:suppressAutoHyphens/>
        <w:spacing w:line="276" w:lineRule="auto"/>
        <w:ind w:left="0" w:firstLine="851"/>
        <w:jc w:val="both"/>
        <w:rPr>
          <w:lang w:val="uk-UA"/>
        </w:rPr>
      </w:pPr>
      <w:r>
        <w:rPr>
          <w:lang w:val="uk-UA"/>
        </w:rPr>
        <w:t>22 вересня – візит делегації ТМР в місто Люблін, Польща для участі в Конгресі Східних ініціатив.</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27 вересня – візит делегації ТМР в місто ЄлєняГура. </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7-9 жовтня – візит делегації ТМР в Берлін, Німеччина, на робочий семінар в рамках мережі «ConnectiveCities» з розвитку сталої міської мобільності. </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11-14 жовтня – візит делегації ТМР до м. Хожув, Польща, на святкування 10 річниці співпраці партнерських міст Тернополя та Хожува.  </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9-14 жовтня – візит делегації ТМР в м. Анталія, Туреччина на фестиваль старих міст «KaleiciOldTown». Презентація Тернополя. </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24-27 жовтня – візит делегації ТМР до міста Ниса, Польща в партнерській зустрічі.  </w:t>
      </w:r>
    </w:p>
    <w:p w:rsidR="00790AA2" w:rsidRDefault="00790AA2" w:rsidP="00790AA2">
      <w:pPr>
        <w:pStyle w:val="a3"/>
        <w:numPr>
          <w:ilvl w:val="0"/>
          <w:numId w:val="2"/>
        </w:numPr>
        <w:suppressAutoHyphens/>
        <w:spacing w:line="276" w:lineRule="auto"/>
        <w:ind w:left="0" w:firstLine="851"/>
        <w:jc w:val="both"/>
        <w:rPr>
          <w:lang w:val="uk-UA"/>
        </w:rPr>
      </w:pPr>
      <w:r>
        <w:rPr>
          <w:lang w:val="uk-UA"/>
        </w:rPr>
        <w:t xml:space="preserve">16-20 жовтня – участь команди міста Тернополя з боксу в 13 Боксерському меморіалі імені ЗбігнєваШульчинського і Мар’яна Аконома в місті ЗбоншинНовотомишльського повіту,  Польща. </w:t>
      </w:r>
    </w:p>
    <w:p w:rsidR="00790AA2" w:rsidRDefault="00790AA2" w:rsidP="00790AA2">
      <w:pPr>
        <w:widowControl w:val="0"/>
        <w:ind w:firstLine="851"/>
        <w:jc w:val="both"/>
        <w:rPr>
          <w:i/>
          <w:lang w:val="uk-UA"/>
        </w:rPr>
      </w:pPr>
      <w:r>
        <w:rPr>
          <w:i/>
          <w:lang w:val="uk-UA"/>
        </w:rPr>
        <w:t xml:space="preserve">3. Співпраця з </w:t>
      </w:r>
      <w:r>
        <w:rPr>
          <w:b/>
          <w:i/>
          <w:lang w:val="uk-UA"/>
        </w:rPr>
        <w:t>дипломатичними установами</w:t>
      </w:r>
      <w:r>
        <w:rPr>
          <w:i/>
          <w:lang w:val="uk-UA"/>
        </w:rPr>
        <w:t xml:space="preserve"> іноземних держав та українськими дипломатичними установами за кордоном. </w:t>
      </w:r>
    </w:p>
    <w:p w:rsidR="00790AA2" w:rsidRDefault="00790AA2" w:rsidP="00790AA2">
      <w:pPr>
        <w:numPr>
          <w:ilvl w:val="0"/>
          <w:numId w:val="3"/>
        </w:numPr>
        <w:spacing w:after="0"/>
        <w:ind w:left="0" w:firstLine="851"/>
        <w:jc w:val="both"/>
        <w:rPr>
          <w:lang w:val="uk-UA"/>
        </w:rPr>
      </w:pPr>
      <w:r>
        <w:rPr>
          <w:lang w:val="uk-UA"/>
        </w:rPr>
        <w:t xml:space="preserve">06 лютого міський голова взяв участь у відкритті почесного консульства Угорщини в Тернополі в Торговому центрі «Подоляни». </w:t>
      </w:r>
    </w:p>
    <w:p w:rsidR="00790AA2" w:rsidRDefault="00790AA2" w:rsidP="00790AA2">
      <w:pPr>
        <w:numPr>
          <w:ilvl w:val="0"/>
          <w:numId w:val="3"/>
        </w:numPr>
        <w:spacing w:after="0"/>
        <w:ind w:left="0" w:firstLine="851"/>
        <w:jc w:val="both"/>
        <w:rPr>
          <w:lang w:val="uk-UA"/>
        </w:rPr>
      </w:pPr>
      <w:r>
        <w:rPr>
          <w:lang w:val="uk-UA"/>
        </w:rPr>
        <w:t>27 березня – зустріч міського голови з почесним консулом королівства Бельгії у місті Львові Ярославом Гарцулою.</w:t>
      </w:r>
    </w:p>
    <w:p w:rsidR="00790AA2" w:rsidRDefault="00790AA2" w:rsidP="00790AA2">
      <w:pPr>
        <w:numPr>
          <w:ilvl w:val="0"/>
          <w:numId w:val="3"/>
        </w:numPr>
        <w:spacing w:after="0"/>
        <w:ind w:left="0" w:firstLine="851"/>
        <w:jc w:val="both"/>
        <w:rPr>
          <w:lang w:val="uk-UA"/>
        </w:rPr>
      </w:pPr>
      <w:r>
        <w:rPr>
          <w:lang w:val="uk-UA"/>
        </w:rPr>
        <w:lastRenderedPageBreak/>
        <w:t xml:space="preserve">22 травня – участь міського голови у відкритті Почесного консульства Литовської республіки в Тернополі. </w:t>
      </w:r>
    </w:p>
    <w:p w:rsidR="00790AA2" w:rsidRDefault="00790AA2" w:rsidP="00790AA2">
      <w:pPr>
        <w:numPr>
          <w:ilvl w:val="0"/>
          <w:numId w:val="3"/>
        </w:numPr>
        <w:spacing w:after="0"/>
        <w:ind w:left="0" w:firstLine="851"/>
        <w:jc w:val="both"/>
        <w:rPr>
          <w:lang w:val="uk-UA"/>
        </w:rPr>
      </w:pPr>
      <w:r>
        <w:rPr>
          <w:lang w:val="uk-UA"/>
        </w:rPr>
        <w:t xml:space="preserve">9 жовтня – візит начальника відділу міжнародного співробітництва і туризму в генеральне консульство Республіки Чехії у Львові на святкування Дня заснування незалежної держави Чехії. </w:t>
      </w:r>
    </w:p>
    <w:p w:rsidR="00790AA2" w:rsidRDefault="00790AA2" w:rsidP="00790AA2">
      <w:pPr>
        <w:numPr>
          <w:ilvl w:val="0"/>
          <w:numId w:val="3"/>
        </w:numPr>
        <w:spacing w:after="0"/>
        <w:ind w:left="0" w:firstLine="851"/>
        <w:jc w:val="both"/>
        <w:rPr>
          <w:lang w:val="uk-UA"/>
        </w:rPr>
      </w:pPr>
      <w:r>
        <w:rPr>
          <w:lang w:val="uk-UA"/>
        </w:rPr>
        <w:t xml:space="preserve">24 серпня – візит консула Генерального консульства РП Польща в Луцьку ПавелаОвада на святкування Днів міста Тернополя з виступом на конференції партнерських міст. </w:t>
      </w:r>
    </w:p>
    <w:p w:rsidR="00790AA2" w:rsidRDefault="00790AA2" w:rsidP="00790AA2">
      <w:pPr>
        <w:numPr>
          <w:ilvl w:val="0"/>
          <w:numId w:val="3"/>
        </w:numPr>
        <w:spacing w:after="0"/>
        <w:ind w:left="0" w:firstLine="851"/>
        <w:jc w:val="both"/>
        <w:rPr>
          <w:lang w:val="uk-UA"/>
        </w:rPr>
      </w:pPr>
      <w:r>
        <w:rPr>
          <w:lang w:val="uk-UA"/>
        </w:rPr>
        <w:t xml:space="preserve">24 серпня – візит віце-консула Генерального консульства РП Польща в Луцьку Анни Баб’як - Овад на святкування Днів міста Тернополя з виступом на конференції партнерських міст. </w:t>
      </w:r>
    </w:p>
    <w:p w:rsidR="00790AA2" w:rsidRDefault="00790AA2" w:rsidP="00790AA2">
      <w:pPr>
        <w:widowControl w:val="0"/>
        <w:ind w:firstLine="851"/>
        <w:jc w:val="both"/>
        <w:rPr>
          <w:i/>
          <w:lang w:val="uk-UA"/>
        </w:rPr>
      </w:pPr>
      <w:r>
        <w:rPr>
          <w:i/>
          <w:lang w:val="uk-UA"/>
        </w:rPr>
        <w:t xml:space="preserve">4. Налагодження співпраці між </w:t>
      </w:r>
      <w:r>
        <w:rPr>
          <w:b/>
          <w:i/>
          <w:lang w:val="uk-UA"/>
        </w:rPr>
        <w:t>освітніми</w:t>
      </w:r>
      <w:r>
        <w:rPr>
          <w:i/>
          <w:lang w:val="uk-UA"/>
        </w:rPr>
        <w:t xml:space="preserve"> закладами Тернополя та партнерських міст. </w:t>
      </w:r>
    </w:p>
    <w:p w:rsidR="00790AA2" w:rsidRDefault="00790AA2" w:rsidP="00790AA2">
      <w:pPr>
        <w:pStyle w:val="a3"/>
        <w:numPr>
          <w:ilvl w:val="0"/>
          <w:numId w:val="4"/>
        </w:numPr>
        <w:suppressAutoHyphens/>
        <w:spacing w:after="200" w:line="276" w:lineRule="auto"/>
        <w:ind w:left="0" w:firstLine="851"/>
        <w:jc w:val="both"/>
        <w:rPr>
          <w:lang w:val="uk-UA"/>
        </w:rPr>
      </w:pPr>
      <w:r>
        <w:rPr>
          <w:lang w:val="uk-UA"/>
        </w:rPr>
        <w:t xml:space="preserve">Організація першого візиту чотирьох вчителів ЗОШ №28 та ЗОШ №11 до німецького міста Потсдам для участі в педагогічному тренінгу вчителів з Німеччини та Польщі. </w:t>
      </w:r>
    </w:p>
    <w:p w:rsidR="00790AA2" w:rsidRDefault="00790AA2" w:rsidP="00790AA2">
      <w:pPr>
        <w:numPr>
          <w:ilvl w:val="0"/>
          <w:numId w:val="4"/>
        </w:numPr>
        <w:spacing w:after="0"/>
        <w:ind w:left="0" w:firstLine="851"/>
        <w:jc w:val="both"/>
        <w:rPr>
          <w:lang w:val="uk-UA"/>
        </w:rPr>
      </w:pPr>
      <w:r>
        <w:rPr>
          <w:lang w:val="uk-UA"/>
        </w:rPr>
        <w:t xml:space="preserve">06-11 березня – участь представників Галицького коледжу в спільному українсько – польсько - німецькому проекті  «Жінка змінною є» (показ моди в трьох містах Вєлькопольського воєводства). Проведено переговори щодо участі школи №28 в спільному проекті з німецьким містом Магдебург. </w:t>
      </w:r>
    </w:p>
    <w:p w:rsidR="00790AA2" w:rsidRDefault="00790AA2" w:rsidP="00790AA2">
      <w:pPr>
        <w:numPr>
          <w:ilvl w:val="0"/>
          <w:numId w:val="4"/>
        </w:numPr>
        <w:spacing w:after="0"/>
        <w:ind w:left="0" w:firstLine="851"/>
        <w:jc w:val="both"/>
        <w:rPr>
          <w:lang w:val="uk-UA"/>
        </w:rPr>
      </w:pPr>
      <w:r>
        <w:rPr>
          <w:lang w:val="uk-UA"/>
        </w:rPr>
        <w:t xml:space="preserve">18 квітня – зустріч з представниками Дрезденського технічного університету та представників ТНЕУ на предмет розробки туристичного буклету про місто Тернопіль німецькою та французькою мовами </w:t>
      </w:r>
    </w:p>
    <w:p w:rsidR="00790AA2" w:rsidRDefault="00790AA2" w:rsidP="00790AA2">
      <w:pPr>
        <w:numPr>
          <w:ilvl w:val="0"/>
          <w:numId w:val="4"/>
        </w:numPr>
        <w:spacing w:after="0"/>
        <w:ind w:left="0" w:firstLine="851"/>
        <w:jc w:val="both"/>
        <w:rPr>
          <w:lang w:val="uk-UA"/>
        </w:rPr>
      </w:pPr>
      <w:r>
        <w:rPr>
          <w:lang w:val="uk-UA"/>
        </w:rPr>
        <w:t xml:space="preserve">09-11 травня – з візитом в Тернополі перебувала делегація директорів ПТУ та шкіл партнерського міста Вільянді, Естонія. </w:t>
      </w:r>
    </w:p>
    <w:p w:rsidR="00790AA2" w:rsidRDefault="00790AA2" w:rsidP="00790AA2">
      <w:pPr>
        <w:numPr>
          <w:ilvl w:val="0"/>
          <w:numId w:val="4"/>
        </w:numPr>
        <w:spacing w:after="0"/>
        <w:ind w:left="0" w:firstLine="851"/>
        <w:jc w:val="both"/>
        <w:rPr>
          <w:lang w:val="uk-UA"/>
        </w:rPr>
      </w:pPr>
      <w:r>
        <w:rPr>
          <w:lang w:val="uk-UA"/>
        </w:rPr>
        <w:t>10 – 15 травня – представники та учні школи №1 міста Плонськ, Польща відвідали школу №28 міста Тернопіль в рамках спільного проекту обмінів.</w:t>
      </w:r>
    </w:p>
    <w:p w:rsidR="00790AA2" w:rsidRDefault="00790AA2" w:rsidP="00790AA2">
      <w:pPr>
        <w:numPr>
          <w:ilvl w:val="0"/>
          <w:numId w:val="4"/>
        </w:numPr>
        <w:spacing w:after="0"/>
        <w:ind w:left="0" w:firstLine="851"/>
        <w:jc w:val="both"/>
        <w:rPr>
          <w:lang w:val="uk-UA"/>
        </w:rPr>
      </w:pPr>
      <w:r>
        <w:rPr>
          <w:bCs/>
          <w:lang w:val="uk-UA"/>
        </w:rPr>
        <w:t>17 травня у приміщенні комунальної установи Будинок культури "Кутківці" відбувся ІХ Форум шкільних Євроклубів міста Тернополя.</w:t>
      </w:r>
      <w:r>
        <w:rPr>
          <w:lang w:val="uk-UA"/>
        </w:rPr>
        <w:t xml:space="preserve"> У заході, організованому Тернопільським комунальним методичним центром науково-освітніх інновацій та моніторингу спільно з </w:t>
      </w:r>
      <w:r>
        <w:rPr>
          <w:bCs/>
          <w:lang w:val="uk-UA"/>
        </w:rPr>
        <w:t>Тернопільською загальноосвітньою школою І-ІІІ ступенів №25</w:t>
      </w:r>
      <w:r>
        <w:rPr>
          <w:lang w:val="uk-UA"/>
        </w:rPr>
        <w:t>, взяли участь 11шкільних Євроклубів: На заході виступив  ансамбль старовинної музики партнерського міста Ельблонг «Скуті».</w:t>
      </w:r>
    </w:p>
    <w:p w:rsidR="00790AA2" w:rsidRDefault="00790AA2" w:rsidP="00790AA2">
      <w:pPr>
        <w:numPr>
          <w:ilvl w:val="0"/>
          <w:numId w:val="4"/>
        </w:numPr>
        <w:spacing w:after="0"/>
        <w:ind w:left="0" w:firstLine="851"/>
        <w:jc w:val="both"/>
        <w:rPr>
          <w:lang w:val="uk-UA"/>
        </w:rPr>
      </w:pPr>
      <w:r>
        <w:rPr>
          <w:lang w:val="uk-UA"/>
        </w:rPr>
        <w:t xml:space="preserve">20-24 травня організація стажування 2х вчителів школи №28 в м. ЗбоншинНовотомишльського повіту. </w:t>
      </w:r>
    </w:p>
    <w:p w:rsidR="00790AA2" w:rsidRDefault="00790AA2" w:rsidP="00790AA2">
      <w:pPr>
        <w:numPr>
          <w:ilvl w:val="0"/>
          <w:numId w:val="4"/>
        </w:numPr>
        <w:spacing w:after="0"/>
        <w:ind w:left="0" w:firstLine="851"/>
        <w:jc w:val="both"/>
        <w:rPr>
          <w:lang w:val="uk-UA"/>
        </w:rPr>
      </w:pPr>
      <w:r>
        <w:rPr>
          <w:lang w:val="uk-UA"/>
        </w:rPr>
        <w:t xml:space="preserve">5-8 серпня – участь вчителів ЗОШ№11 в німецько-польсько-українському педагогічному тренінгу, що проводилось фондом BEZLIK   у Великопольському воєводстві, Польща. </w:t>
      </w:r>
    </w:p>
    <w:p w:rsidR="00790AA2" w:rsidRDefault="00790AA2" w:rsidP="00790AA2">
      <w:pPr>
        <w:numPr>
          <w:ilvl w:val="0"/>
          <w:numId w:val="4"/>
        </w:numPr>
        <w:suppressAutoHyphens/>
        <w:ind w:left="0" w:firstLine="851"/>
        <w:jc w:val="both"/>
        <w:rPr>
          <w:lang w:val="uk-UA"/>
        </w:rPr>
      </w:pPr>
      <w:r>
        <w:rPr>
          <w:lang w:val="uk-UA"/>
        </w:rPr>
        <w:t xml:space="preserve">17-20 вересня – участь учителів та учнів ЗОШ №3 та ЗОШ№15 в проекті німецько-польському молодіжному обміні в місті Збоншин, Польща. </w:t>
      </w:r>
    </w:p>
    <w:p w:rsidR="00790AA2" w:rsidRDefault="00790AA2" w:rsidP="00790AA2">
      <w:pPr>
        <w:widowControl w:val="0"/>
        <w:ind w:firstLine="851"/>
        <w:jc w:val="both"/>
        <w:rPr>
          <w:lang w:val="uk-UA"/>
        </w:rPr>
      </w:pPr>
    </w:p>
    <w:p w:rsidR="00790AA2" w:rsidRDefault="00790AA2" w:rsidP="00790AA2">
      <w:pPr>
        <w:widowControl w:val="0"/>
        <w:ind w:firstLine="851"/>
        <w:jc w:val="center"/>
        <w:rPr>
          <w:b/>
          <w:lang w:val="uk-UA"/>
        </w:rPr>
      </w:pPr>
    </w:p>
    <w:p w:rsidR="00790AA2" w:rsidRDefault="00790AA2" w:rsidP="00790AA2">
      <w:pPr>
        <w:widowControl w:val="0"/>
        <w:ind w:firstLine="851"/>
        <w:jc w:val="center"/>
        <w:rPr>
          <w:b/>
          <w:lang w:val="uk-UA"/>
        </w:rPr>
      </w:pPr>
      <w:r>
        <w:rPr>
          <w:b/>
          <w:lang w:val="uk-UA"/>
        </w:rPr>
        <w:t>2. Туризм</w:t>
      </w:r>
    </w:p>
    <w:p w:rsidR="00790AA2" w:rsidRDefault="00790AA2" w:rsidP="00790AA2">
      <w:pPr>
        <w:widowControl w:val="0"/>
        <w:ind w:firstLine="851"/>
        <w:jc w:val="both"/>
        <w:rPr>
          <w:lang w:val="uk-UA"/>
        </w:rPr>
      </w:pPr>
      <w:bookmarkStart w:id="0" w:name="_GoBack"/>
      <w:bookmarkEnd w:id="0"/>
      <w:r>
        <w:rPr>
          <w:lang w:val="uk-UA"/>
        </w:rPr>
        <w:t>Протягом 2019 року в місті оновлено та вдосконалено туристичне ознакування (пілони) та інформаційні таблиці відповідно до сучасних вимог часу (шрифт Брайля, переклад на іноземні мови, QR-коди). Також тривають роботи щодо створення й функціонального наповнення туристичного порталу міста.</w:t>
      </w:r>
    </w:p>
    <w:p w:rsidR="00790AA2" w:rsidRDefault="00790AA2" w:rsidP="00790AA2">
      <w:pPr>
        <w:widowControl w:val="0"/>
        <w:ind w:firstLine="851"/>
        <w:jc w:val="both"/>
        <w:rPr>
          <w:kern w:val="2"/>
          <w:lang w:val="uk-UA"/>
        </w:rPr>
      </w:pPr>
      <w:r>
        <w:rPr>
          <w:kern w:val="2"/>
          <w:lang w:val="uk-UA"/>
        </w:rPr>
        <w:lastRenderedPageBreak/>
        <w:t>Систематизовано роботу з проведення екскурсій містом українською, російською, польською та англійською мовами.</w:t>
      </w:r>
    </w:p>
    <w:p w:rsidR="00790AA2" w:rsidRDefault="00790AA2" w:rsidP="00790AA2">
      <w:pPr>
        <w:widowControl w:val="0"/>
        <w:ind w:firstLine="851"/>
        <w:jc w:val="both"/>
        <w:rPr>
          <w:kern w:val="2"/>
          <w:lang w:val="uk-UA"/>
        </w:rPr>
      </w:pPr>
      <w:r>
        <w:rPr>
          <w:kern w:val="2"/>
          <w:lang w:val="uk-UA"/>
        </w:rPr>
        <w:t>Загалом за 10 місяців 2019 року було проведено екскурсії для 7 082 екскурсантів, що на 23,3% більше, ніж за аналогічний період 2018 року. Екскурсанти були як з України, так і з ближнього зарубіжжя. Екскурсії проводились на українській, англійській, польській, російській та німецькій мовах. Також удвічі збільшилась кількість безкоштовних екскурсій для офіційних делегацій, людей з обмеженими можливостями та за зверненнями Тернопільської міської ради.</w:t>
      </w:r>
    </w:p>
    <w:p w:rsidR="00790AA2" w:rsidRDefault="00790AA2" w:rsidP="00790AA2">
      <w:pPr>
        <w:widowControl w:val="0"/>
        <w:ind w:firstLine="851"/>
        <w:jc w:val="both"/>
        <w:rPr>
          <w:lang w:val="uk-UA"/>
        </w:rPr>
      </w:pPr>
      <w:r>
        <w:rPr>
          <w:lang w:val="uk-UA"/>
        </w:rPr>
        <w:t xml:space="preserve">Також випущено безкоштовну туристичну мапу «98 причин відвідати Тернопіль» та «Міст багато – файне одне», фотоальбом «Тернопіль», «Календар подій 2019». З метою забезпечення учасників міжнародних заходів, офіційних та робочих зустрічей та візитів сувенірною продукцією розроблено та виготовлено презентаційні матеріали про місто та сувенірно-промоційну продукцію. </w:t>
      </w:r>
    </w:p>
    <w:p w:rsidR="00790AA2" w:rsidRDefault="00790AA2" w:rsidP="00790AA2">
      <w:pPr>
        <w:widowControl w:val="0"/>
        <w:ind w:firstLine="851"/>
        <w:jc w:val="both"/>
        <w:rPr>
          <w:lang w:val="uk-UA"/>
        </w:rPr>
      </w:pPr>
      <w:r>
        <w:rPr>
          <w:lang w:val="uk-UA"/>
        </w:rPr>
        <w:t>Протягом 2019 року спільно з КП «Туристично-інформаційний центр міста Тернополя» організовано понад 25 фестивалів та ярмарок. Серед них Новорічні та Різдвяні заходи («Файне зимове містечко»),зимовий фестиваль повітроплавання «Файне небо», Тернопільський туристичний форум, Великодній ярмарок, Міжнародний інвестиційний форум «Тернопільщина Invest 2019», «Галицька дефіляда» та ніші гастрономічні фестивалі і ярмарки,  фестиваль повітряних куль та гончарів, Дні Європи в Україні, День міста, Чемпіонат світу з водно-моторних видів спорту, фестиваль старих міст «KaleiciOldTown» тощо.</w:t>
      </w:r>
    </w:p>
    <w:p w:rsidR="00790AA2" w:rsidRDefault="00790AA2" w:rsidP="00790AA2">
      <w:pPr>
        <w:widowControl w:val="0"/>
        <w:ind w:firstLine="851"/>
        <w:jc w:val="both"/>
        <w:rPr>
          <w:lang w:val="uk-UA"/>
        </w:rPr>
      </w:pPr>
      <w:r>
        <w:rPr>
          <w:lang w:val="uk-UA"/>
        </w:rPr>
        <w:t>Протягом 2019 року місто презентовано на понад 15 міжнародних та національних туристичних форумах і виставках, основні з яких: Форум івенторів (м. Львів), міжнародна туристичній виставка Uitt (м. Київ), міжнародна туристична виставка “Отдых” (м. Мінськ, Білорусь), «Туризм як культура міжнародної взаємодії» (м. Одеса), проведення промо-туру для журналістів та блогерів з Польщі та України, Туристично-інвестиційний форум (м. Харків), «HoReCaShow» (м. Львів), Міжнародна туристична виставка UITM (м. Київ), Другий форум регіонів Україна-Білорусь (м. Житомир), «Didgital у туризмі» (м. Чернігів), «</w:t>
      </w:r>
      <w:r>
        <w:rPr>
          <w:color w:val="000000"/>
          <w:lang w:val="uk-UA"/>
        </w:rPr>
        <w:t>ТУР Експо»м. Львів тощо.</w:t>
      </w:r>
    </w:p>
    <w:p w:rsidR="00790AA2" w:rsidRDefault="00790AA2" w:rsidP="00790AA2">
      <w:pPr>
        <w:ind w:firstLine="851"/>
        <w:jc w:val="right"/>
        <w:rPr>
          <w:rFonts w:eastAsia="Arial Unicode MS"/>
          <w:kern w:val="2"/>
          <w:lang w:val="uk-UA" w:eastAsia="ar-SA"/>
        </w:rPr>
      </w:pPr>
      <w:r>
        <w:rPr>
          <w:rFonts w:eastAsia="Arial Unicode MS"/>
          <w:kern w:val="2"/>
          <w:lang w:val="uk-UA" w:eastAsia="ar-SA"/>
        </w:rPr>
        <w:t>Таблиця 1</w:t>
      </w:r>
    </w:p>
    <w:tbl>
      <w:tblPr>
        <w:tblStyle w:val="a4"/>
        <w:tblW w:w="9540" w:type="dxa"/>
        <w:jc w:val="center"/>
        <w:tblInd w:w="0" w:type="dxa"/>
        <w:tblLook w:val="04A0"/>
      </w:tblPr>
      <w:tblGrid>
        <w:gridCol w:w="2830"/>
        <w:gridCol w:w="2270"/>
        <w:gridCol w:w="2270"/>
        <w:gridCol w:w="2170"/>
      </w:tblGrid>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790AA2" w:rsidRDefault="00790AA2">
            <w:pPr>
              <w:spacing w:line="276" w:lineRule="auto"/>
              <w:jc w:val="center"/>
              <w:rPr>
                <w:rFonts w:ascii="Times New Roman" w:eastAsia="Arial Unicode MS" w:hAnsi="Times New Roman"/>
                <w:kern w:val="2"/>
                <w:sz w:val="24"/>
                <w:szCs w:val="24"/>
                <w:lang w:val="uk-UA" w:eastAsia="ar-SA"/>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2017 рік</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2018 рік</w:t>
            </w:r>
          </w:p>
        </w:tc>
        <w:tc>
          <w:tcPr>
            <w:tcW w:w="2170" w:type="dxa"/>
            <w:tcBorders>
              <w:top w:val="single" w:sz="4" w:space="0" w:color="auto"/>
              <w:left w:val="single" w:sz="4" w:space="0" w:color="auto"/>
              <w:bottom w:val="single" w:sz="4" w:space="0" w:color="auto"/>
              <w:right w:val="single" w:sz="4" w:space="0" w:color="auto"/>
            </w:tcBorders>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01.11.2019 рік</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Кількість туристичних заходів</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25</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26</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27</w:t>
            </w:r>
          </w:p>
        </w:tc>
      </w:tr>
    </w:tbl>
    <w:p w:rsidR="00790AA2" w:rsidRDefault="00790AA2" w:rsidP="00790AA2">
      <w:pPr>
        <w:widowControl w:val="0"/>
        <w:ind w:firstLine="851"/>
        <w:rPr>
          <w:rFonts w:eastAsia="Times New Roman"/>
          <w:lang w:val="uk-UA"/>
        </w:rPr>
      </w:pPr>
    </w:p>
    <w:p w:rsidR="00790AA2" w:rsidRDefault="00790AA2" w:rsidP="00790AA2">
      <w:pPr>
        <w:widowControl w:val="0"/>
        <w:ind w:firstLine="851"/>
        <w:rPr>
          <w:lang w:val="uk-UA"/>
        </w:rPr>
      </w:pPr>
    </w:p>
    <w:p w:rsidR="00790AA2" w:rsidRDefault="00790AA2" w:rsidP="00790AA2">
      <w:pPr>
        <w:widowControl w:val="0"/>
        <w:ind w:firstLine="851"/>
        <w:jc w:val="right"/>
        <w:rPr>
          <w:lang w:val="uk-UA"/>
        </w:rPr>
      </w:pPr>
      <w:r>
        <w:rPr>
          <w:lang w:val="uk-UA"/>
        </w:rPr>
        <w:t>Таблиця 2</w:t>
      </w:r>
    </w:p>
    <w:p w:rsidR="00790AA2" w:rsidRDefault="00790AA2" w:rsidP="00790AA2">
      <w:pPr>
        <w:widowControl w:val="0"/>
        <w:ind w:firstLine="851"/>
        <w:jc w:val="center"/>
        <w:rPr>
          <w:b/>
          <w:lang w:val="uk-UA"/>
        </w:rPr>
      </w:pPr>
      <w:r>
        <w:rPr>
          <w:b/>
          <w:lang w:val="uk-UA"/>
        </w:rPr>
        <w:t>Фінансова діяльність КП «ТІЦ м. Тернополя»,тис. грн.</w:t>
      </w:r>
    </w:p>
    <w:tbl>
      <w:tblPr>
        <w:tblStyle w:val="a4"/>
        <w:tblW w:w="9540" w:type="dxa"/>
        <w:jc w:val="center"/>
        <w:tblInd w:w="0" w:type="dxa"/>
        <w:tblLook w:val="04A0"/>
      </w:tblPr>
      <w:tblGrid>
        <w:gridCol w:w="2830"/>
        <w:gridCol w:w="2270"/>
        <w:gridCol w:w="2270"/>
        <w:gridCol w:w="2170"/>
      </w:tblGrid>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790AA2" w:rsidRDefault="00790AA2">
            <w:pPr>
              <w:spacing w:line="276" w:lineRule="auto"/>
              <w:jc w:val="center"/>
              <w:rPr>
                <w:rFonts w:ascii="Times New Roman" w:eastAsia="Arial Unicode MS" w:hAnsi="Times New Roman"/>
                <w:kern w:val="2"/>
                <w:sz w:val="24"/>
                <w:szCs w:val="24"/>
                <w:lang w:val="uk-UA" w:eastAsia="ar-SA"/>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2017 рік</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2018 рік</w:t>
            </w:r>
          </w:p>
        </w:tc>
        <w:tc>
          <w:tcPr>
            <w:tcW w:w="2170" w:type="dxa"/>
            <w:tcBorders>
              <w:top w:val="single" w:sz="4" w:space="0" w:color="auto"/>
              <w:left w:val="single" w:sz="4" w:space="0" w:color="auto"/>
              <w:bottom w:val="single" w:sz="4" w:space="0" w:color="auto"/>
              <w:right w:val="single" w:sz="4" w:space="0" w:color="auto"/>
            </w:tcBorders>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01.10.2019 рік</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Доходи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609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601</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648,8</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Витрати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621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657</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645,7</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Прибуток / Збиток</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-12</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-56</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3,1</w:t>
            </w:r>
          </w:p>
        </w:tc>
      </w:tr>
    </w:tbl>
    <w:p w:rsidR="00790AA2" w:rsidRDefault="00790AA2" w:rsidP="00790AA2">
      <w:pPr>
        <w:widowControl w:val="0"/>
        <w:ind w:firstLine="851"/>
        <w:jc w:val="both"/>
        <w:rPr>
          <w:rFonts w:eastAsia="Times New Roman"/>
          <w:color w:val="FF0000"/>
          <w:lang w:val="uk-UA"/>
        </w:rPr>
      </w:pPr>
    </w:p>
    <w:p w:rsidR="00790AA2" w:rsidRDefault="00790AA2" w:rsidP="00790AA2">
      <w:pPr>
        <w:widowControl w:val="0"/>
        <w:ind w:firstLine="851"/>
        <w:jc w:val="both"/>
        <w:rPr>
          <w:lang w:val="uk-UA"/>
        </w:rPr>
      </w:pPr>
      <w:r>
        <w:rPr>
          <w:lang w:val="uk-UA"/>
        </w:rPr>
        <w:t xml:space="preserve">На 2019 рік з міського бюджету на Програму розвитку міжнародного співробітництва і туризму Тернопільської міської територіальної громадина 2019-2021 рокибуло виділено </w:t>
      </w:r>
      <w:r>
        <w:rPr>
          <w:lang w:val="uk-UA"/>
        </w:rPr>
        <w:lastRenderedPageBreak/>
        <w:t>2 064,0тис. грн. Станом на 01.10.2019 року використано 1 954,4 тис. грн. Структуру витрат по Програмі наведено на рис. 3 та табл. 3.</w:t>
      </w:r>
    </w:p>
    <w:p w:rsidR="00790AA2" w:rsidRDefault="00790AA2" w:rsidP="00790AA2">
      <w:pPr>
        <w:widowControl w:val="0"/>
        <w:jc w:val="both"/>
        <w:rPr>
          <w:lang w:val="uk-UA"/>
        </w:rPr>
      </w:pPr>
    </w:p>
    <w:p w:rsidR="00790AA2" w:rsidRDefault="00790AA2" w:rsidP="00790AA2">
      <w:pPr>
        <w:ind w:firstLine="851"/>
        <w:jc w:val="center"/>
        <w:rPr>
          <w:b/>
          <w:lang w:val="uk-UA"/>
        </w:rPr>
      </w:pPr>
      <w:r>
        <w:rPr>
          <w:b/>
          <w:lang w:val="uk-UA"/>
        </w:rPr>
        <w:t xml:space="preserve">Рис. 3. Структура витрат по Програмі розвитку міжнародного співробітництва і туризму Тернопільської міської територіальної громади на 2019-2021 роки </w:t>
      </w:r>
    </w:p>
    <w:p w:rsidR="00790AA2" w:rsidRDefault="00790AA2" w:rsidP="00790AA2">
      <w:pPr>
        <w:ind w:firstLine="851"/>
        <w:jc w:val="center"/>
        <w:rPr>
          <w:b/>
          <w:lang w:val="uk-UA"/>
        </w:rPr>
      </w:pPr>
      <w:r>
        <w:rPr>
          <w:b/>
          <w:lang w:val="uk-UA"/>
        </w:rPr>
        <w:t>за 9 міс. 2019 року, тис. грн.</w:t>
      </w:r>
    </w:p>
    <w:p w:rsidR="00790AA2" w:rsidRDefault="00790AA2" w:rsidP="00790AA2">
      <w:pPr>
        <w:ind w:firstLine="851"/>
        <w:jc w:val="right"/>
        <w:rPr>
          <w:lang w:val="uk-UA"/>
        </w:rPr>
      </w:pPr>
      <w:r>
        <w:rPr>
          <w:lang w:val="uk-UA"/>
        </w:rPr>
        <w:t>Таблиця 3</w:t>
      </w:r>
    </w:p>
    <w:p w:rsidR="00790AA2" w:rsidRDefault="00790AA2" w:rsidP="00790AA2">
      <w:pPr>
        <w:ind w:firstLine="851"/>
        <w:jc w:val="center"/>
        <w:rPr>
          <w:b/>
          <w:lang w:val="uk-UA"/>
        </w:rPr>
      </w:pPr>
      <w:r>
        <w:rPr>
          <w:b/>
          <w:lang w:val="uk-UA"/>
        </w:rPr>
        <w:t>Структура витрат по Програмі розвитку міжнародного співробітництва і туризму Тернопільської міської територіальної громади на 2019-2021 роки</w:t>
      </w:r>
    </w:p>
    <w:p w:rsidR="00790AA2" w:rsidRDefault="00790AA2" w:rsidP="00790AA2">
      <w:pPr>
        <w:ind w:firstLine="851"/>
        <w:jc w:val="center"/>
        <w:rPr>
          <w:b/>
          <w:lang w:val="uk-UA"/>
        </w:rPr>
      </w:pPr>
      <w:r>
        <w:rPr>
          <w:b/>
          <w:lang w:val="uk-UA"/>
        </w:rPr>
        <w:t>за 9 міс. 2019 року</w:t>
      </w:r>
    </w:p>
    <w:tbl>
      <w:tblPr>
        <w:tblStyle w:val="a4"/>
        <w:tblW w:w="9345" w:type="dxa"/>
        <w:jc w:val="center"/>
        <w:tblInd w:w="0" w:type="dxa"/>
        <w:tblLayout w:type="fixed"/>
        <w:tblLook w:val="04A0"/>
      </w:tblPr>
      <w:tblGrid>
        <w:gridCol w:w="704"/>
        <w:gridCol w:w="2833"/>
        <w:gridCol w:w="851"/>
        <w:gridCol w:w="991"/>
        <w:gridCol w:w="991"/>
        <w:gridCol w:w="851"/>
        <w:gridCol w:w="1133"/>
        <w:gridCol w:w="991"/>
      </w:tblGrid>
      <w:tr w:rsidR="00790AA2" w:rsidTr="00790AA2">
        <w:trPr>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p w:rsidR="00790AA2" w:rsidRDefault="00790AA2">
            <w:pPr>
              <w:widowControl w:val="0"/>
              <w:jc w:val="center"/>
              <w:rPr>
                <w:rFonts w:ascii="Times New Roman" w:eastAsia="Times New Roman" w:hAnsi="Times New Roman"/>
                <w:kern w:val="24"/>
                <w:lang w:val="uk-UA"/>
              </w:rPr>
            </w:pPr>
            <w:r>
              <w:rPr>
                <w:kern w:val="24"/>
                <w:lang w:val="uk-UA"/>
              </w:rPr>
              <w:t>з/п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Захід</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Планові обсяги фінансування, тис. грн.</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Фактичні обсяги фінансування, тис. грн.</w:t>
            </w:r>
          </w:p>
        </w:tc>
      </w:tr>
      <w:tr w:rsidR="00790AA2" w:rsidTr="00790AA2">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790AA2" w:rsidRDefault="00790AA2">
            <w:pPr>
              <w:rPr>
                <w:rFonts w:ascii="Times New Roman" w:eastAsia="Times New Roman" w:hAnsi="Times New Roman"/>
                <w:kern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0AA2" w:rsidRDefault="00790AA2">
            <w:pPr>
              <w:rPr>
                <w:rFonts w:ascii="Times New Roman" w:eastAsia="Times New Roman" w:hAnsi="Times New Roman"/>
                <w:kern w:val="24"/>
                <w:lang w:val="uk-UA"/>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lang w:val="uk-UA"/>
              </w:rPr>
              <w:t>Усього</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у тому числі</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lang w:val="uk-UA"/>
              </w:rPr>
              <w:t>Усього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у тому числі</w:t>
            </w:r>
          </w:p>
        </w:tc>
      </w:tr>
      <w:tr w:rsidR="00790AA2" w:rsidTr="00790AA2">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790AA2" w:rsidRDefault="00790AA2">
            <w:pPr>
              <w:rPr>
                <w:rFonts w:ascii="Times New Roman" w:eastAsia="Times New Roman" w:hAnsi="Times New Roman"/>
                <w:kern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0AA2" w:rsidRDefault="00790AA2">
            <w:pPr>
              <w:rPr>
                <w:rFonts w:ascii="Times New Roman" w:eastAsia="Times New Roman" w:hAnsi="Times New Roman"/>
                <w:kern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0AA2" w:rsidRDefault="00790AA2">
            <w:pPr>
              <w:rPr>
                <w:rFonts w:ascii="Times New Roman" w:eastAsia="Times New Roman" w:hAnsi="Times New Roman"/>
                <w:kern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кошти з інших  джерел</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0AA2" w:rsidRDefault="00790AA2">
            <w:pPr>
              <w:rPr>
                <w:rFonts w:ascii="Times New Roman" w:eastAsia="Times New Roman" w:hAnsi="Times New Roman"/>
                <w:kern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кошти з інших  джерел</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Проживання та харчування іноземних делегацій</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bCs/>
                <w:lang w:val="uk-UA"/>
              </w:rPr>
              <w:t>536,3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536,3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bCs/>
                <w:lang w:val="uk-UA"/>
              </w:rPr>
              <w:t>491,89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bCs/>
                <w:lang w:val="uk-UA"/>
              </w:rPr>
              <w:t>491,89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Транспортне забезпечення міжнародних делегацій та заходів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199,9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sz w:val="18"/>
                <w:szCs w:val="18"/>
                <w:lang w:val="uk-UA"/>
              </w:rPr>
              <w:t>199,9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199,9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199,9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Закупівля та виготовлення сувенірної продукції</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sz w:val="18"/>
                <w:szCs w:val="18"/>
                <w:lang w:val="uk-UA"/>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90,87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90,87</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color w:val="000000"/>
                <w:sz w:val="18"/>
                <w:szCs w:val="18"/>
                <w:lang w:val="uk-UA"/>
              </w:rPr>
              <w:t>Підтримка туристичного  порталу міста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49,9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49,9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49,9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49,9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Організація виставок, ярмарок  та участь у них</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Cs/>
                <w:lang w:val="uk-UA"/>
              </w:rPr>
              <w:t>149,9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149,9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Cs/>
                <w:lang w:val="uk-UA"/>
              </w:rPr>
              <w:t>138,9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Cs/>
                <w:lang w:val="uk-UA"/>
              </w:rPr>
              <w:t>138,9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Друк та розміщення соціальної реклами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367,1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sz w:val="18"/>
                <w:szCs w:val="18"/>
                <w:lang w:val="uk-UA"/>
              </w:rPr>
              <w:t>367,1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367,1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sz w:val="18"/>
                <w:szCs w:val="18"/>
                <w:lang w:val="uk-UA"/>
              </w:rPr>
              <w:t>367,1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Фінансова підтримка КП «ТІЦ м. Тернополя»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sz w:val="18"/>
                <w:szCs w:val="18"/>
                <w:lang w:val="uk-UA"/>
              </w:rPr>
            </w:pPr>
            <w:r>
              <w:rPr>
                <w:sz w:val="18"/>
                <w:szCs w:val="18"/>
                <w:lang w:val="uk-UA"/>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 xml:space="preserve">Інші витрати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Cs/>
                <w:lang w:val="uk-UA"/>
              </w:rPr>
              <w:t>160,9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160,9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Cs/>
                <w:lang w:val="uk-UA"/>
              </w:rPr>
              <w:t>115,84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Cs/>
                <w:lang w:val="uk-UA"/>
              </w:rPr>
              <w:t>115,84</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r w:rsidR="00790AA2" w:rsidTr="00790AA2">
        <w:trPr>
          <w:jc w:val="center"/>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
                <w:snapToGrid w:val="0"/>
                <w:lang w:val="uk-UA"/>
              </w:rPr>
            </w:pPr>
            <w:r>
              <w:rPr>
                <w:b/>
                <w:snapToGrid w:val="0"/>
                <w:lang w:val="uk-UA"/>
              </w:rPr>
              <w:t>ВСЬОГО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
                <w:lang w:val="uk-UA"/>
              </w:rPr>
              <w:t>2 064,0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b/>
                <w:lang w:val="uk-UA"/>
              </w:rPr>
              <w:t>2 064,0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
                <w:lang w:val="uk-UA"/>
              </w:rPr>
              <w:t>1 954,4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bCs/>
                <w:lang w:val="uk-UA"/>
              </w:rPr>
            </w:pPr>
            <w:r>
              <w:rPr>
                <w:b/>
                <w:lang w:val="uk-UA"/>
              </w:rPr>
              <w:t>1 954,4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jc w:val="center"/>
              <w:rPr>
                <w:rFonts w:ascii="Times New Roman" w:eastAsia="Times New Roman" w:hAnsi="Times New Roman"/>
                <w:kern w:val="24"/>
                <w:lang w:val="uk-UA"/>
              </w:rPr>
            </w:pPr>
            <w:r>
              <w:rPr>
                <w:kern w:val="24"/>
                <w:lang w:val="uk-UA"/>
              </w:rPr>
              <w:t>-</w:t>
            </w:r>
          </w:p>
        </w:tc>
      </w:tr>
    </w:tbl>
    <w:p w:rsidR="00790AA2" w:rsidRDefault="00790AA2" w:rsidP="00790AA2">
      <w:pPr>
        <w:pStyle w:val="2"/>
        <w:spacing w:after="0" w:line="276" w:lineRule="auto"/>
        <w:ind w:left="284"/>
        <w:contextualSpacing/>
        <w:jc w:val="both"/>
        <w:rPr>
          <w:snapToGrid w:val="0"/>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r>
        <w:rPr>
          <w:kern w:val="2"/>
          <w:lang w:val="uk-UA"/>
        </w:rPr>
        <w:t>Зростає як кількість туристів в місті, зокрема іноземних (рис. 4 та 5), так і надходження від туристичної діяльності до міського бюджету.</w:t>
      </w: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both"/>
        <w:rPr>
          <w:kern w:val="2"/>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r>
        <w:rPr>
          <w:b/>
          <w:bCs/>
          <w:lang w:val="uk-UA"/>
        </w:rPr>
        <w:t>Рис. 4. Динаміка туристичного збору (тис. грн.)</w:t>
      </w: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p>
    <w:p w:rsidR="00790AA2" w:rsidRDefault="00790AA2" w:rsidP="00790AA2">
      <w:pPr>
        <w:widowControl w:val="0"/>
        <w:ind w:firstLine="851"/>
        <w:jc w:val="center"/>
        <w:rPr>
          <w:b/>
          <w:bCs/>
          <w:lang w:val="uk-UA"/>
        </w:rPr>
      </w:pPr>
      <w:r>
        <w:rPr>
          <w:b/>
          <w:bCs/>
          <w:lang w:val="uk-UA"/>
        </w:rPr>
        <w:t>Рис. 5. Динаміка кількості туристів (тис. осіб)</w:t>
      </w:r>
    </w:p>
    <w:p w:rsidR="00790AA2" w:rsidRDefault="00790AA2" w:rsidP="00790AA2">
      <w:pPr>
        <w:widowControl w:val="0"/>
        <w:ind w:firstLine="851"/>
        <w:jc w:val="center"/>
        <w:rPr>
          <w:b/>
          <w:bCs/>
          <w:lang w:val="uk-UA"/>
        </w:rPr>
      </w:pPr>
    </w:p>
    <w:p w:rsidR="00790AA2" w:rsidRDefault="00790AA2" w:rsidP="00790AA2">
      <w:pPr>
        <w:widowControl w:val="0"/>
        <w:ind w:firstLine="851"/>
        <w:jc w:val="both"/>
        <w:rPr>
          <w:kern w:val="24"/>
          <w:lang w:val="uk-UA"/>
        </w:rPr>
      </w:pPr>
      <w:r>
        <w:rPr>
          <w:kern w:val="24"/>
          <w:lang w:val="uk-UA"/>
        </w:rPr>
        <w:t xml:space="preserve">Отже, аналіз рис. 4 та 5 показує, що, ситуація з розвитком туризму у місті суттєво покращується. Це підтверджують і дані мобільних операторів про суттєве збільшення кількості </w:t>
      </w:r>
      <w:r>
        <w:rPr>
          <w:kern w:val="24"/>
          <w:lang w:val="uk-UA"/>
        </w:rPr>
        <w:lastRenderedPageBreak/>
        <w:t>осіб, які перебували у місті більше 1 доби.</w:t>
      </w:r>
    </w:p>
    <w:p w:rsidR="00790AA2" w:rsidRDefault="00790AA2" w:rsidP="00790AA2">
      <w:pPr>
        <w:widowControl w:val="0"/>
        <w:ind w:firstLine="851"/>
        <w:jc w:val="both"/>
        <w:rPr>
          <w:kern w:val="24"/>
          <w:lang w:val="uk-UA"/>
        </w:rPr>
      </w:pPr>
      <w:r>
        <w:rPr>
          <w:kern w:val="24"/>
          <w:lang w:val="uk-UA"/>
        </w:rPr>
        <w:t>У таблиці 4 наведено динаміку кількості об’єктів туристичної інфраструктури у місті Тернополі.</w:t>
      </w:r>
    </w:p>
    <w:p w:rsidR="00790AA2" w:rsidRDefault="00790AA2" w:rsidP="00790AA2">
      <w:pPr>
        <w:widowControl w:val="0"/>
        <w:ind w:firstLine="851"/>
        <w:jc w:val="right"/>
        <w:rPr>
          <w:kern w:val="24"/>
          <w:lang w:val="uk-UA"/>
        </w:rPr>
      </w:pPr>
      <w:r>
        <w:rPr>
          <w:kern w:val="24"/>
          <w:lang w:val="uk-UA"/>
        </w:rPr>
        <w:t>Таблиця 4</w:t>
      </w:r>
    </w:p>
    <w:p w:rsidR="00790AA2" w:rsidRDefault="00790AA2" w:rsidP="00790AA2">
      <w:pPr>
        <w:widowControl w:val="0"/>
        <w:ind w:firstLine="851"/>
        <w:jc w:val="center"/>
        <w:rPr>
          <w:b/>
          <w:kern w:val="24"/>
          <w:lang w:val="uk-UA"/>
        </w:rPr>
      </w:pPr>
      <w:r>
        <w:rPr>
          <w:b/>
          <w:kern w:val="24"/>
          <w:lang w:val="uk-UA"/>
        </w:rPr>
        <w:t>Динаміка кількості об’єктів туристичної інфраструктури у м. Тернополі</w:t>
      </w:r>
    </w:p>
    <w:tbl>
      <w:tblPr>
        <w:tblW w:w="0" w:type="auto"/>
        <w:tblLayout w:type="fixed"/>
        <w:tblLook w:val="04A0"/>
      </w:tblPr>
      <w:tblGrid>
        <w:gridCol w:w="2392"/>
        <w:gridCol w:w="2393"/>
        <w:gridCol w:w="2392"/>
        <w:gridCol w:w="2393"/>
      </w:tblGrid>
      <w:tr w:rsidR="00790AA2" w:rsidTr="00790AA2">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b/>
                <w:kern w:val="24"/>
                <w:sz w:val="24"/>
                <w:szCs w:val="24"/>
                <w:lang w:val="uk-UA"/>
              </w:rPr>
            </w:pPr>
            <w:r>
              <w:rPr>
                <w:b/>
                <w:kern w:val="24"/>
                <w:lang w:val="uk-UA"/>
              </w:rPr>
              <w:t>Роки</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b/>
                <w:kern w:val="24"/>
                <w:sz w:val="24"/>
                <w:szCs w:val="24"/>
                <w:lang w:val="uk-UA"/>
              </w:rPr>
            </w:pPr>
            <w:r>
              <w:rPr>
                <w:b/>
                <w:kern w:val="24"/>
                <w:lang w:val="uk-UA"/>
              </w:rPr>
              <w:t>Готелі та хостели</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b/>
                <w:kern w:val="24"/>
                <w:sz w:val="24"/>
                <w:szCs w:val="24"/>
                <w:lang w:val="uk-UA"/>
              </w:rPr>
            </w:pPr>
            <w:r>
              <w:rPr>
                <w:b/>
                <w:kern w:val="24"/>
                <w:lang w:val="uk-UA"/>
              </w:rPr>
              <w:t>Ресторани</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b/>
                <w:kern w:val="24"/>
                <w:sz w:val="24"/>
                <w:szCs w:val="24"/>
                <w:lang w:val="uk-UA"/>
              </w:rPr>
            </w:pPr>
            <w:r>
              <w:rPr>
                <w:b/>
                <w:kern w:val="24"/>
                <w:lang w:val="uk-UA"/>
              </w:rPr>
              <w:t>Туристичні фірми</w:t>
            </w:r>
          </w:p>
        </w:tc>
      </w:tr>
      <w:tr w:rsidR="00790AA2" w:rsidTr="00790AA2">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2017</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29 (26/3)</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45</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85</w:t>
            </w:r>
          </w:p>
        </w:tc>
      </w:tr>
      <w:tr w:rsidR="00790AA2" w:rsidTr="00790AA2">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2018</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30 (23/7)</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44</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93</w:t>
            </w:r>
          </w:p>
        </w:tc>
      </w:tr>
      <w:tr w:rsidR="00790AA2" w:rsidTr="00790AA2">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01.11.2019</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30 (23/7)</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44</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0AA2" w:rsidRDefault="00790AA2">
            <w:pPr>
              <w:widowControl w:val="0"/>
              <w:ind w:firstLine="22"/>
              <w:jc w:val="center"/>
              <w:rPr>
                <w:rFonts w:ascii="Times New Roman" w:eastAsia="Times New Roman" w:hAnsi="Times New Roman"/>
                <w:kern w:val="24"/>
                <w:sz w:val="24"/>
                <w:szCs w:val="24"/>
                <w:lang w:val="uk-UA"/>
              </w:rPr>
            </w:pPr>
            <w:r>
              <w:rPr>
                <w:kern w:val="24"/>
                <w:lang w:val="uk-UA"/>
              </w:rPr>
              <w:t>94</w:t>
            </w:r>
          </w:p>
        </w:tc>
      </w:tr>
    </w:tbl>
    <w:p w:rsidR="00790AA2" w:rsidRDefault="00790AA2" w:rsidP="00790AA2">
      <w:pPr>
        <w:widowControl w:val="0"/>
        <w:ind w:firstLine="851"/>
        <w:jc w:val="center"/>
        <w:rPr>
          <w:rFonts w:eastAsia="Times New Roman"/>
          <w:kern w:val="24"/>
          <w:lang w:val="uk-UA"/>
        </w:rPr>
      </w:pPr>
    </w:p>
    <w:p w:rsidR="00790AA2" w:rsidRDefault="00790AA2" w:rsidP="00790AA2">
      <w:pPr>
        <w:widowControl w:val="0"/>
        <w:ind w:firstLine="851"/>
        <w:jc w:val="center"/>
        <w:rPr>
          <w:b/>
          <w:lang w:val="uk-UA"/>
        </w:rPr>
      </w:pPr>
    </w:p>
    <w:p w:rsidR="00790AA2" w:rsidRDefault="00790AA2" w:rsidP="00790AA2">
      <w:pPr>
        <w:widowControl w:val="0"/>
        <w:ind w:firstLine="851"/>
        <w:jc w:val="center"/>
        <w:rPr>
          <w:b/>
          <w:lang w:val="uk-UA"/>
        </w:rPr>
      </w:pPr>
    </w:p>
    <w:p w:rsidR="00790AA2" w:rsidRDefault="00790AA2" w:rsidP="00790AA2">
      <w:pPr>
        <w:widowControl w:val="0"/>
        <w:ind w:firstLine="851"/>
        <w:jc w:val="center"/>
        <w:rPr>
          <w:b/>
          <w:lang w:val="uk-UA"/>
        </w:rPr>
      </w:pPr>
    </w:p>
    <w:p w:rsidR="00790AA2" w:rsidRDefault="00790AA2" w:rsidP="00790AA2">
      <w:pPr>
        <w:widowControl w:val="0"/>
        <w:ind w:firstLine="851"/>
        <w:jc w:val="center"/>
        <w:rPr>
          <w:b/>
          <w:lang w:val="uk-UA"/>
        </w:rPr>
      </w:pPr>
    </w:p>
    <w:p w:rsidR="00790AA2" w:rsidRDefault="00790AA2" w:rsidP="00790AA2">
      <w:pPr>
        <w:widowControl w:val="0"/>
        <w:ind w:firstLine="851"/>
        <w:jc w:val="center"/>
        <w:rPr>
          <w:b/>
          <w:lang w:val="uk-UA"/>
        </w:rPr>
      </w:pPr>
    </w:p>
    <w:p w:rsidR="00790AA2" w:rsidRDefault="00790AA2" w:rsidP="00790AA2">
      <w:pPr>
        <w:widowControl w:val="0"/>
        <w:ind w:firstLine="851"/>
        <w:jc w:val="center"/>
        <w:rPr>
          <w:b/>
          <w:lang w:val="uk-UA"/>
        </w:rPr>
      </w:pPr>
    </w:p>
    <w:p w:rsidR="00790AA2" w:rsidRDefault="00790AA2" w:rsidP="00790AA2">
      <w:pPr>
        <w:widowControl w:val="0"/>
        <w:ind w:firstLine="851"/>
        <w:jc w:val="center"/>
        <w:rPr>
          <w:b/>
          <w:lang w:val="uk-UA"/>
        </w:rPr>
      </w:pPr>
      <w:r>
        <w:rPr>
          <w:b/>
          <w:lang w:val="uk-UA"/>
        </w:rPr>
        <w:t>3. Зовнішня реклама</w:t>
      </w:r>
    </w:p>
    <w:p w:rsidR="00790AA2" w:rsidRDefault="00790AA2" w:rsidP="00790AA2">
      <w:pPr>
        <w:widowControl w:val="0"/>
        <w:ind w:firstLine="851"/>
        <w:jc w:val="both"/>
        <w:rPr>
          <w:kern w:val="24"/>
          <w:lang w:val="uk-UA"/>
        </w:rPr>
      </w:pPr>
      <w:r>
        <w:rPr>
          <w:kern w:val="24"/>
          <w:lang w:val="uk-UA"/>
        </w:rPr>
        <w:t>Інформація про виконання плану надходжень від плати за тимчасове користування місцями розташування рекламних засобів, що перебувають у комунальній власності (таблиця 5).</w:t>
      </w:r>
    </w:p>
    <w:p w:rsidR="00790AA2" w:rsidRDefault="00790AA2" w:rsidP="00790AA2">
      <w:pPr>
        <w:widowControl w:val="0"/>
        <w:ind w:firstLine="851"/>
        <w:jc w:val="both"/>
        <w:rPr>
          <w:kern w:val="24"/>
          <w:lang w:val="uk-UA"/>
        </w:rPr>
      </w:pPr>
      <w:r>
        <w:rPr>
          <w:kern w:val="24"/>
          <w:lang w:val="uk-UA"/>
        </w:rPr>
        <w:t>До місцевого бюджету  перераховано:</w:t>
      </w:r>
    </w:p>
    <w:p w:rsidR="00790AA2" w:rsidRDefault="00790AA2" w:rsidP="00790AA2">
      <w:pPr>
        <w:widowControl w:val="0"/>
        <w:ind w:firstLine="851"/>
        <w:jc w:val="both"/>
        <w:rPr>
          <w:kern w:val="24"/>
          <w:lang w:val="uk-UA"/>
        </w:rPr>
      </w:pPr>
      <w:r>
        <w:rPr>
          <w:kern w:val="24"/>
          <w:lang w:val="uk-UA"/>
        </w:rPr>
        <w:t>У 2017 р.                           -  3 450,0 тис. грн. (105% виконання).</w:t>
      </w:r>
    </w:p>
    <w:p w:rsidR="00790AA2" w:rsidRDefault="00790AA2" w:rsidP="00790AA2">
      <w:pPr>
        <w:widowControl w:val="0"/>
        <w:ind w:firstLine="851"/>
        <w:jc w:val="both"/>
        <w:rPr>
          <w:kern w:val="24"/>
          <w:lang w:val="uk-UA"/>
        </w:rPr>
      </w:pPr>
      <w:r>
        <w:rPr>
          <w:kern w:val="24"/>
          <w:lang w:val="uk-UA"/>
        </w:rPr>
        <w:t>У 2018 р.                           -  3 700,0 тис. грн. (103% виконання).</w:t>
      </w:r>
    </w:p>
    <w:p w:rsidR="00790AA2" w:rsidRDefault="00790AA2" w:rsidP="00790AA2">
      <w:pPr>
        <w:widowControl w:val="0"/>
        <w:ind w:firstLine="851"/>
        <w:jc w:val="both"/>
        <w:rPr>
          <w:kern w:val="24"/>
          <w:lang w:val="uk-UA"/>
        </w:rPr>
      </w:pPr>
      <w:r>
        <w:rPr>
          <w:kern w:val="24"/>
          <w:lang w:val="uk-UA"/>
        </w:rPr>
        <w:t>У 2019 р. (прогноз)          -  7272,0 тис. грн., в т. ч. по місяцях.</w:t>
      </w:r>
    </w:p>
    <w:p w:rsidR="00790AA2" w:rsidRDefault="00790AA2" w:rsidP="00790AA2">
      <w:pPr>
        <w:widowControl w:val="0"/>
        <w:ind w:firstLine="851"/>
        <w:jc w:val="both"/>
        <w:rPr>
          <w:kern w:val="24"/>
          <w:lang w:val="uk-UA"/>
        </w:rPr>
      </w:pPr>
      <w:r>
        <w:rPr>
          <w:kern w:val="24"/>
          <w:lang w:val="uk-UA"/>
        </w:rPr>
        <w:t>До державного бюджету (ПДВ) перераховано:</w:t>
      </w:r>
    </w:p>
    <w:p w:rsidR="00790AA2" w:rsidRDefault="00790AA2" w:rsidP="00790AA2">
      <w:pPr>
        <w:widowControl w:val="0"/>
        <w:ind w:firstLine="851"/>
        <w:jc w:val="both"/>
        <w:rPr>
          <w:kern w:val="24"/>
          <w:lang w:val="uk-UA"/>
        </w:rPr>
      </w:pPr>
      <w:r>
        <w:rPr>
          <w:kern w:val="24"/>
          <w:lang w:val="uk-UA"/>
        </w:rPr>
        <w:t>В 2017 р.                            -  748,9 тис. грн.</w:t>
      </w:r>
    </w:p>
    <w:p w:rsidR="00790AA2" w:rsidRDefault="00790AA2" w:rsidP="00790AA2">
      <w:pPr>
        <w:widowControl w:val="0"/>
        <w:ind w:firstLine="851"/>
        <w:jc w:val="both"/>
        <w:rPr>
          <w:kern w:val="24"/>
          <w:lang w:val="uk-UA"/>
        </w:rPr>
      </w:pPr>
      <w:r>
        <w:rPr>
          <w:kern w:val="24"/>
          <w:lang w:val="uk-UA"/>
        </w:rPr>
        <w:t>В 2018 р.                            -  850,6 тис. грн.</w:t>
      </w:r>
    </w:p>
    <w:p w:rsidR="00790AA2" w:rsidRDefault="00790AA2" w:rsidP="00790AA2">
      <w:pPr>
        <w:widowControl w:val="0"/>
        <w:ind w:firstLine="851"/>
        <w:jc w:val="both"/>
        <w:rPr>
          <w:kern w:val="24"/>
          <w:lang w:val="uk-UA"/>
        </w:rPr>
      </w:pPr>
      <w:r>
        <w:rPr>
          <w:kern w:val="24"/>
          <w:lang w:val="uk-UA"/>
        </w:rPr>
        <w:t>В 2019 р. (10 міс.) -  1245,3 тис. грн.</w:t>
      </w:r>
    </w:p>
    <w:p w:rsidR="00790AA2" w:rsidRDefault="00790AA2" w:rsidP="00790AA2">
      <w:pPr>
        <w:tabs>
          <w:tab w:val="left" w:pos="7770"/>
        </w:tabs>
        <w:ind w:firstLine="851"/>
        <w:jc w:val="right"/>
        <w:rPr>
          <w:lang w:val="uk-UA"/>
        </w:rPr>
      </w:pPr>
      <w:r>
        <w:rPr>
          <w:lang w:val="uk-UA"/>
        </w:rPr>
        <w:t>Таблиця 5</w:t>
      </w:r>
    </w:p>
    <w:p w:rsidR="00790AA2" w:rsidRDefault="00790AA2" w:rsidP="00790AA2">
      <w:pPr>
        <w:widowControl w:val="0"/>
        <w:ind w:firstLine="851"/>
        <w:jc w:val="center"/>
        <w:rPr>
          <w:b/>
          <w:kern w:val="24"/>
          <w:lang w:val="uk-UA"/>
        </w:rPr>
      </w:pPr>
      <w:r>
        <w:rPr>
          <w:b/>
          <w:kern w:val="24"/>
          <w:lang w:val="uk-UA"/>
        </w:rPr>
        <w:t>Надходження від плати за тимчасове користування місцями розташування рекламних засобів, що перебувають у комунальній власності,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3188"/>
        <w:gridCol w:w="3188"/>
      </w:tblGrid>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b/>
                <w:sz w:val="24"/>
                <w:szCs w:val="24"/>
                <w:lang w:val="uk-UA"/>
              </w:rPr>
            </w:pPr>
            <w:r>
              <w:rPr>
                <w:b/>
                <w:lang w:val="uk-UA"/>
              </w:rPr>
              <w:lastRenderedPageBreak/>
              <w:t>Місяць 2019 року</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b/>
                <w:sz w:val="24"/>
                <w:szCs w:val="24"/>
                <w:lang w:val="uk-UA"/>
              </w:rPr>
            </w:pPr>
            <w:r>
              <w:rPr>
                <w:b/>
                <w:lang w:val="uk-UA"/>
              </w:rPr>
              <w:t>Факт</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b/>
                <w:sz w:val="24"/>
                <w:szCs w:val="24"/>
                <w:lang w:val="uk-UA"/>
              </w:rPr>
            </w:pPr>
            <w:r>
              <w:rPr>
                <w:b/>
                <w:lang w:val="uk-UA"/>
              </w:rPr>
              <w:t>План</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Січень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750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450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Лютий</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340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Березень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Квітень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1150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Травень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500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Червень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600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Липень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100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790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Серпень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1385</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750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Вересень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788,2</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750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Жовтень</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690</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682</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Листопад</w:t>
            </w:r>
          </w:p>
        </w:tc>
        <w:tc>
          <w:tcPr>
            <w:tcW w:w="3209" w:type="dxa"/>
            <w:tcBorders>
              <w:top w:val="single" w:sz="4" w:space="0" w:color="auto"/>
              <w:left w:val="single" w:sz="4" w:space="0" w:color="auto"/>
              <w:bottom w:val="single" w:sz="4" w:space="0" w:color="auto"/>
              <w:right w:val="single" w:sz="4" w:space="0" w:color="auto"/>
            </w:tcBorders>
          </w:tcPr>
          <w:p w:rsidR="00790AA2" w:rsidRDefault="00790AA2">
            <w:pPr>
              <w:ind w:firstLine="22"/>
              <w:jc w:val="center"/>
              <w:rPr>
                <w:rFonts w:ascii="Times New Roman" w:eastAsia="Times New Roman" w:hAnsi="Times New Roman"/>
                <w:sz w:val="24"/>
                <w:szCs w:val="24"/>
                <w:lang w:val="uk-UA"/>
              </w:rPr>
            </w:pP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Грудень</w:t>
            </w:r>
          </w:p>
        </w:tc>
        <w:tc>
          <w:tcPr>
            <w:tcW w:w="3209" w:type="dxa"/>
            <w:tcBorders>
              <w:top w:val="single" w:sz="4" w:space="0" w:color="auto"/>
              <w:left w:val="single" w:sz="4" w:space="0" w:color="auto"/>
              <w:bottom w:val="single" w:sz="4" w:space="0" w:color="auto"/>
              <w:right w:val="single" w:sz="4" w:space="0" w:color="auto"/>
            </w:tcBorders>
          </w:tcPr>
          <w:p w:rsidR="00790AA2" w:rsidRDefault="00790AA2">
            <w:pPr>
              <w:ind w:firstLine="22"/>
              <w:jc w:val="center"/>
              <w:rPr>
                <w:rFonts w:ascii="Times New Roman" w:eastAsia="Times New Roman" w:hAnsi="Times New Roman"/>
                <w:sz w:val="24"/>
                <w:szCs w:val="24"/>
                <w:lang w:val="uk-UA"/>
              </w:rPr>
            </w:pP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sz w:val="24"/>
                <w:szCs w:val="24"/>
                <w:lang w:val="uk-UA"/>
              </w:rPr>
            </w:pPr>
            <w:r>
              <w:rPr>
                <w:lang w:val="uk-UA"/>
              </w:rPr>
              <w:t>550</w:t>
            </w:r>
          </w:p>
        </w:tc>
      </w:tr>
      <w:tr w:rsidR="00790AA2" w:rsidTr="00790AA2">
        <w:tc>
          <w:tcPr>
            <w:tcW w:w="3212"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b/>
                <w:sz w:val="24"/>
                <w:szCs w:val="24"/>
                <w:lang w:val="uk-UA"/>
              </w:rPr>
            </w:pPr>
            <w:r>
              <w:rPr>
                <w:b/>
                <w:lang w:val="uk-UA"/>
              </w:rPr>
              <w:t>Всього за 10 місяців 2019 р.</w:t>
            </w:r>
          </w:p>
        </w:tc>
        <w:tc>
          <w:tcPr>
            <w:tcW w:w="3209"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b/>
                <w:sz w:val="24"/>
                <w:szCs w:val="24"/>
                <w:lang w:val="uk-UA"/>
              </w:rPr>
            </w:pPr>
            <w:r>
              <w:rPr>
                <w:b/>
                <w:lang w:val="uk-UA"/>
              </w:rPr>
              <w:t>6 843,2</w:t>
            </w:r>
          </w:p>
        </w:tc>
        <w:tc>
          <w:tcPr>
            <w:tcW w:w="3208" w:type="dxa"/>
            <w:tcBorders>
              <w:top w:val="single" w:sz="4" w:space="0" w:color="auto"/>
              <w:left w:val="single" w:sz="4" w:space="0" w:color="auto"/>
              <w:bottom w:val="single" w:sz="4" w:space="0" w:color="auto"/>
              <w:right w:val="single" w:sz="4" w:space="0" w:color="auto"/>
            </w:tcBorders>
            <w:hideMark/>
          </w:tcPr>
          <w:p w:rsidR="00790AA2" w:rsidRDefault="00790AA2">
            <w:pPr>
              <w:ind w:firstLine="22"/>
              <w:jc w:val="center"/>
              <w:rPr>
                <w:rFonts w:ascii="Times New Roman" w:eastAsia="Times New Roman" w:hAnsi="Times New Roman"/>
                <w:b/>
                <w:sz w:val="24"/>
                <w:szCs w:val="24"/>
                <w:lang w:val="uk-UA"/>
              </w:rPr>
            </w:pPr>
            <w:r>
              <w:rPr>
                <w:b/>
                <w:lang w:val="uk-UA"/>
              </w:rPr>
              <w:t>7272,0</w:t>
            </w:r>
          </w:p>
        </w:tc>
      </w:tr>
    </w:tbl>
    <w:p w:rsidR="00790AA2" w:rsidRDefault="00790AA2" w:rsidP="00790AA2">
      <w:pPr>
        <w:ind w:firstLine="851"/>
        <w:jc w:val="both"/>
        <w:rPr>
          <w:rFonts w:eastAsia="Times New Roman"/>
          <w:lang w:val="uk-UA"/>
        </w:rPr>
      </w:pPr>
    </w:p>
    <w:p w:rsidR="00790AA2" w:rsidRDefault="00790AA2" w:rsidP="00790AA2">
      <w:pPr>
        <w:ind w:firstLine="851"/>
        <w:jc w:val="both"/>
        <w:rPr>
          <w:lang w:val="uk-UA"/>
        </w:rPr>
      </w:pPr>
      <w:r>
        <w:rPr>
          <w:kern w:val="24"/>
          <w:lang w:val="uk-UA"/>
        </w:rPr>
        <w:t>Протягом 10 місяців 2019 року управлінням розміщено соціальної реклами для 70 заходів на умовах взаємозаліку в розрахунках.</w:t>
      </w:r>
    </w:p>
    <w:p w:rsidR="00790AA2" w:rsidRDefault="00790AA2" w:rsidP="00790AA2">
      <w:pPr>
        <w:widowControl w:val="0"/>
        <w:ind w:firstLine="851"/>
        <w:jc w:val="right"/>
        <w:rPr>
          <w:kern w:val="24"/>
          <w:lang w:val="uk-UA"/>
        </w:rPr>
      </w:pPr>
      <w:r>
        <w:rPr>
          <w:kern w:val="24"/>
          <w:lang w:val="uk-UA"/>
        </w:rPr>
        <w:t>Таблиця 6</w:t>
      </w:r>
    </w:p>
    <w:p w:rsidR="00790AA2" w:rsidRDefault="00790AA2" w:rsidP="00790AA2">
      <w:pPr>
        <w:widowControl w:val="0"/>
        <w:ind w:firstLine="851"/>
        <w:jc w:val="center"/>
        <w:rPr>
          <w:b/>
          <w:kern w:val="24"/>
          <w:lang w:val="uk-UA"/>
        </w:rPr>
      </w:pPr>
      <w:r>
        <w:rPr>
          <w:b/>
          <w:kern w:val="24"/>
          <w:lang w:val="uk-UA"/>
        </w:rPr>
        <w:t>Динаміка розміщення соціальної реклами, од.</w:t>
      </w:r>
    </w:p>
    <w:tbl>
      <w:tblPr>
        <w:tblStyle w:val="a4"/>
        <w:tblW w:w="0" w:type="auto"/>
        <w:jc w:val="center"/>
        <w:tblInd w:w="0" w:type="dxa"/>
        <w:tblLook w:val="04A0"/>
      </w:tblPr>
      <w:tblGrid>
        <w:gridCol w:w="3188"/>
        <w:gridCol w:w="3190"/>
        <w:gridCol w:w="3193"/>
      </w:tblGrid>
      <w:tr w:rsidR="00790AA2" w:rsidTr="00790AA2">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spacing w:line="276" w:lineRule="auto"/>
              <w:jc w:val="center"/>
              <w:rPr>
                <w:rFonts w:ascii="Times New Roman" w:eastAsia="Times New Roman" w:hAnsi="Times New Roman"/>
                <w:b/>
                <w:kern w:val="24"/>
                <w:sz w:val="24"/>
                <w:szCs w:val="24"/>
                <w:lang w:val="uk-UA"/>
              </w:rPr>
            </w:pPr>
            <w:r>
              <w:rPr>
                <w:b/>
                <w:kern w:val="24"/>
                <w:lang w:val="uk-UA"/>
              </w:rPr>
              <w:t>2017 рік</w:t>
            </w:r>
          </w:p>
        </w:tc>
        <w:tc>
          <w:tcPr>
            <w:tcW w:w="321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spacing w:line="276" w:lineRule="auto"/>
              <w:jc w:val="center"/>
              <w:rPr>
                <w:rFonts w:ascii="Times New Roman" w:eastAsia="Times New Roman" w:hAnsi="Times New Roman"/>
                <w:b/>
                <w:kern w:val="24"/>
                <w:sz w:val="24"/>
                <w:szCs w:val="24"/>
                <w:lang w:val="uk-UA"/>
              </w:rPr>
            </w:pPr>
            <w:r>
              <w:rPr>
                <w:b/>
                <w:kern w:val="24"/>
                <w:lang w:val="uk-UA"/>
              </w:rPr>
              <w:t>2018 рік</w:t>
            </w:r>
          </w:p>
        </w:tc>
        <w:tc>
          <w:tcPr>
            <w:tcW w:w="321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spacing w:line="276" w:lineRule="auto"/>
              <w:jc w:val="center"/>
              <w:rPr>
                <w:rFonts w:ascii="Times New Roman" w:eastAsia="Times New Roman" w:hAnsi="Times New Roman"/>
                <w:b/>
                <w:kern w:val="24"/>
                <w:sz w:val="24"/>
                <w:szCs w:val="24"/>
                <w:lang w:val="uk-UA"/>
              </w:rPr>
            </w:pPr>
            <w:r>
              <w:rPr>
                <w:b/>
                <w:kern w:val="24"/>
                <w:lang w:val="uk-UA"/>
              </w:rPr>
              <w:t>2019рік (прогноз)</w:t>
            </w:r>
          </w:p>
        </w:tc>
      </w:tr>
      <w:tr w:rsidR="00790AA2" w:rsidTr="00790AA2">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spacing w:line="276" w:lineRule="auto"/>
              <w:jc w:val="center"/>
              <w:rPr>
                <w:rFonts w:ascii="Times New Roman" w:eastAsia="Times New Roman" w:hAnsi="Times New Roman"/>
                <w:kern w:val="24"/>
                <w:sz w:val="24"/>
                <w:szCs w:val="24"/>
                <w:lang w:val="uk-UA"/>
              </w:rPr>
            </w:pPr>
            <w:r>
              <w:rPr>
                <w:kern w:val="24"/>
                <w:lang w:val="uk-UA"/>
              </w:rPr>
              <w:t>89</w:t>
            </w:r>
          </w:p>
        </w:tc>
        <w:tc>
          <w:tcPr>
            <w:tcW w:w="321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spacing w:line="276" w:lineRule="auto"/>
              <w:jc w:val="center"/>
              <w:rPr>
                <w:rFonts w:ascii="Times New Roman" w:eastAsia="Times New Roman" w:hAnsi="Times New Roman"/>
                <w:kern w:val="24"/>
                <w:sz w:val="24"/>
                <w:szCs w:val="24"/>
                <w:lang w:val="uk-UA"/>
              </w:rPr>
            </w:pPr>
            <w:r>
              <w:rPr>
                <w:kern w:val="24"/>
                <w:lang w:val="uk-UA"/>
              </w:rPr>
              <w:t>89</w:t>
            </w:r>
          </w:p>
        </w:tc>
        <w:tc>
          <w:tcPr>
            <w:tcW w:w="321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widowControl w:val="0"/>
              <w:spacing w:line="276" w:lineRule="auto"/>
              <w:jc w:val="center"/>
              <w:rPr>
                <w:rFonts w:ascii="Times New Roman" w:eastAsia="Times New Roman" w:hAnsi="Times New Roman"/>
                <w:kern w:val="24"/>
                <w:sz w:val="24"/>
                <w:szCs w:val="24"/>
                <w:lang w:val="uk-UA"/>
              </w:rPr>
            </w:pPr>
            <w:r>
              <w:rPr>
                <w:kern w:val="24"/>
                <w:lang w:val="uk-UA"/>
              </w:rPr>
              <w:t>90</w:t>
            </w:r>
          </w:p>
        </w:tc>
      </w:tr>
    </w:tbl>
    <w:p w:rsidR="00790AA2" w:rsidRDefault="00790AA2" w:rsidP="00790AA2">
      <w:pPr>
        <w:widowControl w:val="0"/>
        <w:ind w:firstLine="851"/>
        <w:jc w:val="both"/>
        <w:rPr>
          <w:rFonts w:eastAsia="Times New Roman"/>
          <w:kern w:val="24"/>
          <w:lang w:val="uk-UA"/>
        </w:rPr>
      </w:pPr>
    </w:p>
    <w:p w:rsidR="00790AA2" w:rsidRDefault="00790AA2" w:rsidP="00790AA2">
      <w:pPr>
        <w:widowControl w:val="0"/>
        <w:ind w:firstLine="851"/>
        <w:jc w:val="both"/>
        <w:rPr>
          <w:kern w:val="24"/>
          <w:lang w:val="uk-UA"/>
        </w:rPr>
      </w:pPr>
      <w:r>
        <w:rPr>
          <w:kern w:val="24"/>
          <w:lang w:val="uk-UA"/>
        </w:rPr>
        <w:t>На балансі КП «Парк Загребелля» знаходяться 59 архітектурних форм на зупинках громадського транспорту та 162 конструкції для розміщення об’яв, оголошень, афіш. Станом на жовтень 2019 року укладено 15 договорів на 97 турнікетів (у 2018 році – 14 договорів на 56 турнікетів), а також 294 договори на 443 штендера (у 2018 році – 227 договорів на 388 штендери).</w:t>
      </w:r>
    </w:p>
    <w:p w:rsidR="00790AA2" w:rsidRDefault="00790AA2" w:rsidP="00790AA2">
      <w:pPr>
        <w:widowControl w:val="0"/>
        <w:ind w:firstLine="851"/>
        <w:jc w:val="right"/>
        <w:rPr>
          <w:lang w:val="uk-UA"/>
        </w:rPr>
      </w:pPr>
    </w:p>
    <w:p w:rsidR="00790AA2" w:rsidRDefault="00790AA2" w:rsidP="00790AA2">
      <w:pPr>
        <w:widowControl w:val="0"/>
        <w:ind w:firstLine="851"/>
        <w:jc w:val="right"/>
        <w:rPr>
          <w:lang w:val="uk-UA"/>
        </w:rPr>
      </w:pPr>
    </w:p>
    <w:p w:rsidR="00790AA2" w:rsidRDefault="00790AA2" w:rsidP="00790AA2">
      <w:pPr>
        <w:widowControl w:val="0"/>
        <w:ind w:firstLine="851"/>
        <w:jc w:val="right"/>
        <w:rPr>
          <w:lang w:val="uk-UA"/>
        </w:rPr>
      </w:pPr>
    </w:p>
    <w:p w:rsidR="00790AA2" w:rsidRDefault="00790AA2" w:rsidP="00790AA2">
      <w:pPr>
        <w:widowControl w:val="0"/>
        <w:ind w:firstLine="851"/>
        <w:jc w:val="right"/>
        <w:rPr>
          <w:lang w:val="uk-UA"/>
        </w:rPr>
      </w:pPr>
    </w:p>
    <w:p w:rsidR="00790AA2" w:rsidRDefault="00790AA2" w:rsidP="00790AA2">
      <w:pPr>
        <w:widowControl w:val="0"/>
        <w:ind w:firstLine="851"/>
        <w:jc w:val="right"/>
        <w:rPr>
          <w:lang w:val="uk-UA"/>
        </w:rPr>
      </w:pPr>
    </w:p>
    <w:p w:rsidR="00790AA2" w:rsidRDefault="00790AA2" w:rsidP="00790AA2">
      <w:pPr>
        <w:widowControl w:val="0"/>
        <w:ind w:firstLine="851"/>
        <w:jc w:val="right"/>
        <w:rPr>
          <w:lang w:val="uk-UA"/>
        </w:rPr>
      </w:pPr>
      <w:r>
        <w:rPr>
          <w:lang w:val="uk-UA"/>
        </w:rPr>
        <w:lastRenderedPageBreak/>
        <w:t>Таблиця 7</w:t>
      </w:r>
    </w:p>
    <w:p w:rsidR="00790AA2" w:rsidRDefault="00790AA2" w:rsidP="00790AA2">
      <w:pPr>
        <w:widowControl w:val="0"/>
        <w:ind w:firstLine="851"/>
        <w:jc w:val="center"/>
        <w:rPr>
          <w:b/>
          <w:kern w:val="24"/>
          <w:lang w:val="uk-UA"/>
        </w:rPr>
      </w:pPr>
      <w:r>
        <w:rPr>
          <w:b/>
          <w:kern w:val="24"/>
          <w:lang w:val="uk-UA"/>
        </w:rPr>
        <w:t>Фінансова діяльність КП «Парк Загребелля», тис. грн.</w:t>
      </w:r>
    </w:p>
    <w:tbl>
      <w:tblPr>
        <w:tblStyle w:val="a4"/>
        <w:tblW w:w="9540" w:type="dxa"/>
        <w:jc w:val="center"/>
        <w:tblInd w:w="0" w:type="dxa"/>
        <w:tblLook w:val="04A0"/>
      </w:tblPr>
      <w:tblGrid>
        <w:gridCol w:w="2830"/>
        <w:gridCol w:w="2270"/>
        <w:gridCol w:w="2270"/>
        <w:gridCol w:w="2170"/>
      </w:tblGrid>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790AA2" w:rsidRDefault="00790AA2">
            <w:pPr>
              <w:spacing w:line="276" w:lineRule="auto"/>
              <w:jc w:val="center"/>
              <w:rPr>
                <w:rFonts w:ascii="Times New Roman" w:eastAsia="Arial Unicode MS" w:hAnsi="Times New Roman"/>
                <w:kern w:val="2"/>
                <w:sz w:val="24"/>
                <w:szCs w:val="24"/>
                <w:lang w:val="uk-UA" w:eastAsia="ar-SA"/>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2017 рік</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2018 рік</w:t>
            </w:r>
          </w:p>
        </w:tc>
        <w:tc>
          <w:tcPr>
            <w:tcW w:w="2170" w:type="dxa"/>
            <w:tcBorders>
              <w:top w:val="single" w:sz="4" w:space="0" w:color="auto"/>
              <w:left w:val="single" w:sz="4" w:space="0" w:color="auto"/>
              <w:bottom w:val="single" w:sz="4" w:space="0" w:color="auto"/>
              <w:right w:val="single" w:sz="4" w:space="0" w:color="auto"/>
            </w:tcBorders>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01.10.2019 року</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Доходи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737,3</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815,8</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820,5</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Витрати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712,8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779,9</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763,8</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Прибуток / Збиток</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17,6</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29,8</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46,4</w:t>
            </w:r>
          </w:p>
        </w:tc>
      </w:tr>
    </w:tbl>
    <w:p w:rsidR="00790AA2" w:rsidRDefault="00790AA2" w:rsidP="00790AA2">
      <w:pPr>
        <w:widowControl w:val="0"/>
        <w:ind w:firstLine="851"/>
        <w:jc w:val="both"/>
        <w:rPr>
          <w:rFonts w:eastAsia="Times New Roman"/>
          <w:kern w:val="24"/>
          <w:lang w:val="uk-UA"/>
        </w:rPr>
      </w:pPr>
    </w:p>
    <w:p w:rsidR="00790AA2" w:rsidRDefault="00790AA2" w:rsidP="00790AA2">
      <w:pPr>
        <w:widowControl w:val="0"/>
        <w:ind w:firstLine="851"/>
        <w:jc w:val="center"/>
        <w:rPr>
          <w:b/>
          <w:lang w:val="uk-UA"/>
        </w:rPr>
      </w:pPr>
      <w:r>
        <w:rPr>
          <w:b/>
          <w:kern w:val="24"/>
          <w:lang w:val="uk-UA"/>
        </w:rPr>
        <w:t>4. Інвестиційна діяльність та стратегічне планування</w:t>
      </w:r>
    </w:p>
    <w:p w:rsidR="00790AA2" w:rsidRDefault="00790AA2" w:rsidP="00790AA2">
      <w:pPr>
        <w:ind w:firstLine="851"/>
        <w:jc w:val="both"/>
        <w:rPr>
          <w:lang w:val="uk-UA"/>
        </w:rPr>
      </w:pPr>
      <w:r>
        <w:rPr>
          <w:lang w:val="uk-UA"/>
        </w:rPr>
        <w:t>За 2019 рік укладено 2 інвестиційні договори:</w:t>
      </w:r>
    </w:p>
    <w:p w:rsidR="00790AA2" w:rsidRDefault="00790AA2" w:rsidP="00790AA2">
      <w:pPr>
        <w:ind w:firstLine="851"/>
        <w:jc w:val="both"/>
        <w:rPr>
          <w:lang w:val="uk-UA"/>
        </w:rPr>
      </w:pPr>
      <w:r>
        <w:rPr>
          <w:lang w:val="uk-UA"/>
        </w:rPr>
        <w:t>- від 21.02.2019 року №45 щодо будівництва громадсько-житлового комплексу з підземно-наземним гаражем манежного типу (паркінгом), вул. М. Шептицького-Доли;</w:t>
      </w:r>
    </w:p>
    <w:p w:rsidR="00790AA2" w:rsidRDefault="00790AA2" w:rsidP="00790AA2">
      <w:pPr>
        <w:ind w:firstLine="851"/>
        <w:jc w:val="both"/>
        <w:rPr>
          <w:lang w:val="uk-UA"/>
        </w:rPr>
      </w:pPr>
      <w:r>
        <w:rPr>
          <w:lang w:val="uk-UA"/>
        </w:rPr>
        <w:t>- від 07.10.2019 року №47 щодо будівництва футбольного поля зі штучним покриттям (44×24 м), вул. Л. Українки, 3а.</w:t>
      </w:r>
    </w:p>
    <w:p w:rsidR="00790AA2" w:rsidRDefault="00790AA2" w:rsidP="00790AA2">
      <w:pPr>
        <w:ind w:firstLine="851"/>
        <w:jc w:val="both"/>
        <w:rPr>
          <w:lang w:val="uk-UA"/>
        </w:rPr>
      </w:pPr>
      <w:r>
        <w:rPr>
          <w:lang w:val="uk-UA"/>
        </w:rPr>
        <w:t>Реалізовано 2 інвестиційні договори:</w:t>
      </w:r>
    </w:p>
    <w:p w:rsidR="00790AA2" w:rsidRDefault="00790AA2" w:rsidP="00790AA2">
      <w:pPr>
        <w:ind w:firstLine="851"/>
        <w:jc w:val="both"/>
        <w:rPr>
          <w:lang w:val="uk-UA"/>
        </w:rPr>
      </w:pPr>
      <w:r>
        <w:rPr>
          <w:lang w:val="uk-UA"/>
        </w:rPr>
        <w:t>- від 05.07.2016 року №33 щодо будівництва та облаштування торгово-офісних приміщень, вул. Живова;</w:t>
      </w:r>
    </w:p>
    <w:p w:rsidR="00790AA2" w:rsidRDefault="00790AA2" w:rsidP="00790AA2">
      <w:pPr>
        <w:ind w:firstLine="851"/>
        <w:jc w:val="both"/>
        <w:rPr>
          <w:lang w:val="uk-UA"/>
        </w:rPr>
      </w:pPr>
      <w:r>
        <w:rPr>
          <w:lang w:val="uk-UA"/>
        </w:rPr>
        <w:t>- від 10.08.2016 року №36 щодо реконструкції тенісних кортів на території парку «Топільче».</w:t>
      </w:r>
    </w:p>
    <w:p w:rsidR="00790AA2" w:rsidRDefault="00790AA2" w:rsidP="00790AA2">
      <w:pPr>
        <w:ind w:firstLine="851"/>
        <w:jc w:val="both"/>
        <w:rPr>
          <w:lang w:val="uk-UA"/>
        </w:rPr>
      </w:pPr>
      <w:r>
        <w:rPr>
          <w:lang w:val="uk-UA"/>
        </w:rPr>
        <w:t>На стадії укладання знаходиться 1 інвестиційний договір:</w:t>
      </w:r>
    </w:p>
    <w:p w:rsidR="00790AA2" w:rsidRDefault="00790AA2" w:rsidP="00790AA2">
      <w:pPr>
        <w:ind w:firstLine="851"/>
        <w:jc w:val="both"/>
        <w:rPr>
          <w:lang w:val="uk-UA"/>
        </w:rPr>
      </w:pPr>
      <w:r>
        <w:rPr>
          <w:lang w:val="uk-UA"/>
        </w:rPr>
        <w:t>- щодо модернізації частини центрального стадіону м. Тернополя з облаштуванням приміщень громадського призначення, просп. С. Бандери, 15.</w:t>
      </w:r>
    </w:p>
    <w:p w:rsidR="00790AA2" w:rsidRDefault="00790AA2" w:rsidP="00790AA2">
      <w:pPr>
        <w:ind w:firstLine="851"/>
        <w:jc w:val="right"/>
        <w:rPr>
          <w:rFonts w:eastAsia="Arial Unicode MS"/>
          <w:kern w:val="2"/>
          <w:lang w:val="uk-UA" w:eastAsia="ar-SA"/>
        </w:rPr>
      </w:pPr>
      <w:r>
        <w:rPr>
          <w:rFonts w:eastAsia="Arial Unicode MS"/>
          <w:kern w:val="2"/>
          <w:lang w:val="uk-UA" w:eastAsia="ar-SA"/>
        </w:rPr>
        <w:t>Таблиця 8</w:t>
      </w:r>
    </w:p>
    <w:tbl>
      <w:tblPr>
        <w:tblStyle w:val="a4"/>
        <w:tblW w:w="9540" w:type="dxa"/>
        <w:jc w:val="center"/>
        <w:tblInd w:w="0" w:type="dxa"/>
        <w:tblLook w:val="04A0"/>
      </w:tblPr>
      <w:tblGrid>
        <w:gridCol w:w="2830"/>
        <w:gridCol w:w="2270"/>
        <w:gridCol w:w="2270"/>
        <w:gridCol w:w="2170"/>
      </w:tblGrid>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790AA2" w:rsidRDefault="00790AA2">
            <w:pPr>
              <w:spacing w:line="276" w:lineRule="auto"/>
              <w:jc w:val="center"/>
              <w:rPr>
                <w:rFonts w:ascii="Times New Roman" w:eastAsia="Arial Unicode MS" w:hAnsi="Times New Roman"/>
                <w:kern w:val="2"/>
                <w:sz w:val="24"/>
                <w:szCs w:val="24"/>
                <w:lang w:val="uk-UA" w:eastAsia="ar-SA"/>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2017 рік</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2018 рік</w:t>
            </w:r>
          </w:p>
        </w:tc>
        <w:tc>
          <w:tcPr>
            <w:tcW w:w="2170" w:type="dxa"/>
            <w:tcBorders>
              <w:top w:val="single" w:sz="4" w:space="0" w:color="auto"/>
              <w:left w:val="single" w:sz="4" w:space="0" w:color="auto"/>
              <w:bottom w:val="single" w:sz="4" w:space="0" w:color="auto"/>
              <w:right w:val="single" w:sz="4" w:space="0" w:color="auto"/>
            </w:tcBorders>
            <w:hideMark/>
          </w:tcPr>
          <w:p w:rsidR="00790AA2" w:rsidRDefault="00790AA2">
            <w:pPr>
              <w:spacing w:line="276" w:lineRule="auto"/>
              <w:jc w:val="center"/>
              <w:rPr>
                <w:rFonts w:ascii="Times New Roman" w:eastAsia="Arial Unicode MS" w:hAnsi="Times New Roman"/>
                <w:b/>
                <w:kern w:val="2"/>
                <w:sz w:val="24"/>
                <w:szCs w:val="24"/>
                <w:lang w:val="uk-UA" w:eastAsia="ar-SA"/>
              </w:rPr>
            </w:pPr>
            <w:r>
              <w:rPr>
                <w:rFonts w:eastAsia="Arial Unicode MS"/>
                <w:b/>
                <w:kern w:val="2"/>
                <w:lang w:val="uk-UA" w:eastAsia="ar-SA"/>
              </w:rPr>
              <w:t>01.11.2019 року</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Реалізовано інвестиційних договорів</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5</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3</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2</w:t>
            </w:r>
          </w:p>
        </w:tc>
      </w:tr>
      <w:tr w:rsidR="00790AA2" w:rsidTr="00790AA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Укладено інвестиційних договорів</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3</w:t>
            </w:r>
          </w:p>
        </w:tc>
        <w:tc>
          <w:tcPr>
            <w:tcW w:w="2170" w:type="dxa"/>
            <w:tcBorders>
              <w:top w:val="single" w:sz="4" w:space="0" w:color="auto"/>
              <w:left w:val="single" w:sz="4" w:space="0" w:color="auto"/>
              <w:bottom w:val="single" w:sz="4" w:space="0" w:color="auto"/>
              <w:right w:val="single" w:sz="4" w:space="0" w:color="auto"/>
            </w:tcBorders>
            <w:vAlign w:val="center"/>
            <w:hideMark/>
          </w:tcPr>
          <w:p w:rsidR="00790AA2" w:rsidRDefault="00790AA2">
            <w:pPr>
              <w:spacing w:line="276" w:lineRule="auto"/>
              <w:jc w:val="center"/>
              <w:rPr>
                <w:rFonts w:ascii="Times New Roman" w:eastAsia="Arial Unicode MS" w:hAnsi="Times New Roman"/>
                <w:kern w:val="2"/>
                <w:sz w:val="24"/>
                <w:szCs w:val="24"/>
                <w:lang w:val="uk-UA" w:eastAsia="ar-SA"/>
              </w:rPr>
            </w:pPr>
            <w:r>
              <w:rPr>
                <w:rFonts w:eastAsia="Arial Unicode MS"/>
                <w:kern w:val="2"/>
                <w:lang w:val="uk-UA" w:eastAsia="ar-SA"/>
              </w:rPr>
              <w:t>3</w:t>
            </w:r>
          </w:p>
        </w:tc>
      </w:tr>
    </w:tbl>
    <w:p w:rsidR="00790AA2" w:rsidRDefault="00790AA2" w:rsidP="00790AA2">
      <w:pPr>
        <w:ind w:firstLine="851"/>
        <w:jc w:val="both"/>
        <w:rPr>
          <w:rFonts w:eastAsia="Arial Unicode MS"/>
          <w:kern w:val="2"/>
          <w:lang w:val="uk-UA" w:eastAsia="ar-SA"/>
        </w:rPr>
      </w:pPr>
      <w:r>
        <w:rPr>
          <w:rFonts w:eastAsia="Arial Unicode MS"/>
          <w:kern w:val="2"/>
          <w:lang w:val="uk-UA" w:eastAsia="ar-SA"/>
        </w:rPr>
        <w:t>Національне рейтингове агентство «ІВІ-Rating» підвищило рейтинг інвестиційної привабливості м. Тернополя до рівня invА (високий).</w:t>
      </w:r>
    </w:p>
    <w:p w:rsidR="00790AA2" w:rsidRDefault="00790AA2" w:rsidP="00790AA2">
      <w:pPr>
        <w:jc w:val="center"/>
        <w:rPr>
          <w:rFonts w:eastAsia="Arial Unicode MS"/>
          <w:kern w:val="2"/>
          <w:lang w:val="uk-UA" w:eastAsia="ar-SA"/>
        </w:rPr>
      </w:pPr>
    </w:p>
    <w:p w:rsidR="00790AA2" w:rsidRDefault="00790AA2" w:rsidP="00790AA2">
      <w:pPr>
        <w:jc w:val="center"/>
        <w:rPr>
          <w:rFonts w:eastAsia="Arial Unicode MS"/>
          <w:b/>
          <w:kern w:val="2"/>
          <w:lang w:val="uk-UA" w:eastAsia="ar-SA"/>
        </w:rPr>
      </w:pPr>
      <w:r>
        <w:rPr>
          <w:rFonts w:eastAsia="Arial Unicode MS"/>
          <w:b/>
          <w:kern w:val="2"/>
          <w:lang w:val="uk-UA" w:eastAsia="ar-SA"/>
        </w:rPr>
        <w:t>Рис. 6. Динаміка рейтингу інвестиційної привабливості міста Тернополя</w:t>
      </w:r>
    </w:p>
    <w:p w:rsidR="00790AA2" w:rsidRDefault="00790AA2" w:rsidP="00790AA2">
      <w:pPr>
        <w:ind w:firstLine="851"/>
        <w:jc w:val="both"/>
        <w:rPr>
          <w:rFonts w:eastAsia="Times New Roman"/>
          <w:lang w:val="uk-UA"/>
        </w:rPr>
      </w:pPr>
      <w:r>
        <w:rPr>
          <w:lang w:val="uk-UA"/>
        </w:rPr>
        <w:t>Також рішенням сесії міської ради від 25.10.2019 року №7/39/134 затверджено План стратегічного розвитку Тернопільської міської територіальної громади до 2029 року, який являє собою основний та комплексний документ перспективного бачення розвитку ТМТГ. Його підготовлено згідно вимог чинних рекомендацій щодо розроблення нормативно-правових документів даного характеру. Окрім цього, управління щорічно звітуватиметься щодо перебігу реалізації даного плану, починаючи з 2020 року.</w:t>
      </w:r>
    </w:p>
    <w:p w:rsidR="00790AA2" w:rsidRDefault="00790AA2" w:rsidP="00790AA2">
      <w:pPr>
        <w:widowControl w:val="0"/>
        <w:suppressAutoHyphens/>
        <w:ind w:firstLine="851"/>
        <w:jc w:val="both"/>
        <w:rPr>
          <w:rFonts w:eastAsia="Arial Unicode MS"/>
          <w:kern w:val="2"/>
          <w:lang w:val="uk-UA" w:eastAsia="ar-SA"/>
        </w:rPr>
      </w:pPr>
    </w:p>
    <w:p w:rsidR="00790AA2" w:rsidRDefault="00790AA2" w:rsidP="00790AA2">
      <w:pPr>
        <w:widowControl w:val="0"/>
        <w:suppressAutoHyphens/>
        <w:ind w:firstLine="851"/>
        <w:jc w:val="center"/>
        <w:rPr>
          <w:rFonts w:eastAsia="Arial Unicode MS"/>
          <w:b/>
          <w:kern w:val="2"/>
          <w:lang w:val="uk-UA" w:eastAsia="ar-SA"/>
        </w:rPr>
      </w:pPr>
      <w:r>
        <w:rPr>
          <w:rFonts w:eastAsia="Arial Unicode MS"/>
          <w:b/>
          <w:kern w:val="2"/>
          <w:lang w:val="uk-UA" w:eastAsia="ar-SA"/>
        </w:rPr>
        <w:t>7. Місце Тернополя у рейтингових оцінюваннях</w:t>
      </w:r>
    </w:p>
    <w:p w:rsidR="00790AA2" w:rsidRDefault="00790AA2" w:rsidP="00790AA2">
      <w:pPr>
        <w:widowControl w:val="0"/>
        <w:suppressAutoHyphens/>
        <w:ind w:firstLine="851"/>
        <w:jc w:val="both"/>
        <w:rPr>
          <w:rFonts w:eastAsia="Arial Unicode MS"/>
          <w:kern w:val="2"/>
          <w:lang w:val="uk-UA" w:eastAsia="ar-SA"/>
        </w:rPr>
      </w:pPr>
      <w:r>
        <w:rPr>
          <w:rFonts w:eastAsia="Arial Unicode MS"/>
          <w:kern w:val="2"/>
          <w:lang w:val="uk-UA" w:eastAsia="ar-SA"/>
        </w:rPr>
        <w:t>Тернопіль продовжує займати перші або лідерські місця в національних та міжнародних рейтингах та конкурсах, а саме:</w:t>
      </w:r>
    </w:p>
    <w:p w:rsidR="00790AA2" w:rsidRDefault="00790AA2" w:rsidP="00790AA2">
      <w:pPr>
        <w:widowControl w:val="0"/>
        <w:suppressAutoHyphens/>
        <w:ind w:firstLine="851"/>
        <w:jc w:val="both"/>
        <w:rPr>
          <w:rFonts w:eastAsia="Arial Unicode MS"/>
          <w:kern w:val="2"/>
          <w:lang w:val="uk-UA" w:eastAsia="ar-SA"/>
        </w:rPr>
      </w:pPr>
      <w:r>
        <w:rPr>
          <w:rFonts w:eastAsia="Arial Unicode MS"/>
          <w:kern w:val="2"/>
          <w:lang w:val="uk-UA" w:eastAsia="ar-SA"/>
        </w:rPr>
        <w:t>- переможець на «KyivSmartCityForum 2019» в номінації «Відкрите інноваційне місто»;</w:t>
      </w:r>
    </w:p>
    <w:p w:rsidR="00790AA2" w:rsidRDefault="00790AA2" w:rsidP="00790AA2">
      <w:pPr>
        <w:ind w:firstLine="851"/>
        <w:jc w:val="both"/>
        <w:rPr>
          <w:rFonts w:eastAsia="Times New Roman"/>
          <w:lang w:val="uk-UA"/>
        </w:rPr>
      </w:pPr>
      <w:r>
        <w:rPr>
          <w:lang w:val="uk-UA"/>
        </w:rPr>
        <w:t>- переможець в національному конкурсі з відкритих даних «OpenDataCityAward» (Міністерство цифрової трансформації України);</w:t>
      </w:r>
    </w:p>
    <w:p w:rsidR="00790AA2" w:rsidRDefault="00790AA2" w:rsidP="00790AA2">
      <w:pPr>
        <w:ind w:firstLine="851"/>
        <w:jc w:val="both"/>
        <w:rPr>
          <w:lang w:val="uk-UA"/>
        </w:rPr>
      </w:pPr>
      <w:r>
        <w:rPr>
          <w:lang w:val="uk-UA"/>
        </w:rPr>
        <w:t>- 4 місце в проміжному «Рейтингу прозорості інвестиційної сфери в Україні» («TransparentCities/Прозорі міста»);</w:t>
      </w:r>
    </w:p>
    <w:p w:rsidR="00790AA2" w:rsidRDefault="00790AA2" w:rsidP="00790AA2">
      <w:pPr>
        <w:ind w:firstLine="851"/>
        <w:jc w:val="both"/>
        <w:rPr>
          <w:lang w:val="uk-UA"/>
        </w:rPr>
      </w:pPr>
      <w:r>
        <w:rPr>
          <w:lang w:val="uk-UA"/>
        </w:rPr>
        <w:t>- 5 місце в «Рейтингу прозорості місцевих бюджетів» (Громадське партнерство «За прозорі місцеві бюджети»);</w:t>
      </w:r>
    </w:p>
    <w:p w:rsidR="00790AA2" w:rsidRDefault="00790AA2" w:rsidP="00790AA2">
      <w:pPr>
        <w:ind w:firstLine="851"/>
        <w:jc w:val="both"/>
        <w:rPr>
          <w:lang w:val="uk-UA"/>
        </w:rPr>
      </w:pPr>
      <w:r>
        <w:rPr>
          <w:lang w:val="uk-UA"/>
        </w:rPr>
        <w:t>- 6 місце за «Індексом публічності органів місцевого самоврядування» (Громадянська мережа «ОПОРА»);</w:t>
      </w:r>
    </w:p>
    <w:p w:rsidR="00790AA2" w:rsidRDefault="00790AA2" w:rsidP="00790AA2">
      <w:pPr>
        <w:ind w:firstLine="851"/>
        <w:jc w:val="both"/>
        <w:rPr>
          <w:lang w:val="uk-UA"/>
        </w:rPr>
      </w:pPr>
      <w:r>
        <w:rPr>
          <w:lang w:val="uk-UA"/>
        </w:rPr>
        <w:t>- 7 місце за «Індексом місцевої електронної демократії в Україні» (Громадська спілка «Центр розвитку інновацій»);</w:t>
      </w:r>
    </w:p>
    <w:p w:rsidR="00790AA2" w:rsidRDefault="00790AA2" w:rsidP="00790AA2">
      <w:pPr>
        <w:ind w:firstLine="851"/>
        <w:jc w:val="both"/>
        <w:rPr>
          <w:lang w:val="uk-UA"/>
        </w:rPr>
      </w:pPr>
      <w:r>
        <w:rPr>
          <w:lang w:val="uk-UA"/>
        </w:rPr>
        <w:t>- 8 місце в проміжному «Рейтингу найпрозоріших міст України» («TransparentCities/Прозорі міста»);</w:t>
      </w:r>
    </w:p>
    <w:p w:rsidR="00790AA2" w:rsidRDefault="00790AA2" w:rsidP="00790AA2">
      <w:pPr>
        <w:ind w:firstLine="851"/>
        <w:jc w:val="both"/>
        <w:rPr>
          <w:lang w:val="uk-UA"/>
        </w:rPr>
      </w:pPr>
      <w:r>
        <w:rPr>
          <w:lang w:val="uk-UA"/>
        </w:rPr>
        <w:t>- 10 місце в «Рейтингу найкомфортніших міст України» (журнал «ФОКУС»).</w:t>
      </w:r>
    </w:p>
    <w:p w:rsidR="00790AA2" w:rsidRDefault="00790AA2" w:rsidP="00790AA2">
      <w:pPr>
        <w:ind w:firstLine="851"/>
        <w:jc w:val="both"/>
        <w:rPr>
          <w:lang w:val="uk-UA"/>
        </w:rPr>
      </w:pPr>
    </w:p>
    <w:p w:rsidR="00790AA2" w:rsidRDefault="00790AA2" w:rsidP="00790AA2">
      <w:pPr>
        <w:tabs>
          <w:tab w:val="left" w:pos="4132"/>
        </w:tabs>
        <w:ind w:firstLine="851"/>
        <w:jc w:val="center"/>
        <w:rPr>
          <w:b/>
          <w:lang w:val="uk-UA"/>
        </w:rPr>
      </w:pPr>
      <w:r>
        <w:rPr>
          <w:b/>
          <w:lang w:val="uk-UA"/>
        </w:rPr>
        <w:t>8. Фонд заробітної плати управління</w:t>
      </w:r>
    </w:p>
    <w:p w:rsidR="00790AA2" w:rsidRDefault="00790AA2" w:rsidP="00790AA2">
      <w:pPr>
        <w:tabs>
          <w:tab w:val="left" w:pos="4132"/>
        </w:tabs>
        <w:ind w:firstLine="851"/>
        <w:jc w:val="both"/>
        <w:rPr>
          <w:lang w:val="uk-UA"/>
        </w:rPr>
      </w:pPr>
      <w:r>
        <w:rPr>
          <w:lang w:val="uk-UA"/>
        </w:rPr>
        <w:t>Фонд заробітної плати за 10 місяців 2018 року в порівнянні з аналогічним періодом минулого року наведено в табл. 9.</w:t>
      </w:r>
    </w:p>
    <w:p w:rsidR="00790AA2" w:rsidRDefault="00790AA2" w:rsidP="00790AA2">
      <w:pPr>
        <w:tabs>
          <w:tab w:val="left" w:pos="4132"/>
        </w:tabs>
        <w:ind w:firstLine="851"/>
        <w:jc w:val="right"/>
        <w:rPr>
          <w:lang w:val="uk-UA"/>
        </w:rPr>
      </w:pPr>
      <w:r>
        <w:rPr>
          <w:lang w:val="uk-UA"/>
        </w:rPr>
        <w:t>Таблиця 9</w:t>
      </w:r>
    </w:p>
    <w:p w:rsidR="00790AA2" w:rsidRDefault="00790AA2" w:rsidP="00790AA2">
      <w:pPr>
        <w:tabs>
          <w:tab w:val="left" w:pos="4132"/>
        </w:tabs>
        <w:ind w:firstLine="851"/>
        <w:jc w:val="center"/>
        <w:rPr>
          <w:b/>
          <w:lang w:val="uk-UA"/>
        </w:rPr>
      </w:pPr>
      <w:r>
        <w:rPr>
          <w:b/>
          <w:lang w:val="uk-UA"/>
        </w:rPr>
        <w:t>Фонд заробітної плати управління, тис. грн.</w:t>
      </w:r>
    </w:p>
    <w:tbl>
      <w:tblPr>
        <w:tblStyle w:val="a4"/>
        <w:tblW w:w="0" w:type="auto"/>
        <w:jc w:val="center"/>
        <w:tblInd w:w="0" w:type="dxa"/>
        <w:tblLook w:val="04A0"/>
      </w:tblPr>
      <w:tblGrid>
        <w:gridCol w:w="2545"/>
        <w:gridCol w:w="2495"/>
        <w:gridCol w:w="2094"/>
        <w:gridCol w:w="2094"/>
      </w:tblGrid>
      <w:tr w:rsidR="00790AA2" w:rsidTr="00790AA2">
        <w:trPr>
          <w:jc w:val="center"/>
        </w:trPr>
        <w:tc>
          <w:tcPr>
            <w:tcW w:w="2545" w:type="dxa"/>
            <w:tcBorders>
              <w:top w:val="single" w:sz="4" w:space="0" w:color="auto"/>
              <w:left w:val="single" w:sz="4" w:space="0" w:color="auto"/>
              <w:bottom w:val="single" w:sz="4" w:space="0" w:color="auto"/>
              <w:right w:val="single" w:sz="4" w:space="0" w:color="auto"/>
            </w:tcBorders>
            <w:vAlign w:val="center"/>
          </w:tcPr>
          <w:p w:rsidR="00790AA2" w:rsidRDefault="00790AA2">
            <w:pPr>
              <w:tabs>
                <w:tab w:val="left" w:pos="4132"/>
              </w:tabs>
              <w:spacing w:line="276" w:lineRule="auto"/>
              <w:jc w:val="center"/>
              <w:rPr>
                <w:rFonts w:ascii="Times New Roman" w:eastAsia="Times New Roman" w:hAnsi="Times New Roman"/>
                <w:sz w:val="24"/>
                <w:szCs w:val="24"/>
                <w:lang w:val="uk-UA"/>
              </w:rPr>
            </w:pPr>
          </w:p>
        </w:tc>
        <w:tc>
          <w:tcPr>
            <w:tcW w:w="249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b/>
                <w:sz w:val="24"/>
                <w:szCs w:val="24"/>
                <w:lang w:val="uk-UA"/>
              </w:rPr>
            </w:pPr>
            <w:r>
              <w:rPr>
                <w:b/>
                <w:lang w:val="uk-UA"/>
              </w:rPr>
              <w:t>01.11.2017 року</w:t>
            </w:r>
          </w:p>
        </w:tc>
        <w:tc>
          <w:tcPr>
            <w:tcW w:w="209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b/>
                <w:sz w:val="24"/>
                <w:szCs w:val="24"/>
                <w:lang w:val="uk-UA"/>
              </w:rPr>
            </w:pPr>
            <w:r>
              <w:rPr>
                <w:b/>
                <w:lang w:val="uk-UA"/>
              </w:rPr>
              <w:t>01.11.2018 року</w:t>
            </w:r>
          </w:p>
        </w:tc>
        <w:tc>
          <w:tcPr>
            <w:tcW w:w="2094" w:type="dxa"/>
            <w:tcBorders>
              <w:top w:val="single" w:sz="4" w:space="0" w:color="auto"/>
              <w:left w:val="single" w:sz="4" w:space="0" w:color="auto"/>
              <w:bottom w:val="single" w:sz="4" w:space="0" w:color="auto"/>
              <w:right w:val="single" w:sz="4" w:space="0" w:color="auto"/>
            </w:tcBorders>
            <w:hideMark/>
          </w:tcPr>
          <w:p w:rsidR="00790AA2" w:rsidRDefault="00790AA2">
            <w:pPr>
              <w:tabs>
                <w:tab w:val="left" w:pos="4132"/>
              </w:tabs>
              <w:spacing w:line="276" w:lineRule="auto"/>
              <w:jc w:val="center"/>
              <w:rPr>
                <w:rFonts w:ascii="Times New Roman" w:eastAsia="Times New Roman" w:hAnsi="Times New Roman"/>
                <w:b/>
                <w:sz w:val="24"/>
                <w:szCs w:val="24"/>
                <w:lang w:val="uk-UA"/>
              </w:rPr>
            </w:pPr>
            <w:r>
              <w:rPr>
                <w:b/>
                <w:lang w:val="uk-UA"/>
              </w:rPr>
              <w:t>01.11.2019 року</w:t>
            </w:r>
          </w:p>
        </w:tc>
      </w:tr>
      <w:tr w:rsidR="00790AA2" w:rsidTr="00790AA2">
        <w:trPr>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Кількість працівників</w:t>
            </w:r>
          </w:p>
        </w:tc>
        <w:tc>
          <w:tcPr>
            <w:tcW w:w="249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10</w:t>
            </w:r>
          </w:p>
        </w:tc>
        <w:tc>
          <w:tcPr>
            <w:tcW w:w="209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10</w:t>
            </w:r>
          </w:p>
        </w:tc>
        <w:tc>
          <w:tcPr>
            <w:tcW w:w="2094" w:type="dxa"/>
            <w:tcBorders>
              <w:top w:val="single" w:sz="4" w:space="0" w:color="auto"/>
              <w:left w:val="single" w:sz="4" w:space="0" w:color="auto"/>
              <w:bottom w:val="single" w:sz="4" w:space="0" w:color="auto"/>
              <w:right w:val="single" w:sz="4" w:space="0" w:color="auto"/>
            </w:tcBorders>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10</w:t>
            </w:r>
          </w:p>
        </w:tc>
      </w:tr>
      <w:tr w:rsidR="00790AA2" w:rsidTr="00790AA2">
        <w:trPr>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Фонд заробітної плати</w:t>
            </w:r>
          </w:p>
        </w:tc>
        <w:tc>
          <w:tcPr>
            <w:tcW w:w="249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1260,3</w:t>
            </w:r>
          </w:p>
        </w:tc>
        <w:tc>
          <w:tcPr>
            <w:tcW w:w="209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1 448,4</w:t>
            </w:r>
          </w:p>
        </w:tc>
        <w:tc>
          <w:tcPr>
            <w:tcW w:w="2094" w:type="dxa"/>
            <w:tcBorders>
              <w:top w:val="single" w:sz="4" w:space="0" w:color="auto"/>
              <w:left w:val="single" w:sz="4" w:space="0" w:color="auto"/>
              <w:bottom w:val="single" w:sz="4" w:space="0" w:color="auto"/>
              <w:right w:val="single" w:sz="4" w:space="0" w:color="auto"/>
            </w:tcBorders>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1 742,0</w:t>
            </w:r>
          </w:p>
        </w:tc>
      </w:tr>
      <w:tr w:rsidR="00790AA2" w:rsidTr="00790AA2">
        <w:trPr>
          <w:jc w:val="center"/>
        </w:trPr>
        <w:tc>
          <w:tcPr>
            <w:tcW w:w="254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В т.ч. премія</w:t>
            </w:r>
          </w:p>
        </w:tc>
        <w:tc>
          <w:tcPr>
            <w:tcW w:w="2495"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356,9</w:t>
            </w:r>
          </w:p>
        </w:tc>
        <w:tc>
          <w:tcPr>
            <w:tcW w:w="2094" w:type="dxa"/>
            <w:tcBorders>
              <w:top w:val="single" w:sz="4" w:space="0" w:color="auto"/>
              <w:left w:val="single" w:sz="4" w:space="0" w:color="auto"/>
              <w:bottom w:val="single" w:sz="4" w:space="0" w:color="auto"/>
              <w:right w:val="single" w:sz="4" w:space="0" w:color="auto"/>
            </w:tcBorders>
            <w:vAlign w:val="center"/>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228,9</w:t>
            </w:r>
          </w:p>
        </w:tc>
        <w:tc>
          <w:tcPr>
            <w:tcW w:w="2094" w:type="dxa"/>
            <w:tcBorders>
              <w:top w:val="single" w:sz="4" w:space="0" w:color="auto"/>
              <w:left w:val="single" w:sz="4" w:space="0" w:color="auto"/>
              <w:bottom w:val="single" w:sz="4" w:space="0" w:color="auto"/>
              <w:right w:val="single" w:sz="4" w:space="0" w:color="auto"/>
            </w:tcBorders>
            <w:hideMark/>
          </w:tcPr>
          <w:p w:rsidR="00790AA2" w:rsidRDefault="00790AA2">
            <w:pPr>
              <w:tabs>
                <w:tab w:val="left" w:pos="4132"/>
              </w:tabs>
              <w:spacing w:line="276" w:lineRule="auto"/>
              <w:jc w:val="center"/>
              <w:rPr>
                <w:rFonts w:ascii="Times New Roman" w:eastAsia="Times New Roman" w:hAnsi="Times New Roman"/>
                <w:sz w:val="24"/>
                <w:szCs w:val="24"/>
                <w:lang w:val="uk-UA"/>
              </w:rPr>
            </w:pPr>
            <w:r>
              <w:rPr>
                <w:lang w:val="uk-UA"/>
              </w:rPr>
              <w:t>296,3</w:t>
            </w:r>
          </w:p>
        </w:tc>
      </w:tr>
    </w:tbl>
    <w:p w:rsidR="00790AA2" w:rsidRDefault="00790AA2" w:rsidP="00790AA2">
      <w:pPr>
        <w:tabs>
          <w:tab w:val="left" w:pos="4132"/>
        </w:tabs>
        <w:ind w:firstLine="851"/>
        <w:jc w:val="both"/>
        <w:rPr>
          <w:rFonts w:eastAsia="Times New Roman"/>
          <w:lang w:val="uk-UA"/>
        </w:rPr>
      </w:pPr>
    </w:p>
    <w:p w:rsidR="00790AA2" w:rsidRDefault="00790AA2" w:rsidP="00790AA2">
      <w:pPr>
        <w:tabs>
          <w:tab w:val="left" w:pos="4132"/>
        </w:tabs>
        <w:ind w:firstLine="851"/>
        <w:jc w:val="center"/>
        <w:rPr>
          <w:lang w:val="uk-UA"/>
        </w:rPr>
      </w:pPr>
    </w:p>
    <w:p w:rsidR="00790AA2" w:rsidRDefault="00790AA2" w:rsidP="00790AA2">
      <w:pPr>
        <w:tabs>
          <w:tab w:val="left" w:pos="4132"/>
        </w:tabs>
        <w:ind w:firstLine="851"/>
        <w:jc w:val="center"/>
        <w:rPr>
          <w:lang w:val="uk-UA"/>
        </w:rPr>
      </w:pPr>
      <w:r>
        <w:rPr>
          <w:lang w:val="uk-UA"/>
        </w:rPr>
        <w:t>Начальник управління</w:t>
      </w:r>
      <w:r>
        <w:rPr>
          <w:lang w:val="uk-UA"/>
        </w:rPr>
        <w:tab/>
      </w:r>
      <w:r>
        <w:rPr>
          <w:lang w:val="uk-UA"/>
        </w:rPr>
        <w:tab/>
      </w:r>
      <w:r>
        <w:rPr>
          <w:lang w:val="uk-UA"/>
        </w:rPr>
        <w:tab/>
      </w:r>
      <w:r>
        <w:rPr>
          <w:lang w:val="uk-UA"/>
        </w:rPr>
        <w:tab/>
      </w:r>
      <w:r>
        <w:rPr>
          <w:lang w:val="uk-UA"/>
        </w:rPr>
        <w:tab/>
      </w:r>
      <w:r>
        <w:rPr>
          <w:lang w:val="uk-UA"/>
        </w:rPr>
        <w:tab/>
        <w:t>Ю.П.Дейнека</w:t>
      </w:r>
    </w:p>
    <w:p w:rsidR="00790AA2" w:rsidRDefault="00790AA2" w:rsidP="00790AA2">
      <w:pPr>
        <w:tabs>
          <w:tab w:val="left" w:pos="4132"/>
        </w:tabs>
        <w:ind w:firstLine="851"/>
        <w:jc w:val="center"/>
        <w:rPr>
          <w:lang w:val="uk-UA"/>
        </w:rPr>
      </w:pPr>
    </w:p>
    <w:p w:rsidR="00790AA2" w:rsidRDefault="00790AA2" w:rsidP="00790AA2">
      <w:pPr>
        <w:tabs>
          <w:tab w:val="left" w:pos="4132"/>
        </w:tabs>
        <w:ind w:firstLine="851"/>
        <w:rPr>
          <w:lang w:val="uk-UA"/>
        </w:rPr>
      </w:pPr>
    </w:p>
    <w:p w:rsidR="00790AA2" w:rsidRDefault="00790AA2" w:rsidP="00790AA2">
      <w:pPr>
        <w:tabs>
          <w:tab w:val="left" w:pos="4132"/>
        </w:tabs>
        <w:ind w:firstLine="851"/>
        <w:rPr>
          <w:lang w:val="uk-UA"/>
        </w:rPr>
      </w:pPr>
      <w:r>
        <w:rPr>
          <w:lang w:val="uk-UA"/>
        </w:rPr>
        <w:lastRenderedPageBreak/>
        <w:t>Заступник міського голови з питань                                                            В.Є.  Дідич</w:t>
      </w:r>
    </w:p>
    <w:p w:rsidR="00790AA2" w:rsidRDefault="00790AA2" w:rsidP="00790AA2">
      <w:pPr>
        <w:tabs>
          <w:tab w:val="left" w:pos="4132"/>
        </w:tabs>
        <w:ind w:firstLine="851"/>
        <w:rPr>
          <w:lang w:val="uk-UA"/>
        </w:rPr>
      </w:pPr>
      <w:r>
        <w:rPr>
          <w:lang w:val="uk-UA"/>
        </w:rPr>
        <w:t>діяльності виконавчих органів ради</w:t>
      </w:r>
    </w:p>
    <w:p w:rsidR="00790AA2" w:rsidRDefault="00790AA2" w:rsidP="00790AA2">
      <w:pPr>
        <w:tabs>
          <w:tab w:val="left" w:pos="4132"/>
        </w:tabs>
        <w:ind w:firstLine="851"/>
        <w:rPr>
          <w:lang w:val="uk-UA"/>
        </w:rPr>
      </w:pPr>
    </w:p>
    <w:p w:rsidR="00790AA2" w:rsidRDefault="00790AA2" w:rsidP="00790AA2">
      <w:pPr>
        <w:tabs>
          <w:tab w:val="left" w:pos="4132"/>
        </w:tabs>
        <w:ind w:firstLine="851"/>
        <w:rPr>
          <w:lang w:val="uk-UA"/>
        </w:rPr>
      </w:pPr>
    </w:p>
    <w:p w:rsidR="00790AA2" w:rsidRDefault="00790AA2" w:rsidP="00790AA2">
      <w:pPr>
        <w:tabs>
          <w:tab w:val="left" w:pos="4132"/>
        </w:tabs>
        <w:ind w:firstLine="851"/>
        <w:rPr>
          <w:lang w:val="uk-UA"/>
        </w:rPr>
      </w:pPr>
      <w:r>
        <w:rPr>
          <w:lang w:val="uk-UA"/>
        </w:rPr>
        <w:t>Міський голова                                                                                               С.В. Надал</w:t>
      </w:r>
    </w:p>
    <w:p w:rsidR="00790AA2" w:rsidRDefault="00790AA2" w:rsidP="00790AA2">
      <w:pPr>
        <w:ind w:firstLine="851"/>
        <w:rPr>
          <w:b/>
          <w:lang w:val="uk-UA"/>
        </w:rPr>
      </w:pPr>
    </w:p>
    <w:p w:rsidR="00000000" w:rsidRDefault="00790AA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E76"/>
    <w:multiLevelType w:val="hybridMultilevel"/>
    <w:tmpl w:val="9EBC4044"/>
    <w:lvl w:ilvl="0" w:tplc="A314D0E6">
      <w:start w:val="1"/>
      <w:numFmt w:val="decimal"/>
      <w:lvlText w:val="%1)"/>
      <w:lvlJc w:val="left"/>
      <w:pPr>
        <w:ind w:left="242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9C2EE7"/>
    <w:multiLevelType w:val="hybridMultilevel"/>
    <w:tmpl w:val="829AD1B8"/>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CE4A67"/>
    <w:multiLevelType w:val="hybridMultilevel"/>
    <w:tmpl w:val="AFB41BBE"/>
    <w:lvl w:ilvl="0" w:tplc="04190011">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3068BF"/>
    <w:multiLevelType w:val="hybridMultilevel"/>
    <w:tmpl w:val="7FA2D648"/>
    <w:lvl w:ilvl="0" w:tplc="04190011">
      <w:start w:val="1"/>
      <w:numFmt w:val="decimal"/>
      <w:lvlText w:val="%1)"/>
      <w:lvlJc w:val="left"/>
      <w:pPr>
        <w:ind w:left="1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0AA2"/>
    <w:rsid w:val="0079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790AA2"/>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semiHidden/>
    <w:rsid w:val="00790AA2"/>
    <w:rPr>
      <w:rFonts w:ascii="Times New Roman" w:eastAsia="Times New Roman" w:hAnsi="Times New Roman" w:cs="Times New Roman"/>
      <w:sz w:val="24"/>
      <w:szCs w:val="24"/>
      <w:lang w:val="uk-UA"/>
    </w:rPr>
  </w:style>
  <w:style w:type="paragraph" w:styleId="a3">
    <w:name w:val="List Paragraph"/>
    <w:basedOn w:val="a"/>
    <w:uiPriority w:val="34"/>
    <w:qFormat/>
    <w:rsid w:val="00790AA2"/>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790A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6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3388</Words>
  <Characters>19318</Characters>
  <Application>Microsoft Office Word</Application>
  <DocSecurity>0</DocSecurity>
  <Lines>160</Lines>
  <Paragraphs>45</Paragraphs>
  <ScaleCrop>false</ScaleCrop>
  <Company>Reanimator Extreme Edition</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2019-12-21T10:05:00Z</dcterms:created>
  <dcterms:modified xsi:type="dcterms:W3CDTF">2019-12-21T10:05:00Z</dcterms:modified>
</cp:coreProperties>
</file>