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6" w:rsidRPr="00D47E86" w:rsidRDefault="00D47E86" w:rsidP="00D47E86">
      <w:pPr>
        <w:tabs>
          <w:tab w:val="left" w:pos="5812"/>
        </w:tabs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E86" w:rsidRPr="00D47E86" w:rsidRDefault="00D47E86" w:rsidP="00D47E86">
      <w:pPr>
        <w:tabs>
          <w:tab w:val="left" w:pos="5812"/>
        </w:tabs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D47E86" w:rsidRPr="00D47E86" w:rsidRDefault="00D47E86" w:rsidP="00D47E86">
      <w:pPr>
        <w:tabs>
          <w:tab w:val="left" w:pos="5812"/>
        </w:tabs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20.11.2019 року</w:t>
      </w:r>
    </w:p>
    <w:p w:rsidR="00D47E86" w:rsidRDefault="00D47E86" w:rsidP="00D47E86">
      <w:pPr>
        <w:tabs>
          <w:tab w:val="left" w:pos="5812"/>
        </w:tabs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D47E86">
        <w:rPr>
          <w:rFonts w:ascii="Times New Roman" w:hAnsi="Times New Roman" w:cs="Times New Roman"/>
          <w:sz w:val="24"/>
          <w:szCs w:val="24"/>
        </w:rPr>
        <w:t>№1049</w:t>
      </w:r>
    </w:p>
    <w:p w:rsidR="00D47E86" w:rsidRPr="00D47E86" w:rsidRDefault="00D47E86" w:rsidP="00D47E86">
      <w:pPr>
        <w:tabs>
          <w:tab w:val="left" w:pos="5812"/>
        </w:tabs>
        <w:spacing w:after="0" w:line="240" w:lineRule="auto"/>
        <w:ind w:left="5812" w:hanging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47E86" w:rsidRPr="00D47E86" w:rsidRDefault="00D47E86" w:rsidP="00D47E8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47E86">
        <w:rPr>
          <w:rFonts w:ascii="Times New Roman" w:hAnsi="Times New Roman"/>
          <w:sz w:val="24"/>
          <w:szCs w:val="24"/>
          <w:lang w:val="uk-UA"/>
        </w:rPr>
        <w:t xml:space="preserve">Звіт </w:t>
      </w:r>
    </w:p>
    <w:p w:rsidR="00D47E86" w:rsidRPr="00D47E86" w:rsidRDefault="00D47E86" w:rsidP="00D47E8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47E86">
        <w:rPr>
          <w:rFonts w:ascii="Times New Roman" w:hAnsi="Times New Roman"/>
          <w:sz w:val="24"/>
          <w:szCs w:val="24"/>
          <w:lang w:val="uk-UA"/>
        </w:rPr>
        <w:t>відділу охорони здоров’я та медичного забезпечення</w:t>
      </w:r>
    </w:p>
    <w:p w:rsidR="00D47E86" w:rsidRPr="00D47E86" w:rsidRDefault="00D47E86" w:rsidP="00D47E8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47E86">
        <w:rPr>
          <w:rFonts w:ascii="Times New Roman" w:hAnsi="Times New Roman"/>
          <w:sz w:val="24"/>
          <w:szCs w:val="24"/>
          <w:lang w:val="uk-UA"/>
        </w:rPr>
        <w:t>Тернопільської міської ради</w:t>
      </w:r>
    </w:p>
    <w:p w:rsidR="00D47E86" w:rsidRPr="00D47E86" w:rsidRDefault="00D47E86" w:rsidP="00D47E8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47E86" w:rsidRPr="00D47E86" w:rsidRDefault="00D47E86" w:rsidP="00D47E86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47E86" w:rsidRPr="00D47E86" w:rsidRDefault="00D47E86" w:rsidP="00D47E86">
      <w:pPr>
        <w:pStyle w:val="Default"/>
        <w:ind w:firstLine="567"/>
        <w:jc w:val="both"/>
        <w:rPr>
          <w:bCs/>
          <w:color w:val="auto"/>
          <w:lang w:val="uk-UA"/>
        </w:rPr>
      </w:pPr>
      <w:r w:rsidRPr="00D47E86">
        <w:rPr>
          <w:bCs/>
          <w:color w:val="auto"/>
          <w:lang w:val="uk-UA"/>
        </w:rPr>
        <w:t>Головна мета</w:t>
      </w:r>
      <w:r w:rsidRPr="00D47E86">
        <w:rPr>
          <w:b/>
          <w:bCs/>
          <w:color w:val="auto"/>
          <w:lang w:val="uk-UA"/>
        </w:rPr>
        <w:t xml:space="preserve"> - </w:t>
      </w:r>
      <w:r w:rsidRPr="00D47E86">
        <w:rPr>
          <w:bCs/>
          <w:color w:val="auto"/>
          <w:lang w:val="uk-UA"/>
        </w:rPr>
        <w:t xml:space="preserve">подальший динамічний розвиток системи охорони здоров’я міста в умовах реформування, </w:t>
      </w:r>
      <w:r w:rsidRPr="00D47E86">
        <w:rPr>
          <w:color w:val="auto"/>
          <w:lang w:val="uk-UA"/>
        </w:rPr>
        <w:t xml:space="preserve">забезпечення доступної кваліфікованої медичної допомоги кожному </w:t>
      </w:r>
      <w:proofErr w:type="spellStart"/>
      <w:r w:rsidRPr="00D47E86">
        <w:rPr>
          <w:color w:val="auto"/>
          <w:lang w:val="uk-UA"/>
        </w:rPr>
        <w:t>тернополянину</w:t>
      </w:r>
      <w:proofErr w:type="spellEnd"/>
      <w:r w:rsidRPr="00D47E86">
        <w:rPr>
          <w:bCs/>
          <w:color w:val="auto"/>
          <w:lang w:val="uk-UA"/>
        </w:rPr>
        <w:t xml:space="preserve"> з орієнтацією на запобігання захворювань та забезпечення високоякісної і доступної медичної допомоги населенню, </w:t>
      </w:r>
      <w:r w:rsidRPr="00D47E86">
        <w:rPr>
          <w:color w:val="auto"/>
          <w:lang w:val="uk-UA"/>
        </w:rPr>
        <w:t>упорядкування мережі лікувально-профілактичних закладів, зміцнення їх матеріально-технічної бази</w:t>
      </w:r>
      <w:r w:rsidRPr="00D47E86">
        <w:rPr>
          <w:bCs/>
          <w:color w:val="auto"/>
          <w:lang w:val="uk-UA"/>
        </w:rPr>
        <w:t>.</w:t>
      </w:r>
    </w:p>
    <w:p w:rsidR="00D47E86" w:rsidRPr="00D47E86" w:rsidRDefault="00D47E86" w:rsidP="00D47E86">
      <w:pPr>
        <w:pStyle w:val="Default"/>
        <w:ind w:firstLine="567"/>
        <w:jc w:val="both"/>
        <w:rPr>
          <w:lang w:val="uk-UA"/>
        </w:rPr>
      </w:pPr>
      <w:r w:rsidRPr="00D47E86">
        <w:rPr>
          <w:lang w:val="uk-UA"/>
        </w:rPr>
        <w:t>У галузі охорони здоров’я міста продовжували функціонувати 7комунальних неприбуткових підприємств закладів охорони здоров’я.</w:t>
      </w:r>
    </w:p>
    <w:p w:rsidR="00D47E86" w:rsidRPr="00D47E86" w:rsidRDefault="00D47E86" w:rsidP="00D47E86">
      <w:pPr>
        <w:pStyle w:val="Default"/>
        <w:ind w:firstLine="567"/>
        <w:jc w:val="both"/>
        <w:rPr>
          <w:lang w:val="uk-UA"/>
        </w:rPr>
      </w:pPr>
      <w:r w:rsidRPr="00D47E86">
        <w:rPr>
          <w:lang w:val="uk-UA"/>
        </w:rPr>
        <w:t>На даному етапі свого розвитку галузь охорони здоров’я Тернопільської територіальної громади, реалізуючи державну політику, функціонує як єдиний медичний простір, що дає можливість отримати жителям громади і області повноцінну медичну допомогу від первинної ланки  до високоспеціалізованої.</w:t>
      </w:r>
    </w:p>
    <w:p w:rsidR="00D47E86" w:rsidRPr="00D47E86" w:rsidRDefault="00D47E86" w:rsidP="00D47E86">
      <w:pPr>
        <w:pStyle w:val="Default"/>
        <w:ind w:firstLine="567"/>
        <w:jc w:val="both"/>
        <w:rPr>
          <w:spacing w:val="-2"/>
          <w:lang w:val="uk-UA"/>
        </w:rPr>
      </w:pPr>
      <w:r w:rsidRPr="00D47E86">
        <w:rPr>
          <w:lang w:val="uk-UA"/>
        </w:rPr>
        <w:t xml:space="preserve">За 9 місяців 2019 року галузь охорони здоров’я міста продовжувала роботу щодо </w:t>
      </w:r>
      <w:r w:rsidRPr="00D47E86">
        <w:rPr>
          <w:spacing w:val="-4"/>
          <w:lang w:val="uk-UA"/>
        </w:rPr>
        <w:t xml:space="preserve">зміцнення матеріально-технічної бази, оснащення медичною апаратурою, запровадження нових форм роботи і </w:t>
      </w:r>
      <w:r w:rsidRPr="00D47E86">
        <w:rPr>
          <w:lang w:val="uk-UA"/>
        </w:rPr>
        <w:t xml:space="preserve">передового досвіду, втілення нових методик діагностики та лікування. </w:t>
      </w:r>
      <w:r w:rsidRPr="00D47E86">
        <w:rPr>
          <w:spacing w:val="-5"/>
          <w:lang w:val="uk-UA"/>
        </w:rPr>
        <w:t xml:space="preserve">При цьому найефективніше спрацьовувала формула поєднання коштів </w:t>
      </w:r>
      <w:r w:rsidRPr="00D47E86">
        <w:rPr>
          <w:spacing w:val="-2"/>
          <w:lang w:val="uk-UA"/>
        </w:rPr>
        <w:t>держави, міської ради, спонсорів і громадян.</w:t>
      </w:r>
    </w:p>
    <w:p w:rsidR="00D47E86" w:rsidRPr="00D47E86" w:rsidRDefault="00D47E86" w:rsidP="00D47E86">
      <w:pPr>
        <w:ind w:firstLine="851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uk-UA"/>
        </w:rPr>
      </w:pPr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На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утримання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закладів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охорони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здоров’я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міста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в 2019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році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передбачено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видатки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в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сумі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249 257,5тис</w:t>
      </w:r>
      <w:proofErr w:type="gramStart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.г</w:t>
      </w:r>
      <w:proofErr w:type="gramEnd"/>
      <w:r w:rsidRPr="00D47E8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рн.</w:t>
      </w:r>
    </w:p>
    <w:p w:rsidR="00D47E86" w:rsidRPr="00D47E86" w:rsidRDefault="00D47E86" w:rsidP="00D47E86">
      <w:pPr>
        <w:shd w:val="clear" w:color="auto" w:fill="FFFFFF"/>
        <w:ind w:left="60" w:right="-6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gram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gram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міського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бюджету на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утримання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ЗОЗ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виділено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33,7 млн.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грн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D47E86" w:rsidRPr="00D47E86" w:rsidRDefault="00D47E86" w:rsidP="00D47E86">
      <w:pPr>
        <w:shd w:val="clear" w:color="auto" w:fill="FFFFFF"/>
        <w:ind w:right="-6" w:firstLine="9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Так,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міського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бюджету на оплату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енергоносіїв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виділено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27,5млн</w:t>
      </w:r>
      <w:proofErr w:type="gram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.г</w:t>
      </w:r>
      <w:proofErr w:type="gramEnd"/>
      <w:r w:rsidRPr="00D47E8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рн.</w:t>
      </w:r>
    </w:p>
    <w:p w:rsidR="00D47E86" w:rsidRPr="00D47E86" w:rsidRDefault="00D47E86" w:rsidP="00D47E86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</w:pPr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 </w:t>
      </w:r>
      <w:proofErr w:type="gram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</w:t>
      </w:r>
      <w:proofErr w:type="gram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1.04.2019р. дана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програма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перейшла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адміністрування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НСЗУ.</w:t>
      </w:r>
    </w:p>
    <w:p w:rsidR="00D47E86" w:rsidRPr="00D47E86" w:rsidRDefault="00D47E86" w:rsidP="00D47E86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</w:pPr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інсуліном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спрямовано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додатково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8,56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млн</w:t>
      </w:r>
      <w:proofErr w:type="gram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.г</w:t>
      </w:r>
      <w:proofErr w:type="gram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рн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.,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дало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можливість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зняти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соціальну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напругу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забезпечити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хворих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препаратами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інсуліну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в 2019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році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.</w:t>
      </w:r>
    </w:p>
    <w:p w:rsidR="00D47E86" w:rsidRPr="00D47E86" w:rsidRDefault="00D47E86" w:rsidP="00D47E86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Вперше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в 2019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році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заклади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охорони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здоров’я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міста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Тернополя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забезпечені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фондом оплати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праці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на 100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відсотків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.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Це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завдяки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виділенню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міського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бюджету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коштів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виплату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заробітної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плати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працівникам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галузі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сумі</w:t>
      </w:r>
      <w:proofErr w:type="spell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 xml:space="preserve">  33,7млн</w:t>
      </w:r>
      <w:proofErr w:type="gramStart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.г</w:t>
      </w:r>
      <w:proofErr w:type="gramEnd"/>
      <w:r w:rsidRPr="00D47E86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  <w:lang w:eastAsia="uk-UA"/>
        </w:rPr>
        <w:t>рн.</w:t>
      </w:r>
    </w:p>
    <w:p w:rsidR="00D47E86" w:rsidRPr="00D47E86" w:rsidRDefault="00D47E86" w:rsidP="00D47E86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gram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метою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лікувально-діагностичного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процесу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достатньому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рівні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відділ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здоров’я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медичного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постійно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націлює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підпорядковані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заклади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охорони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здоров’я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вишукування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додаткових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джерел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фінансування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D47E86" w:rsidRPr="00D47E86" w:rsidRDefault="00D47E86" w:rsidP="00D47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Демографічна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ситуація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стабільною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Народжуваність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переважає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над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смертністю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7E86">
        <w:rPr>
          <w:rFonts w:ascii="Times New Roman" w:hAnsi="Times New Roman" w:cs="Times New Roman"/>
          <w:sz w:val="24"/>
          <w:szCs w:val="24"/>
        </w:rPr>
        <w:t xml:space="preserve">Так, за 9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2019 року  в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народилось 2146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новонароджених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(у 2018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– 2226).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Смертність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адекватно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характеризує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смертності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істу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за 9місяців 2019 року становить 2,2 на 1000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новонароджених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).  </w:t>
      </w:r>
      <w:r w:rsidRPr="00D47E86">
        <w:rPr>
          <w:rFonts w:ascii="Times New Roman" w:hAnsi="Times New Roman" w:cs="Times New Roman"/>
          <w:sz w:val="24"/>
          <w:szCs w:val="24"/>
        </w:rPr>
        <w:lastRenderedPageBreak/>
        <w:t xml:space="preserve">За 9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2018 року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смертності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становив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 xml:space="preserve"> 6,7 (15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втрат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перинатальних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патологічним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станам 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породіль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немовлят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безпечних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пологів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станів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у перинатальному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пологових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відділеннях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впроваджені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новітні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індивідуальні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сімейні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пологові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зали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тепловий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ланцюг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>», школа «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відпов</w:t>
      </w:r>
      <w:proofErr w:type="gramEnd"/>
      <w:r w:rsidRPr="00D47E86">
        <w:rPr>
          <w:rFonts w:ascii="Times New Roman" w:hAnsi="Times New Roman" w:cs="Times New Roman"/>
          <w:color w:val="000000"/>
          <w:sz w:val="24"/>
          <w:szCs w:val="24"/>
        </w:rPr>
        <w:t>ідального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батьківства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раннє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прикладання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до грудей,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рання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виписка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proofErr w:type="gram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D47E8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післяпологові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палати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працюють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режимі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спільного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перебування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матері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Функціонує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палата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інтенсивної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терапії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новонароджених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. Створено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невідкладної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маловаговим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/>
          <w:sz w:val="24"/>
          <w:szCs w:val="24"/>
        </w:rPr>
        <w:t>новонародженим</w:t>
      </w:r>
      <w:proofErr w:type="spellEnd"/>
      <w:r w:rsidRPr="00D47E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47E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жовтні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2009 року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іська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№2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акредитована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Лікарня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доброзичлива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Рододопомога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орієнтована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участь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′ї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E86" w:rsidRPr="00D47E86" w:rsidRDefault="00D47E86" w:rsidP="00D47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Ситуація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туберкульозу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мі</w:t>
      </w:r>
      <w:proofErr w:type="gramStart"/>
      <w:r w:rsidRPr="00D47E86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Pr="00D47E86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залишається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складною,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але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керованою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відповідає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загальнодержавним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обласним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Cs/>
          <w:sz w:val="24"/>
          <w:szCs w:val="24"/>
        </w:rPr>
        <w:t>тенденціям</w:t>
      </w:r>
      <w:proofErr w:type="spellEnd"/>
      <w:r w:rsidRPr="00D47E8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47E86">
        <w:rPr>
          <w:rFonts w:ascii="Times New Roman" w:hAnsi="Times New Roman" w:cs="Times New Roman"/>
          <w:sz w:val="24"/>
          <w:szCs w:val="24"/>
        </w:rPr>
        <w:t xml:space="preserve">так, за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2019р.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дещо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туберкульозом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івень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форм становить 58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54 за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аналогічний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2018р.,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інтенсивний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– 26,7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24,9 на 100 тис.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7 %.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Питома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вага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бацилярних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туберкульозу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місту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становить – 15,7.  За 9місяців 2019р. зареєстровано34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туберкульозу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бактеріовиділенням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22 у 2018р.,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інтенсивний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– 15,7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10,1 на 100 тис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 xml:space="preserve"> початку року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деструктивних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туберкульозу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18 за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аналогічний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минулого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інтенсивний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склав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12,4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8,3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100 тис.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туберкульоз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захворюванням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туберкульоз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24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2019 року проводилось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пересувним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флюорографом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Театральному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майдані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47E86" w:rsidRPr="00D47E86" w:rsidRDefault="00D47E86" w:rsidP="00D47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онкологічної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займає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2-ге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структурі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смертності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комплексній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» на 2019-2021 роки»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заходи,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направлені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ілактику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раннє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онкологічних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За 9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2019 року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захворюваність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злоякісні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дещо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зменшилася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становить  256,9 на 100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257,9 на 100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тис.населення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аналогічний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2018 року,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зросло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занедбаних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онкозахворювань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 19,4 % до 25,5 % за 9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D47E86" w:rsidRPr="00D47E86" w:rsidRDefault="00D47E86" w:rsidP="00D47E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Первинний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вихід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інвалідність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тернополян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складає680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590. </w:t>
      </w:r>
    </w:p>
    <w:p w:rsidR="00D47E86" w:rsidRPr="00D47E86" w:rsidRDefault="00D47E86" w:rsidP="00D47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Епідситуація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стабільна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2019року не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спалахів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інфекційної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інфекційна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захворюваність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зменшилася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на 4%. </w:t>
      </w:r>
    </w:p>
    <w:p w:rsidR="00D47E86" w:rsidRPr="00D47E86" w:rsidRDefault="00D47E86" w:rsidP="00D47E86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4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Матеріально-технічна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база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закладів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охорони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здоров</w:t>
      </w:r>
      <w:proofErr w:type="gram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’я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оновлюється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щорічно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придбання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сучасного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медичного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обладнання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виділено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10103,6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тис</w:t>
      </w:r>
      <w:proofErr w:type="gram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.г</w:t>
      </w:r>
      <w:proofErr w:type="gram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рн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наступне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47E86" w:rsidRPr="00D47E86" w:rsidRDefault="00D47E86" w:rsidP="00D47E86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КНП «</w:t>
      </w:r>
      <w:proofErr w:type="spellStart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Тернопільська</w:t>
      </w:r>
      <w:proofErr w:type="spellEnd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міська</w:t>
      </w:r>
      <w:proofErr w:type="spellEnd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комунальна</w:t>
      </w:r>
      <w:proofErr w:type="spellEnd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лікарня</w:t>
      </w:r>
      <w:proofErr w:type="spellEnd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швидкої</w:t>
      </w:r>
      <w:proofErr w:type="spellEnd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допомоги</w:t>
      </w:r>
      <w:proofErr w:type="spellEnd"/>
      <w:r w:rsidRPr="00D47E86">
        <w:rPr>
          <w:rFonts w:ascii="Times New Roman" w:eastAsiaTheme="minorHAnsi" w:hAnsi="Times New Roman" w:cs="Times New Roman"/>
          <w:sz w:val="24"/>
          <w:szCs w:val="24"/>
          <w:lang w:eastAsia="en-US"/>
        </w:rPr>
        <w:t>»:</w:t>
      </w:r>
      <w:r w:rsidRPr="00D47E86">
        <w:rPr>
          <w:rFonts w:ascii="Times New Roman" w:hAnsi="Times New Roman" w:cs="Times New Roman"/>
          <w:sz w:val="24"/>
          <w:szCs w:val="24"/>
        </w:rPr>
        <w:t xml:space="preserve"> завершено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травматології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бронхоскоп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автоклав.</w:t>
      </w:r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lastRenderedPageBreak/>
        <w:t xml:space="preserve">КНП </w:t>
      </w:r>
      <w:r w:rsidRPr="00D47E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Тернопільська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комунальна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№2»</w:t>
      </w:r>
      <w:r w:rsidRPr="00D47E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наркозно-</w:t>
      </w:r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>дихальний</w:t>
      </w:r>
      <w:proofErr w:type="spellEnd"/>
      <w:r w:rsidRPr="00D47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фіброколоноскоп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операційний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іл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інфузомат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електрокоагулятор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гемолітичний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аналізатор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комп’ютери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принтери</w:t>
      </w:r>
      <w:proofErr w:type="spellEnd"/>
      <w:r w:rsidRPr="00D47E8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47E86">
        <w:rPr>
          <w:rFonts w:ascii="Times New Roman" w:hAnsi="Times New Roman" w:cs="Times New Roman"/>
          <w:sz w:val="24"/>
          <w:szCs w:val="24"/>
        </w:rPr>
        <w:t xml:space="preserve"> сервер для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документообігу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завершено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теплотраси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 та капремонт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пандусів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>.</w:t>
      </w:r>
    </w:p>
    <w:p w:rsidR="00D47E86" w:rsidRPr="00D47E86" w:rsidRDefault="00D47E86" w:rsidP="00D47E86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КНП </w:t>
      </w:r>
      <w:r w:rsidRPr="00D47E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комунальна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№3»</w:t>
      </w:r>
      <w:r w:rsidRPr="00D47E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комп’ютери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принтери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сервер для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документообігу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завершено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по ремонту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Проведено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лікарні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>.</w:t>
      </w:r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Малашівецької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амбулаторії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завершується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хоспісної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паліативної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E86" w:rsidRPr="00D47E86" w:rsidRDefault="00D47E86" w:rsidP="00D47E86">
      <w:pPr>
        <w:shd w:val="clear" w:color="auto" w:fill="FFFFFF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КНП </w:t>
      </w:r>
      <w:r w:rsidRPr="00D47E8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Тернопільська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дитяча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комунальна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лікарня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47E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аналізатори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тривають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капітальному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Проведено ремонт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інфекційно-діагностичного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прилеглої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r w:rsidRPr="00D47E86">
        <w:rPr>
          <w:rFonts w:ascii="Times New Roman" w:hAnsi="Times New Roman" w:cs="Times New Roman"/>
          <w:sz w:val="24"/>
          <w:szCs w:val="24"/>
        </w:rPr>
        <w:fldChar w:fldCharType="begin"/>
      </w:r>
      <w:r w:rsidRPr="00D47E86">
        <w:rPr>
          <w:rFonts w:ascii="Times New Roman" w:hAnsi="Times New Roman" w:cs="Times New Roman"/>
          <w:sz w:val="24"/>
          <w:szCs w:val="24"/>
        </w:rPr>
        <w:instrText xml:space="preserve"> DOCPROPERTY  Контрагент  \* MERGEFORMAT </w:instrText>
      </w:r>
      <w:r w:rsidRPr="00D47E86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Благодійної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благодійний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фонд "МАНУС ДЕІ"</w:t>
      </w:r>
      <w:r w:rsidRPr="00D47E86">
        <w:rPr>
          <w:rFonts w:ascii="Times New Roman" w:hAnsi="Times New Roman" w:cs="Times New Roman"/>
          <w:sz w:val="24"/>
          <w:szCs w:val="24"/>
        </w:rPr>
        <w:fldChar w:fldCharType="end"/>
      </w:r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сучасну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ультразвукову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діагностичну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систему. </w:t>
      </w:r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КНП </w:t>
      </w:r>
      <w:r w:rsidRPr="00D47E86">
        <w:rPr>
          <w:rFonts w:ascii="Times New Roman" w:hAnsi="Times New Roman" w:cs="Times New Roman"/>
          <w:b/>
          <w:sz w:val="24"/>
          <w:szCs w:val="24"/>
        </w:rPr>
        <w:t xml:space="preserve">«Центр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первинної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47E86">
        <w:rPr>
          <w:rFonts w:ascii="Times New Roman" w:hAnsi="Times New Roman" w:cs="Times New Roman"/>
          <w:b/>
          <w:sz w:val="24"/>
          <w:szCs w:val="24"/>
        </w:rPr>
        <w:t>медико-сан</w:t>
      </w:r>
      <w:proofErr w:type="gramEnd"/>
      <w:r w:rsidRPr="00D47E86">
        <w:rPr>
          <w:rFonts w:ascii="Times New Roman" w:hAnsi="Times New Roman" w:cs="Times New Roman"/>
          <w:b/>
          <w:sz w:val="24"/>
          <w:szCs w:val="24"/>
        </w:rPr>
        <w:t>ітарної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Pr="00D47E86">
        <w:rPr>
          <w:rFonts w:ascii="Times New Roman" w:hAnsi="Times New Roman" w:cs="Times New Roman"/>
          <w:b/>
          <w:sz w:val="24"/>
          <w:szCs w:val="24"/>
        </w:rPr>
        <w:t>»</w:t>
      </w:r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придбано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аналізатори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Тривають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ремонти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. Проведено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амбулаторій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Глядки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Курівці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>.</w:t>
      </w:r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E86" w:rsidRPr="00D47E86" w:rsidRDefault="00D47E86" w:rsidP="00D47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В.Я.Даньчак</w:t>
      </w:r>
      <w:proofErr w:type="spellEnd"/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E86" w:rsidRPr="00D47E86" w:rsidRDefault="00D47E86" w:rsidP="00D4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E86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proofErr w:type="gramStart"/>
      <w:r w:rsidRPr="00D47E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47E86"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:rsidR="00D47E86" w:rsidRPr="00D47E86" w:rsidRDefault="00D47E86" w:rsidP="00D47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D47E8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47E86">
        <w:rPr>
          <w:rFonts w:ascii="Times New Roman" w:hAnsi="Times New Roman" w:cs="Times New Roman"/>
          <w:sz w:val="24"/>
          <w:szCs w:val="24"/>
        </w:rPr>
        <w:t xml:space="preserve"> ради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Л.О.Бицюра</w:t>
      </w:r>
      <w:proofErr w:type="spellEnd"/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7E86" w:rsidRPr="00D47E86" w:rsidRDefault="00D47E86" w:rsidP="00D47E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E86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D47E86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       </w:t>
      </w:r>
      <w:proofErr w:type="spellStart"/>
      <w:r w:rsidRPr="00D47E86"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000000" w:rsidRPr="00D47E86" w:rsidRDefault="00D47E8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4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E86"/>
    <w:rsid w:val="00D4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7E86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D47E86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Default">
    <w:name w:val="Default"/>
    <w:rsid w:val="00D4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2019-11-22T13:19:00Z</dcterms:created>
  <dcterms:modified xsi:type="dcterms:W3CDTF">2019-11-22T13:20:00Z</dcterms:modified>
</cp:coreProperties>
</file>