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FC" w:rsidRPr="0069669D" w:rsidRDefault="00AA33FC" w:rsidP="00EC05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669D">
        <w:rPr>
          <w:rFonts w:ascii="Times New Roman" w:hAnsi="Times New Roman" w:cs="Times New Roman"/>
          <w:color w:val="000000"/>
          <w:sz w:val="24"/>
          <w:szCs w:val="24"/>
        </w:rPr>
        <w:t>Аналіз регуляторного впливу</w:t>
      </w:r>
    </w:p>
    <w:p w:rsidR="00AA33FC" w:rsidRPr="0069669D" w:rsidRDefault="00AA33FC" w:rsidP="00EC05C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669D">
        <w:rPr>
          <w:rFonts w:ascii="Times New Roman" w:hAnsi="Times New Roman" w:cs="Times New Roman"/>
          <w:color w:val="000000"/>
          <w:sz w:val="24"/>
          <w:szCs w:val="24"/>
        </w:rPr>
        <w:t>до проекту рішення виконавчого комітету Тернопільської міської ради</w:t>
      </w:r>
    </w:p>
    <w:p w:rsidR="00AA33FC" w:rsidRPr="0069669D" w:rsidRDefault="00864DD7" w:rsidP="00864DD7">
      <w:pPr>
        <w:pStyle w:val="31"/>
        <w:jc w:val="center"/>
        <w:rPr>
          <w:b w:val="0"/>
          <w:bCs w:val="0"/>
          <w:sz w:val="24"/>
        </w:rPr>
      </w:pPr>
      <w:r w:rsidRPr="0069669D">
        <w:rPr>
          <w:b w:val="0"/>
          <w:sz w:val="24"/>
        </w:rPr>
        <w:t>«Про забезпечення роботи міського електричного транспорту»</w:t>
      </w:r>
    </w:p>
    <w:p w:rsidR="00864DD7" w:rsidRPr="0069669D" w:rsidRDefault="00AA33FC" w:rsidP="00864DD7">
      <w:pPr>
        <w:pStyle w:val="31"/>
        <w:rPr>
          <w:b w:val="0"/>
          <w:bCs w:val="0"/>
          <w:sz w:val="24"/>
        </w:rPr>
      </w:pPr>
      <w:r w:rsidRPr="0069669D">
        <w:rPr>
          <w:b w:val="0"/>
          <w:sz w:val="24"/>
        </w:rPr>
        <w:t xml:space="preserve">Назва регуляторного акта: </w:t>
      </w:r>
      <w:r w:rsidR="00864DD7" w:rsidRPr="0069669D">
        <w:rPr>
          <w:b w:val="0"/>
          <w:sz w:val="24"/>
        </w:rPr>
        <w:t>«Про забезпечення роботи міського електричного транспорту»</w:t>
      </w:r>
    </w:p>
    <w:p w:rsidR="00466084" w:rsidRPr="0069669D" w:rsidRDefault="00466084" w:rsidP="00864DD7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466084" w:rsidRPr="0069669D" w:rsidRDefault="00466084" w:rsidP="00864DD7">
      <w:pPr>
        <w:pStyle w:val="a4"/>
        <w:jc w:val="both"/>
        <w:rPr>
          <w:rFonts w:ascii="Times New Roman" w:hAnsi="Times New Roman"/>
          <w:szCs w:val="24"/>
          <w:lang w:val="uk-UA"/>
        </w:rPr>
      </w:pPr>
    </w:p>
    <w:p w:rsidR="00AA33FC" w:rsidRPr="0069669D" w:rsidRDefault="00AA33FC" w:rsidP="00864DD7">
      <w:pPr>
        <w:pStyle w:val="a4"/>
        <w:jc w:val="both"/>
        <w:rPr>
          <w:rFonts w:ascii="Times New Roman" w:hAnsi="Times New Roman"/>
          <w:szCs w:val="24"/>
        </w:rPr>
      </w:pPr>
      <w:r w:rsidRPr="0069669D">
        <w:rPr>
          <w:rFonts w:ascii="Times New Roman" w:hAnsi="Times New Roman"/>
          <w:szCs w:val="24"/>
        </w:rPr>
        <w:t>Регуляторний орган: виконавчий комітет Тернопільської міської ради</w:t>
      </w:r>
    </w:p>
    <w:p w:rsidR="00AA33FC" w:rsidRPr="0069669D" w:rsidRDefault="00AA33FC" w:rsidP="008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Розробник документа: управління транспорту, комунікацій та зв’язку Тернопільської міської ради </w:t>
      </w:r>
    </w:p>
    <w:p w:rsidR="00AA33FC" w:rsidRPr="0069669D" w:rsidRDefault="00AA33FC" w:rsidP="00864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Контактний телефон: </w:t>
      </w:r>
      <w:r w:rsidR="00C373B8" w:rsidRPr="0069669D">
        <w:rPr>
          <w:rFonts w:ascii="Times New Roman" w:hAnsi="Times New Roman" w:cs="Times New Roman"/>
          <w:sz w:val="24"/>
          <w:szCs w:val="24"/>
        </w:rPr>
        <w:t>(0352)</w:t>
      </w:r>
      <w:r w:rsidRPr="0069669D">
        <w:rPr>
          <w:rFonts w:ascii="Times New Roman" w:hAnsi="Times New Roman" w:cs="Times New Roman"/>
          <w:sz w:val="24"/>
          <w:szCs w:val="24"/>
        </w:rPr>
        <w:t>52-15-14</w:t>
      </w:r>
    </w:p>
    <w:p w:rsidR="00894D22" w:rsidRPr="0069669D" w:rsidRDefault="00827451" w:rsidP="00864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 Визначення проблеми </w:t>
      </w:r>
      <w:r w:rsidRPr="0069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62E0" w:rsidRPr="0069669D" w:rsidRDefault="003C18ED" w:rsidP="002B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9669D">
        <w:rPr>
          <w:rFonts w:ascii="Times New Roman" w:hAnsi="Times New Roman" w:cs="Times New Roman"/>
          <w:sz w:val="24"/>
          <w:szCs w:val="24"/>
        </w:rPr>
        <w:t>На сьогодні</w:t>
      </w:r>
      <w:r w:rsidR="00310089" w:rsidRPr="0069669D">
        <w:rPr>
          <w:rFonts w:ascii="Times New Roman" w:hAnsi="Times New Roman" w:cs="Times New Roman"/>
          <w:sz w:val="24"/>
          <w:szCs w:val="24"/>
        </w:rPr>
        <w:t>шній день набрало юридичну силу рішення №11</w:t>
      </w:r>
      <w:r w:rsidR="00066D61" w:rsidRPr="0069669D">
        <w:rPr>
          <w:rFonts w:ascii="Times New Roman" w:hAnsi="Times New Roman" w:cs="Times New Roman"/>
          <w:sz w:val="24"/>
          <w:szCs w:val="24"/>
        </w:rPr>
        <w:t xml:space="preserve">49 </w:t>
      </w:r>
      <w:r w:rsidR="00310089" w:rsidRPr="0069669D">
        <w:rPr>
          <w:rFonts w:ascii="Times New Roman" w:hAnsi="Times New Roman" w:cs="Times New Roman"/>
          <w:sz w:val="24"/>
          <w:szCs w:val="24"/>
        </w:rPr>
        <w:t xml:space="preserve">від 28/12/2016 року згідно якого вартість </w:t>
      </w:r>
      <w:r w:rsidR="005E72EC" w:rsidRPr="0069669D">
        <w:rPr>
          <w:rFonts w:ascii="Times New Roman" w:hAnsi="Times New Roman" w:cs="Times New Roman"/>
          <w:sz w:val="24"/>
          <w:szCs w:val="24"/>
        </w:rPr>
        <w:t>проїзд</w:t>
      </w:r>
      <w:r w:rsidR="00310089" w:rsidRPr="0069669D">
        <w:rPr>
          <w:rFonts w:ascii="Times New Roman" w:hAnsi="Times New Roman" w:cs="Times New Roman"/>
          <w:sz w:val="24"/>
          <w:szCs w:val="24"/>
        </w:rPr>
        <w:t>у</w:t>
      </w:r>
      <w:r w:rsidR="005E72EC" w:rsidRPr="0069669D">
        <w:rPr>
          <w:rFonts w:ascii="Times New Roman" w:hAnsi="Times New Roman" w:cs="Times New Roman"/>
          <w:sz w:val="24"/>
          <w:szCs w:val="24"/>
        </w:rPr>
        <w:t xml:space="preserve"> </w:t>
      </w:r>
      <w:r w:rsidR="00066D61" w:rsidRPr="0069669D">
        <w:rPr>
          <w:rFonts w:ascii="Times New Roman" w:hAnsi="Times New Roman" w:cs="Times New Roman"/>
          <w:sz w:val="24"/>
          <w:szCs w:val="24"/>
        </w:rPr>
        <w:t>тролейбусами</w:t>
      </w:r>
      <w:r w:rsidR="00310089" w:rsidRPr="0069669D">
        <w:rPr>
          <w:rFonts w:ascii="Times New Roman" w:hAnsi="Times New Roman" w:cs="Times New Roman"/>
          <w:sz w:val="24"/>
          <w:szCs w:val="24"/>
        </w:rPr>
        <w:t xml:space="preserve"> </w:t>
      </w:r>
      <w:r w:rsidR="00FB62E0" w:rsidRPr="0069669D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066D61" w:rsidRPr="0069669D">
        <w:rPr>
          <w:rFonts w:ascii="Times New Roman" w:hAnsi="Times New Roman" w:cs="Times New Roman"/>
          <w:sz w:val="24"/>
          <w:szCs w:val="24"/>
        </w:rPr>
        <w:t>3</w:t>
      </w:r>
      <w:r w:rsidR="00FB62E0" w:rsidRPr="0069669D">
        <w:rPr>
          <w:rFonts w:ascii="Times New Roman" w:hAnsi="Times New Roman" w:cs="Times New Roman"/>
          <w:sz w:val="24"/>
          <w:szCs w:val="24"/>
        </w:rPr>
        <w:t xml:space="preserve">,00грн. </w:t>
      </w:r>
      <w:r w:rsidR="00310089" w:rsidRPr="0069669D">
        <w:rPr>
          <w:rFonts w:ascii="Times New Roman" w:hAnsi="Times New Roman" w:cs="Times New Roman"/>
          <w:sz w:val="24"/>
          <w:szCs w:val="24"/>
        </w:rPr>
        <w:t>за одну поїздку.</w:t>
      </w:r>
      <w:r w:rsidR="00FB62E0" w:rsidRPr="0069669D">
        <w:rPr>
          <w:rFonts w:ascii="Times New Roman" w:hAnsi="Times New Roman" w:cs="Times New Roman"/>
          <w:sz w:val="24"/>
          <w:szCs w:val="24"/>
        </w:rPr>
        <w:t xml:space="preserve"> </w:t>
      </w:r>
      <w:r w:rsidR="00740BB0" w:rsidRPr="00696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BB0" w:rsidRPr="0069669D" w:rsidRDefault="00740BB0" w:rsidP="002B2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ab/>
      </w:r>
    </w:p>
    <w:p w:rsidR="00066D61" w:rsidRPr="0069669D" w:rsidRDefault="003C18ED" w:rsidP="00FB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Механізм формування тарифів на послуги з перевезення пасажирів </w:t>
      </w:r>
      <w:r w:rsidR="00066D61" w:rsidRPr="0069669D">
        <w:rPr>
          <w:rFonts w:ascii="Times New Roman" w:hAnsi="Times New Roman" w:cs="Times New Roman"/>
          <w:sz w:val="24"/>
          <w:szCs w:val="24"/>
        </w:rPr>
        <w:t xml:space="preserve">електричним транспортом базується опираючись на </w:t>
      </w:r>
      <w:r w:rsidRPr="0069669D">
        <w:rPr>
          <w:rFonts w:ascii="Times New Roman" w:hAnsi="Times New Roman" w:cs="Times New Roman"/>
          <w:sz w:val="24"/>
          <w:szCs w:val="24"/>
        </w:rPr>
        <w:t xml:space="preserve"> </w:t>
      </w:r>
      <w:r w:rsidR="00066D61" w:rsidRPr="0069669D">
        <w:rPr>
          <w:rFonts w:ascii="Times New Roman" w:hAnsi="Times New Roman" w:cs="Times New Roman"/>
          <w:sz w:val="24"/>
          <w:szCs w:val="24"/>
        </w:rPr>
        <w:t>наказ Міністерства інфраструктури України від 25.11.13р. № 940 «Про затвердження Порядку формування тарифів на послуги міського електричного транспорту (трамвай , тролейбус)»</w:t>
      </w:r>
    </w:p>
    <w:p w:rsidR="00AB1775" w:rsidRPr="0069669D" w:rsidRDefault="00310089" w:rsidP="00FB6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З </w:t>
      </w:r>
      <w:r w:rsidR="003C18ED" w:rsidRPr="0069669D">
        <w:rPr>
          <w:rFonts w:ascii="Times New Roman" w:hAnsi="Times New Roman" w:cs="Times New Roman"/>
          <w:sz w:val="24"/>
          <w:szCs w:val="24"/>
        </w:rPr>
        <w:t>01.01.2017 року рів</w:t>
      </w:r>
      <w:r w:rsidRPr="0069669D">
        <w:rPr>
          <w:rFonts w:ascii="Times New Roman" w:hAnsi="Times New Roman" w:cs="Times New Roman"/>
          <w:sz w:val="24"/>
          <w:szCs w:val="24"/>
        </w:rPr>
        <w:t>е</w:t>
      </w:r>
      <w:r w:rsidR="003C18ED" w:rsidRPr="0069669D">
        <w:rPr>
          <w:rFonts w:ascii="Times New Roman" w:hAnsi="Times New Roman" w:cs="Times New Roman"/>
          <w:sz w:val="24"/>
          <w:szCs w:val="24"/>
        </w:rPr>
        <w:t>н</w:t>
      </w:r>
      <w:r w:rsidRPr="0069669D">
        <w:rPr>
          <w:rFonts w:ascii="Times New Roman" w:hAnsi="Times New Roman" w:cs="Times New Roman"/>
          <w:sz w:val="24"/>
          <w:szCs w:val="24"/>
        </w:rPr>
        <w:t>ь</w:t>
      </w:r>
      <w:r w:rsidR="003C18ED" w:rsidRPr="0069669D">
        <w:rPr>
          <w:rFonts w:ascii="Times New Roman" w:hAnsi="Times New Roman" w:cs="Times New Roman"/>
          <w:sz w:val="24"/>
          <w:szCs w:val="24"/>
        </w:rPr>
        <w:t xml:space="preserve"> мінімальної заробітної плати </w:t>
      </w:r>
      <w:r w:rsidRPr="0069669D">
        <w:rPr>
          <w:rFonts w:ascii="Times New Roman" w:hAnsi="Times New Roman" w:cs="Times New Roman"/>
          <w:sz w:val="24"/>
          <w:szCs w:val="24"/>
        </w:rPr>
        <w:t>з</w:t>
      </w:r>
      <w:r w:rsidR="003C18ED" w:rsidRPr="0069669D">
        <w:rPr>
          <w:rFonts w:ascii="Times New Roman" w:hAnsi="Times New Roman" w:cs="Times New Roman"/>
          <w:sz w:val="24"/>
          <w:szCs w:val="24"/>
        </w:rPr>
        <w:t xml:space="preserve"> 3200 грн.</w:t>
      </w:r>
      <w:r w:rsidRPr="0069669D">
        <w:rPr>
          <w:rFonts w:ascii="Times New Roman" w:hAnsi="Times New Roman" w:cs="Times New Roman"/>
          <w:sz w:val="24"/>
          <w:szCs w:val="24"/>
        </w:rPr>
        <w:t xml:space="preserve"> зріс до 4 17</w:t>
      </w:r>
      <w:r w:rsidR="00492ED9" w:rsidRPr="0069669D">
        <w:rPr>
          <w:rFonts w:ascii="Times New Roman" w:hAnsi="Times New Roman" w:cs="Times New Roman"/>
          <w:sz w:val="24"/>
          <w:szCs w:val="24"/>
        </w:rPr>
        <w:t>3</w:t>
      </w:r>
      <w:r w:rsidRPr="0069669D">
        <w:rPr>
          <w:rFonts w:ascii="Times New Roman" w:hAnsi="Times New Roman" w:cs="Times New Roman"/>
          <w:sz w:val="24"/>
          <w:szCs w:val="24"/>
        </w:rPr>
        <w:t xml:space="preserve">,00грн з </w:t>
      </w:r>
      <w:r w:rsidR="003C18ED" w:rsidRPr="0069669D">
        <w:rPr>
          <w:rFonts w:ascii="Times New Roman" w:hAnsi="Times New Roman" w:cs="Times New Roman"/>
          <w:sz w:val="24"/>
          <w:szCs w:val="24"/>
        </w:rPr>
        <w:t>01.01.201</w:t>
      </w:r>
      <w:r w:rsidR="006C079C" w:rsidRPr="0069669D">
        <w:rPr>
          <w:rFonts w:ascii="Times New Roman" w:hAnsi="Times New Roman" w:cs="Times New Roman"/>
          <w:sz w:val="24"/>
          <w:szCs w:val="24"/>
        </w:rPr>
        <w:t>9</w:t>
      </w:r>
      <w:r w:rsidR="003C18ED" w:rsidRPr="0069669D">
        <w:rPr>
          <w:rFonts w:ascii="Times New Roman" w:hAnsi="Times New Roman" w:cs="Times New Roman"/>
          <w:sz w:val="24"/>
          <w:szCs w:val="24"/>
        </w:rPr>
        <w:t>,</w:t>
      </w:r>
      <w:r w:rsidR="00492ED9" w:rsidRPr="0069669D">
        <w:rPr>
          <w:rFonts w:ascii="Times New Roman" w:hAnsi="Times New Roman" w:cs="Times New Roman"/>
          <w:sz w:val="24"/>
          <w:szCs w:val="24"/>
        </w:rPr>
        <w:t xml:space="preserve"> тобто </w:t>
      </w:r>
      <w:r w:rsidR="00F9538E" w:rsidRPr="0069669D">
        <w:rPr>
          <w:rFonts w:ascii="Times New Roman" w:hAnsi="Times New Roman" w:cs="Times New Roman"/>
          <w:sz w:val="24"/>
          <w:szCs w:val="24"/>
        </w:rPr>
        <w:t>збільшився</w:t>
      </w:r>
      <w:r w:rsidR="007F73A3" w:rsidRPr="0069669D">
        <w:rPr>
          <w:rFonts w:ascii="Times New Roman" w:hAnsi="Times New Roman" w:cs="Times New Roman"/>
          <w:sz w:val="24"/>
          <w:szCs w:val="24"/>
        </w:rPr>
        <w:t xml:space="preserve"> на 23,3%. При встановленні діючого тарифу </w:t>
      </w:r>
      <w:r w:rsidR="00AB1775" w:rsidRPr="0069669D">
        <w:rPr>
          <w:rFonts w:ascii="Times New Roman" w:hAnsi="Times New Roman" w:cs="Times New Roman"/>
          <w:sz w:val="24"/>
          <w:szCs w:val="24"/>
        </w:rPr>
        <w:t xml:space="preserve">вартість </w:t>
      </w:r>
      <w:r w:rsidR="00B51428" w:rsidRPr="0069669D">
        <w:rPr>
          <w:rFonts w:ascii="Times New Roman" w:hAnsi="Times New Roman" w:cs="Times New Roman"/>
          <w:sz w:val="24"/>
          <w:szCs w:val="24"/>
        </w:rPr>
        <w:t xml:space="preserve">електроенергії </w:t>
      </w:r>
      <w:r w:rsidR="00AB1775" w:rsidRPr="0069669D">
        <w:rPr>
          <w:rFonts w:ascii="Times New Roman" w:hAnsi="Times New Roman" w:cs="Times New Roman"/>
          <w:sz w:val="24"/>
          <w:szCs w:val="24"/>
        </w:rPr>
        <w:t xml:space="preserve"> становила </w:t>
      </w:r>
      <w:r w:rsidR="00B51428" w:rsidRPr="0069669D">
        <w:rPr>
          <w:rFonts w:ascii="Times New Roman" w:hAnsi="Times New Roman" w:cs="Times New Roman"/>
          <w:sz w:val="24"/>
          <w:szCs w:val="24"/>
        </w:rPr>
        <w:t>2,4348</w:t>
      </w:r>
      <w:r w:rsidR="00AB1775" w:rsidRPr="0069669D">
        <w:rPr>
          <w:rFonts w:ascii="Times New Roman" w:hAnsi="Times New Roman" w:cs="Times New Roman"/>
          <w:sz w:val="24"/>
          <w:szCs w:val="24"/>
        </w:rPr>
        <w:t xml:space="preserve"> грн</w:t>
      </w:r>
      <w:r w:rsidR="00B51428" w:rsidRPr="0069669D">
        <w:rPr>
          <w:rFonts w:ascii="Times New Roman" w:hAnsi="Times New Roman" w:cs="Times New Roman"/>
          <w:sz w:val="24"/>
          <w:szCs w:val="24"/>
        </w:rPr>
        <w:t xml:space="preserve"> за 1КВт</w:t>
      </w:r>
      <w:r w:rsidR="00AB1775" w:rsidRPr="0069669D">
        <w:rPr>
          <w:rFonts w:ascii="Times New Roman" w:hAnsi="Times New Roman" w:cs="Times New Roman"/>
          <w:sz w:val="24"/>
          <w:szCs w:val="24"/>
        </w:rPr>
        <w:t xml:space="preserve">., станом на сьогодні </w:t>
      </w:r>
      <w:r w:rsidR="00B51428" w:rsidRPr="0069669D">
        <w:rPr>
          <w:rFonts w:ascii="Times New Roman" w:hAnsi="Times New Roman" w:cs="Times New Roman"/>
          <w:sz w:val="24"/>
          <w:szCs w:val="24"/>
        </w:rPr>
        <w:t>вартість електроенергії становить 3,12 грн. за 1КВт</w:t>
      </w:r>
      <w:r w:rsidR="00AB1775" w:rsidRPr="0069669D">
        <w:rPr>
          <w:rFonts w:ascii="Times New Roman" w:hAnsi="Times New Roman" w:cs="Times New Roman"/>
          <w:sz w:val="24"/>
          <w:szCs w:val="24"/>
        </w:rPr>
        <w:t xml:space="preserve"> – ріст на 2</w:t>
      </w:r>
      <w:r w:rsidR="00B51428" w:rsidRPr="0069669D">
        <w:rPr>
          <w:rFonts w:ascii="Times New Roman" w:hAnsi="Times New Roman" w:cs="Times New Roman"/>
          <w:sz w:val="24"/>
          <w:szCs w:val="24"/>
        </w:rPr>
        <w:t>8</w:t>
      </w:r>
      <w:r w:rsidR="00AB1775" w:rsidRPr="0069669D">
        <w:rPr>
          <w:rFonts w:ascii="Times New Roman" w:hAnsi="Times New Roman" w:cs="Times New Roman"/>
          <w:sz w:val="24"/>
          <w:szCs w:val="24"/>
        </w:rPr>
        <w:t>%</w:t>
      </w:r>
    </w:p>
    <w:p w:rsidR="005B1774" w:rsidRPr="0069669D" w:rsidRDefault="00AB1775" w:rsidP="00B514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69D">
        <w:rPr>
          <w:rFonts w:ascii="Times New Roman" w:hAnsi="Times New Roman" w:cs="Times New Roman"/>
          <w:sz w:val="24"/>
          <w:szCs w:val="24"/>
        </w:rPr>
        <w:t>З</w:t>
      </w:r>
      <w:r w:rsidR="003C18ED" w:rsidRPr="0069669D">
        <w:rPr>
          <w:rFonts w:ascii="Times New Roman" w:hAnsi="Times New Roman" w:cs="Times New Roman"/>
          <w:sz w:val="24"/>
          <w:szCs w:val="24"/>
        </w:rPr>
        <w:t xml:space="preserve">росли </w:t>
      </w:r>
      <w:r w:rsidRPr="0069669D">
        <w:rPr>
          <w:rFonts w:ascii="Times New Roman" w:hAnsi="Times New Roman" w:cs="Times New Roman"/>
          <w:sz w:val="24"/>
          <w:szCs w:val="24"/>
        </w:rPr>
        <w:t>і інші витрати</w:t>
      </w:r>
      <w:r w:rsidR="003C18ED" w:rsidRPr="0069669D">
        <w:rPr>
          <w:rFonts w:ascii="Times New Roman" w:hAnsi="Times New Roman" w:cs="Times New Roman"/>
          <w:sz w:val="24"/>
          <w:szCs w:val="24"/>
        </w:rPr>
        <w:t>, що безпосередньо впливають на формування собівартості тарифу на проїзд в міському транспорті</w:t>
      </w:r>
      <w:r w:rsidR="00B17C7B" w:rsidRPr="0069669D">
        <w:rPr>
          <w:rFonts w:ascii="Times New Roman" w:hAnsi="Times New Roman" w:cs="Times New Roman"/>
          <w:sz w:val="24"/>
          <w:szCs w:val="24"/>
        </w:rPr>
        <w:t>, наприклад усі ремонтні роботи та запчастини</w:t>
      </w:r>
      <w:r w:rsidR="00B51428" w:rsidRPr="00696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894" w:rsidRPr="0069669D" w:rsidRDefault="003C18ED" w:rsidP="00514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Утримання тарифів на міському </w:t>
      </w:r>
      <w:r w:rsidR="00B51428" w:rsidRPr="0069669D">
        <w:rPr>
          <w:rFonts w:ascii="Times New Roman" w:hAnsi="Times New Roman" w:cs="Times New Roman"/>
          <w:sz w:val="24"/>
          <w:szCs w:val="24"/>
        </w:rPr>
        <w:t xml:space="preserve">електричному </w:t>
      </w:r>
      <w:r w:rsidRPr="0069669D">
        <w:rPr>
          <w:rFonts w:ascii="Times New Roman" w:hAnsi="Times New Roman" w:cs="Times New Roman"/>
          <w:sz w:val="24"/>
          <w:szCs w:val="24"/>
        </w:rPr>
        <w:t xml:space="preserve">транспорті на рівні </w:t>
      </w:r>
      <w:r w:rsidR="00855E0F" w:rsidRPr="0069669D">
        <w:rPr>
          <w:rFonts w:ascii="Times New Roman" w:hAnsi="Times New Roman" w:cs="Times New Roman"/>
          <w:sz w:val="24"/>
          <w:szCs w:val="24"/>
        </w:rPr>
        <w:t xml:space="preserve">2016 року </w:t>
      </w:r>
      <w:r w:rsidR="00516AF0" w:rsidRPr="0069669D">
        <w:rPr>
          <w:rFonts w:ascii="Times New Roman" w:hAnsi="Times New Roman" w:cs="Times New Roman"/>
          <w:sz w:val="24"/>
          <w:szCs w:val="24"/>
        </w:rPr>
        <w:t xml:space="preserve"> </w:t>
      </w:r>
      <w:r w:rsidRPr="0069669D">
        <w:rPr>
          <w:rFonts w:ascii="Times New Roman" w:hAnsi="Times New Roman" w:cs="Times New Roman"/>
          <w:sz w:val="24"/>
          <w:szCs w:val="24"/>
        </w:rPr>
        <w:t>призв</w:t>
      </w:r>
      <w:r w:rsidR="00516AF0" w:rsidRPr="0069669D">
        <w:rPr>
          <w:rFonts w:ascii="Times New Roman" w:hAnsi="Times New Roman" w:cs="Times New Roman"/>
          <w:sz w:val="24"/>
          <w:szCs w:val="24"/>
        </w:rPr>
        <w:t xml:space="preserve">еде </w:t>
      </w:r>
      <w:r w:rsidRPr="0069669D">
        <w:rPr>
          <w:rFonts w:ascii="Times New Roman" w:hAnsi="Times New Roman" w:cs="Times New Roman"/>
          <w:sz w:val="24"/>
          <w:szCs w:val="24"/>
        </w:rPr>
        <w:t xml:space="preserve">до погіршення фінансового стану </w:t>
      </w:r>
      <w:r w:rsidR="00B17C7B" w:rsidRPr="0069669D">
        <w:rPr>
          <w:rFonts w:ascii="Times New Roman" w:hAnsi="Times New Roman" w:cs="Times New Roman"/>
          <w:sz w:val="24"/>
          <w:szCs w:val="24"/>
        </w:rPr>
        <w:t>підприємтсва</w:t>
      </w:r>
      <w:r w:rsidR="00516AF0" w:rsidRPr="0069669D">
        <w:rPr>
          <w:rFonts w:ascii="Times New Roman" w:hAnsi="Times New Roman" w:cs="Times New Roman"/>
          <w:sz w:val="24"/>
          <w:szCs w:val="24"/>
        </w:rPr>
        <w:t>,</w:t>
      </w:r>
      <w:r w:rsidRPr="0069669D">
        <w:rPr>
          <w:rFonts w:ascii="Times New Roman" w:hAnsi="Times New Roman" w:cs="Times New Roman"/>
          <w:sz w:val="24"/>
          <w:szCs w:val="24"/>
        </w:rPr>
        <w:t xml:space="preserve"> </w:t>
      </w:r>
      <w:r w:rsidR="00B17C7B" w:rsidRPr="0069669D">
        <w:rPr>
          <w:rFonts w:ascii="Times New Roman" w:hAnsi="Times New Roman" w:cs="Times New Roman"/>
          <w:sz w:val="24"/>
          <w:szCs w:val="24"/>
        </w:rPr>
        <w:t xml:space="preserve">а також знизить </w:t>
      </w:r>
      <w:r w:rsidRPr="0069669D">
        <w:rPr>
          <w:rFonts w:ascii="Times New Roman" w:hAnsi="Times New Roman" w:cs="Times New Roman"/>
          <w:sz w:val="24"/>
          <w:szCs w:val="24"/>
        </w:rPr>
        <w:t>як</w:t>
      </w:r>
      <w:r w:rsidR="00B17C7B" w:rsidRPr="0069669D">
        <w:rPr>
          <w:rFonts w:ascii="Times New Roman" w:hAnsi="Times New Roman" w:cs="Times New Roman"/>
          <w:sz w:val="24"/>
          <w:szCs w:val="24"/>
        </w:rPr>
        <w:t>і</w:t>
      </w:r>
      <w:r w:rsidRPr="0069669D">
        <w:rPr>
          <w:rFonts w:ascii="Times New Roman" w:hAnsi="Times New Roman" w:cs="Times New Roman"/>
          <w:sz w:val="24"/>
          <w:szCs w:val="24"/>
        </w:rPr>
        <w:t>ст</w:t>
      </w:r>
      <w:r w:rsidR="00B17C7B" w:rsidRPr="0069669D">
        <w:rPr>
          <w:rFonts w:ascii="Times New Roman" w:hAnsi="Times New Roman" w:cs="Times New Roman"/>
          <w:sz w:val="24"/>
          <w:szCs w:val="24"/>
        </w:rPr>
        <w:t>ь</w:t>
      </w:r>
      <w:r w:rsidRPr="0069669D">
        <w:rPr>
          <w:rFonts w:ascii="Times New Roman" w:hAnsi="Times New Roman" w:cs="Times New Roman"/>
          <w:sz w:val="24"/>
          <w:szCs w:val="24"/>
        </w:rPr>
        <w:t xml:space="preserve"> надання пасажирських послуг громадянам</w:t>
      </w:r>
      <w:r w:rsidR="00516AF0" w:rsidRPr="0069669D">
        <w:rPr>
          <w:rFonts w:ascii="Times New Roman" w:hAnsi="Times New Roman" w:cs="Times New Roman"/>
          <w:sz w:val="24"/>
          <w:szCs w:val="24"/>
        </w:rPr>
        <w:t>, і до повної зупинки транспорту</w:t>
      </w:r>
      <w:r w:rsidRPr="0069669D">
        <w:rPr>
          <w:rFonts w:ascii="Times New Roman" w:hAnsi="Times New Roman" w:cs="Times New Roman"/>
          <w:sz w:val="24"/>
          <w:szCs w:val="24"/>
        </w:rPr>
        <w:t xml:space="preserve">. </w:t>
      </w:r>
      <w:r w:rsidR="005505D2" w:rsidRPr="0069669D">
        <w:rPr>
          <w:rFonts w:ascii="Times New Roman" w:hAnsi="Times New Roman" w:cs="Times New Roman"/>
          <w:sz w:val="24"/>
          <w:szCs w:val="24"/>
        </w:rPr>
        <w:t xml:space="preserve">Усе це посилить соціальну напругу. </w:t>
      </w:r>
      <w:r w:rsidR="00514894" w:rsidRPr="00696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Такі обставини є неприйнятними для всіх сторін, які беруть участь в міських пасажирських перевезеннях – Замовника перевезень (Тернопільська міська рада), Виконавця (</w:t>
      </w:r>
      <w:r w:rsidR="005A10B9" w:rsidRPr="00696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КП «Тернопільелектротранс»</w:t>
      </w:r>
      <w:r w:rsidR="00514894" w:rsidRPr="00696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та Користувача (мешканці міста). </w:t>
      </w:r>
    </w:p>
    <w:p w:rsidR="00514894" w:rsidRPr="0069669D" w:rsidRDefault="00514894" w:rsidP="008E53F7">
      <w:pPr>
        <w:pStyle w:val="a6"/>
        <w:spacing w:after="0"/>
        <w:jc w:val="both"/>
        <w:rPr>
          <w:lang w:val="uk-UA"/>
        </w:rPr>
      </w:pPr>
      <w:r w:rsidRPr="0069669D">
        <w:rPr>
          <w:lang w:val="uk-UA"/>
        </w:rPr>
        <w:t>В</w:t>
      </w:r>
      <w:r w:rsidR="003C18ED" w:rsidRPr="0069669D">
        <w:rPr>
          <w:lang w:val="uk-UA"/>
        </w:rPr>
        <w:t xml:space="preserve">раховуючи вищевикладене, на підставі звернення перевізників виникла необхідність перегляду тарифу на перевезення пасажирів у міському </w:t>
      </w:r>
      <w:r w:rsidR="005A10B9" w:rsidRPr="0069669D">
        <w:rPr>
          <w:lang w:val="uk-UA"/>
        </w:rPr>
        <w:t>електричному</w:t>
      </w:r>
      <w:r w:rsidRPr="0069669D">
        <w:rPr>
          <w:lang w:val="uk-UA"/>
        </w:rPr>
        <w:t xml:space="preserve"> </w:t>
      </w:r>
      <w:r w:rsidR="003C18ED" w:rsidRPr="0069669D">
        <w:rPr>
          <w:lang w:val="uk-UA"/>
        </w:rPr>
        <w:t>транспорті.</w:t>
      </w:r>
    </w:p>
    <w:p w:rsidR="00566987" w:rsidRPr="0069669D" w:rsidRDefault="00566987" w:rsidP="005669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>Визначення основних груп (підгруп), на які проблема справляє вплив:</w:t>
      </w:r>
      <w:r w:rsidRPr="0069669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A0"/>
      </w:tblPr>
      <w:tblGrid>
        <w:gridCol w:w="4385"/>
        <w:gridCol w:w="2825"/>
        <w:gridCol w:w="2435"/>
      </w:tblGrid>
      <w:tr w:rsidR="00566987" w:rsidRPr="0069669D" w:rsidTr="004F0A76">
        <w:tc>
          <w:tcPr>
            <w:tcW w:w="4252" w:type="dxa"/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566987" w:rsidRPr="0069669D" w:rsidTr="004F0A76">
        <w:tc>
          <w:tcPr>
            <w:tcW w:w="4252" w:type="dxa"/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7" w:rsidRPr="0069669D" w:rsidTr="004F0A76">
        <w:tc>
          <w:tcPr>
            <w:tcW w:w="4252" w:type="dxa"/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7" w:rsidRPr="0069669D" w:rsidTr="004F0A76">
        <w:tc>
          <w:tcPr>
            <w:tcW w:w="4252" w:type="dxa"/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господарювання,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6987" w:rsidRPr="0069669D" w:rsidTr="004F0A76">
        <w:tc>
          <w:tcPr>
            <w:tcW w:w="4252" w:type="dxa"/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суб’єкти малого підприємництва*</w:t>
            </w:r>
          </w:p>
        </w:tc>
        <w:tc>
          <w:tcPr>
            <w:tcW w:w="2740" w:type="dxa"/>
            <w:tcBorders>
              <w:left w:val="single" w:sz="2" w:space="0" w:color="000001"/>
            </w:tcBorders>
            <w:tcMar>
              <w:left w:w="-2" w:type="dxa"/>
            </w:tcMar>
          </w:tcPr>
          <w:p w:rsidR="00566987" w:rsidRPr="0069669D" w:rsidRDefault="005A10B9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66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2362" w:type="dxa"/>
            <w:tcBorders>
              <w:left w:val="single" w:sz="2" w:space="0" w:color="000001"/>
              <w:right w:val="single" w:sz="2" w:space="0" w:color="000001"/>
            </w:tcBorders>
            <w:tcMar>
              <w:left w:w="-2" w:type="dxa"/>
            </w:tcMar>
          </w:tcPr>
          <w:p w:rsidR="00566987" w:rsidRPr="0069669D" w:rsidRDefault="00566987" w:rsidP="004F0A76">
            <w:pPr>
              <w:pStyle w:val="a3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66987" w:rsidRPr="0069669D" w:rsidRDefault="00566987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E75" w:rsidRPr="0069669D" w:rsidRDefault="00761E75" w:rsidP="0076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sz w:val="24"/>
          <w:szCs w:val="24"/>
        </w:rPr>
        <w:t xml:space="preserve">Проблема  підвищення  рівня  тарифів  на  перевезення  пасажирів  </w:t>
      </w:r>
      <w:r w:rsidR="005A10B9" w:rsidRPr="0069669D">
        <w:rPr>
          <w:rFonts w:ascii="Times New Roman" w:eastAsia="Times New Roman" w:hAnsi="Times New Roman" w:cs="Times New Roman"/>
          <w:sz w:val="24"/>
          <w:szCs w:val="24"/>
        </w:rPr>
        <w:t xml:space="preserve">електричним транспортом в </w:t>
      </w:r>
      <w:r w:rsidRPr="0069669D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4271D6" w:rsidRPr="0069669D">
        <w:rPr>
          <w:rFonts w:ascii="Times New Roman" w:eastAsia="Times New Roman" w:hAnsi="Times New Roman" w:cs="Times New Roman"/>
          <w:sz w:val="24"/>
          <w:szCs w:val="24"/>
        </w:rPr>
        <w:t>Тернопол</w:t>
      </w:r>
      <w:r w:rsidR="005A10B9" w:rsidRPr="0069669D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6966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9669D">
        <w:rPr>
          <w:rFonts w:ascii="Times New Roman" w:eastAsia="Times New Roman" w:hAnsi="Times New Roman" w:cs="Times New Roman"/>
          <w:sz w:val="24"/>
          <w:szCs w:val="24"/>
        </w:rPr>
        <w:t xml:space="preserve"> не  може бути  розв’язана  за  допомогою  ринкових  механізмів  у  зв’язку  з  тим,  що державою  прийнята  низка  законів  та  інших  нормативних  </w:t>
      </w:r>
      <w:r w:rsidRPr="006966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документів,  які регламентують  діяльність  виконавчих  органів  місцевого  самоврядування  в цьому напрямку, зокрема: </w:t>
      </w:r>
    </w:p>
    <w:p w:rsidR="00761E75" w:rsidRPr="0069669D" w:rsidRDefault="00761E75" w:rsidP="00761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sz w:val="24"/>
          <w:szCs w:val="24"/>
        </w:rPr>
        <w:t>-  відповідно до  підпункту  2  п.  «а»  ст.  28  Закону  України  «Про  місцеве самоврядування в Україні» виконавчі органи міських  рад мають повноваження встановлювати тарифи на транспортні послуги;</w:t>
      </w:r>
    </w:p>
    <w:p w:rsidR="00761E75" w:rsidRPr="0069669D" w:rsidRDefault="00761E75" w:rsidP="006271AC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-  </w:t>
      </w:r>
      <w:r w:rsidR="0000134A" w:rsidRPr="0069669D">
        <w:rPr>
          <w:rFonts w:ascii="Times New Roman" w:hAnsi="Times New Roman" w:cs="Times New Roman"/>
          <w:sz w:val="24"/>
          <w:szCs w:val="24"/>
        </w:rPr>
        <w:t>згідно</w:t>
      </w:r>
      <w:r w:rsidRPr="0069669D">
        <w:rPr>
          <w:rFonts w:ascii="Times New Roman" w:hAnsi="Times New Roman" w:cs="Times New Roman"/>
          <w:sz w:val="24"/>
          <w:szCs w:val="24"/>
        </w:rPr>
        <w:t xml:space="preserve">  Закону  України  «Про </w:t>
      </w:r>
      <w:r w:rsidR="006271AC" w:rsidRPr="0069669D">
        <w:rPr>
          <w:rFonts w:ascii="Times New Roman" w:hAnsi="Times New Roman" w:cs="Times New Roman"/>
          <w:sz w:val="24"/>
          <w:szCs w:val="24"/>
        </w:rPr>
        <w:t>міський електричний транспорт</w:t>
      </w:r>
      <w:r w:rsidRPr="0069669D">
        <w:rPr>
          <w:rFonts w:ascii="Times New Roman" w:hAnsi="Times New Roman" w:cs="Times New Roman"/>
          <w:sz w:val="24"/>
          <w:szCs w:val="24"/>
        </w:rPr>
        <w:t xml:space="preserve">» </w:t>
      </w:r>
      <w:r w:rsidR="006271AC" w:rsidRPr="0069669D">
        <w:rPr>
          <w:rFonts w:ascii="Times New Roman" w:hAnsi="Times New Roman" w:cs="Times New Roman"/>
          <w:sz w:val="24"/>
          <w:szCs w:val="24"/>
        </w:rPr>
        <w:t>р</w:t>
      </w:r>
      <w:r w:rsidR="006271AC" w:rsidRPr="0069669D">
        <w:rPr>
          <w:rFonts w:ascii="Times New Roman" w:hAnsi="Times New Roman" w:cs="Times New Roman"/>
          <w:color w:val="292B2C"/>
          <w:sz w:val="24"/>
          <w:szCs w:val="24"/>
        </w:rPr>
        <w:t>озрахунки тарифів на проїзд  здійснюються  відповідно  до Порядку формування  тарифів  на  послуги   міського  електричного транспорту.</w:t>
      </w:r>
      <w:r w:rsidRPr="00696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75" w:rsidRPr="0069669D" w:rsidRDefault="00761E75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51" w:rsidRPr="0069669D" w:rsidRDefault="00827451" w:rsidP="00FF2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Ціль </w:t>
      </w:r>
      <w:r w:rsidR="00FF2773"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державного регулювання</w:t>
      </w:r>
    </w:p>
    <w:p w:rsidR="00FF2773" w:rsidRPr="0069669D" w:rsidRDefault="00FF2773" w:rsidP="00FF277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FF2773" w:rsidRPr="0069669D" w:rsidRDefault="00FF2773" w:rsidP="006A7BC6">
      <w:pPr>
        <w:pStyle w:val="a6"/>
        <w:spacing w:before="0" w:beforeAutospacing="0" w:after="0" w:afterAutospacing="0"/>
        <w:jc w:val="both"/>
        <w:rPr>
          <w:lang w:val="uk-UA"/>
        </w:rPr>
      </w:pPr>
      <w:r w:rsidRPr="0069669D">
        <w:rPr>
          <w:lang w:val="uk-UA"/>
        </w:rPr>
        <w:t>- забезпечення  балансу  інтересів  перевізник</w:t>
      </w:r>
      <w:r w:rsidR="00FC5CE6" w:rsidRPr="0069669D">
        <w:rPr>
          <w:lang w:val="uk-UA"/>
        </w:rPr>
        <w:t>а</w:t>
      </w:r>
      <w:r w:rsidRPr="0069669D">
        <w:rPr>
          <w:lang w:val="uk-UA"/>
        </w:rPr>
        <w:t>,  що  обслугову</w:t>
      </w:r>
      <w:r w:rsidR="00FC5CE6" w:rsidRPr="0069669D">
        <w:rPr>
          <w:lang w:val="uk-UA"/>
        </w:rPr>
        <w:t>є</w:t>
      </w:r>
      <w:r w:rsidRPr="0069669D">
        <w:rPr>
          <w:lang w:val="uk-UA"/>
        </w:rPr>
        <w:t xml:space="preserve">  міські </w:t>
      </w:r>
      <w:r w:rsidR="0000134A" w:rsidRPr="0069669D">
        <w:rPr>
          <w:lang w:val="uk-UA"/>
        </w:rPr>
        <w:t xml:space="preserve">тролейбусні </w:t>
      </w:r>
      <w:r w:rsidRPr="0069669D">
        <w:rPr>
          <w:lang w:val="uk-UA"/>
        </w:rPr>
        <w:t>маршрути</w:t>
      </w:r>
      <w:r w:rsidR="0000134A" w:rsidRPr="0069669D">
        <w:rPr>
          <w:lang w:val="uk-UA"/>
        </w:rPr>
        <w:t xml:space="preserve"> </w:t>
      </w:r>
      <w:r w:rsidRPr="0069669D">
        <w:rPr>
          <w:lang w:val="uk-UA"/>
        </w:rPr>
        <w:t xml:space="preserve"> та пасажирів; </w:t>
      </w:r>
    </w:p>
    <w:p w:rsidR="00FF2773" w:rsidRPr="0069669D" w:rsidRDefault="00FF2773" w:rsidP="006A7BC6">
      <w:pPr>
        <w:pStyle w:val="a6"/>
        <w:spacing w:before="0" w:beforeAutospacing="0" w:after="0" w:afterAutospacing="0"/>
        <w:jc w:val="both"/>
        <w:rPr>
          <w:lang w:val="uk-UA"/>
        </w:rPr>
      </w:pPr>
      <w:r w:rsidRPr="0069669D">
        <w:rPr>
          <w:lang w:val="uk-UA"/>
        </w:rPr>
        <w:t xml:space="preserve">- приведення  тарифу  на  перевезення  пасажирів  у  міському </w:t>
      </w:r>
      <w:r w:rsidR="0000134A" w:rsidRPr="0069669D">
        <w:rPr>
          <w:lang w:val="uk-UA"/>
        </w:rPr>
        <w:t>електротранспорті</w:t>
      </w:r>
      <w:r w:rsidRPr="0069669D">
        <w:rPr>
          <w:lang w:val="uk-UA"/>
        </w:rPr>
        <w:t xml:space="preserve">  до економічно обґрунтованого рівня; </w:t>
      </w:r>
    </w:p>
    <w:p w:rsidR="00FF2773" w:rsidRPr="0069669D" w:rsidRDefault="00FF2773" w:rsidP="006A7BC6">
      <w:pPr>
        <w:pStyle w:val="a6"/>
        <w:spacing w:before="0" w:beforeAutospacing="0" w:after="0" w:afterAutospacing="0"/>
        <w:jc w:val="both"/>
        <w:rPr>
          <w:lang w:val="uk-UA"/>
        </w:rPr>
      </w:pPr>
      <w:r w:rsidRPr="0069669D">
        <w:rPr>
          <w:lang w:val="uk-UA"/>
        </w:rPr>
        <w:t xml:space="preserve">- збереження ринку соціально важливої послуги пасажирських перевезень на міських </w:t>
      </w:r>
      <w:r w:rsidR="0000134A" w:rsidRPr="0069669D">
        <w:rPr>
          <w:lang w:val="uk-UA"/>
        </w:rPr>
        <w:t>електричних</w:t>
      </w:r>
      <w:r w:rsidRPr="0069669D">
        <w:rPr>
          <w:lang w:val="uk-UA"/>
        </w:rPr>
        <w:t xml:space="preserve"> маршрутах; </w:t>
      </w:r>
    </w:p>
    <w:p w:rsidR="00FF2773" w:rsidRPr="0069669D" w:rsidRDefault="00FF2773" w:rsidP="006A7BC6">
      <w:pPr>
        <w:pStyle w:val="a6"/>
        <w:spacing w:before="0" w:beforeAutospacing="0" w:after="0" w:afterAutospacing="0"/>
        <w:jc w:val="both"/>
        <w:rPr>
          <w:lang w:val="uk-UA"/>
        </w:rPr>
      </w:pPr>
      <w:r w:rsidRPr="0069669D">
        <w:rPr>
          <w:lang w:val="uk-UA"/>
        </w:rPr>
        <w:t xml:space="preserve">- забезпечення  безпечного  функціонування  </w:t>
      </w:r>
      <w:r w:rsidR="0000134A" w:rsidRPr="0069669D">
        <w:rPr>
          <w:lang w:val="uk-UA"/>
        </w:rPr>
        <w:t>електротранспорту</w:t>
      </w:r>
      <w:r w:rsidRPr="0069669D">
        <w:rPr>
          <w:lang w:val="uk-UA"/>
        </w:rPr>
        <w:t xml:space="preserve">  транспорту загального користування; </w:t>
      </w:r>
    </w:p>
    <w:p w:rsidR="00FF2773" w:rsidRPr="0069669D" w:rsidRDefault="00FF2773" w:rsidP="006A7BC6">
      <w:pPr>
        <w:pStyle w:val="a6"/>
        <w:spacing w:before="0" w:beforeAutospacing="0" w:after="0" w:afterAutospacing="0"/>
        <w:jc w:val="both"/>
        <w:rPr>
          <w:lang w:val="uk-UA"/>
        </w:rPr>
      </w:pPr>
      <w:r w:rsidRPr="0069669D">
        <w:rPr>
          <w:lang w:val="uk-UA"/>
        </w:rPr>
        <w:t xml:space="preserve">-  підтримання  рівня  обслуговування  пасажирів,  фінансового  стану </w:t>
      </w:r>
      <w:r w:rsidR="0000134A" w:rsidRPr="0069669D">
        <w:rPr>
          <w:lang w:val="uk-UA"/>
        </w:rPr>
        <w:t xml:space="preserve">комунального </w:t>
      </w:r>
      <w:r w:rsidRPr="0069669D">
        <w:rPr>
          <w:lang w:val="uk-UA"/>
        </w:rPr>
        <w:t>підприємств</w:t>
      </w:r>
      <w:r w:rsidR="0000134A" w:rsidRPr="0069669D">
        <w:rPr>
          <w:lang w:val="uk-UA"/>
        </w:rPr>
        <w:t>а</w:t>
      </w:r>
      <w:r w:rsidRPr="0069669D">
        <w:rPr>
          <w:lang w:val="uk-UA"/>
        </w:rPr>
        <w:t xml:space="preserve">; </w:t>
      </w:r>
    </w:p>
    <w:p w:rsidR="000217B4" w:rsidRPr="0069669D" w:rsidRDefault="00FF2773" w:rsidP="006A7BC6">
      <w:pPr>
        <w:pStyle w:val="a6"/>
        <w:spacing w:before="0" w:beforeAutospacing="0" w:after="0" w:afterAutospacing="0"/>
        <w:jc w:val="both"/>
        <w:rPr>
          <w:lang w:val="uk-UA"/>
        </w:rPr>
      </w:pPr>
      <w:r w:rsidRPr="0069669D">
        <w:rPr>
          <w:lang w:val="uk-UA"/>
        </w:rPr>
        <w:t>- збільшення ефективності використання рухомого складу.</w:t>
      </w:r>
    </w:p>
    <w:p w:rsidR="00013844" w:rsidRPr="0069669D" w:rsidRDefault="00013844" w:rsidP="00FF2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7451" w:rsidRPr="0069669D" w:rsidRDefault="00827451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6A7BC6"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Визначення та оцінка альтернативних способів досягнення цілей</w:t>
      </w:r>
    </w:p>
    <w:p w:rsidR="006A7BC6" w:rsidRPr="0069669D" w:rsidRDefault="006A7BC6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7451" w:rsidRPr="0069669D" w:rsidRDefault="006A7BC6" w:rsidP="00F618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Визначення альтернативних способів.</w:t>
      </w:r>
    </w:p>
    <w:p w:rsidR="006A7BC6" w:rsidRPr="0069669D" w:rsidRDefault="006A7BC6" w:rsidP="0082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9"/>
        <w:gridCol w:w="6330"/>
      </w:tblGrid>
      <w:tr w:rsidR="00827451" w:rsidRPr="0069669D" w:rsidTr="00827451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451" w:rsidRPr="0069669D" w:rsidRDefault="006A7BC6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альтернативи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7451" w:rsidRPr="0069669D" w:rsidRDefault="006A7BC6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 альтернативи</w:t>
            </w:r>
          </w:p>
        </w:tc>
      </w:tr>
      <w:tr w:rsidR="00827451" w:rsidRPr="0069669D" w:rsidTr="00827451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C6" w:rsidRPr="0069669D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Альтернатива </w:t>
            </w:r>
            <w:r w:rsidR="00827451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27451" w:rsidRPr="0069669D" w:rsidRDefault="00383963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Збереження діючого тарифу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D24" w:rsidRPr="0069669D" w:rsidRDefault="00827451" w:rsidP="00E7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Альтернатива є неприйнятною з точки зору складної </w:t>
            </w:r>
            <w:r w:rsidR="00E72D24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економічної </w:t>
            </w: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ситуації, що склалась на ринку міських пасажирських перевезень</w:t>
            </w:r>
            <w:r w:rsidR="00E72D24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D24" w:rsidRPr="0069669D" w:rsidRDefault="00E72D24" w:rsidP="00E72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Єдиною перевагою стануть незмінні витрати громадян на проїзд, проте, це п</w:t>
            </w: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ризведе до 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невпинн</w:t>
            </w:r>
            <w:r w:rsidR="004515A6" w:rsidRPr="006966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погіршення якості обслуговування, часткової або повної зупинки громадського транспорту</w:t>
            </w:r>
            <w:r w:rsidR="00BE686E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через збитковість пасажироперевезень.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D24" w:rsidRPr="0069669D" w:rsidRDefault="004515A6" w:rsidP="00BE6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Це, в свою чергу стане причиною </w:t>
            </w:r>
            <w:r w:rsidR="00E72D24" w:rsidRPr="0069669D">
              <w:rPr>
                <w:rFonts w:ascii="Times New Roman" w:hAnsi="Times New Roman" w:cs="Times New Roman"/>
                <w:sz w:val="24"/>
                <w:szCs w:val="24"/>
              </w:rPr>
              <w:t>зростання невдоволення населення</w:t>
            </w:r>
            <w:r w:rsidR="00BE686E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та підвищенням </w:t>
            </w:r>
            <w:r w:rsidR="00E72D24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напруги</w:t>
            </w:r>
            <w:r w:rsidR="00BE686E" w:rsidRPr="00696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D24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451" w:rsidRPr="0069669D" w:rsidTr="00827451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C6" w:rsidRPr="0069669D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Альтернатива </w:t>
            </w:r>
            <w:r w:rsidR="00827451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27451" w:rsidRPr="0069669D" w:rsidRDefault="00DB61E8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Компенсація з міського бюджету різниці між економічним розрахунковим тарифом та діючим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7451" w:rsidRPr="0069669D" w:rsidRDefault="00D06DE1" w:rsidP="000A2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Перевагою стане задоволення потреб і перевізник</w:t>
            </w:r>
            <w:r w:rsidR="000A24B1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і пасажирів, проте м</w:t>
            </w:r>
            <w:r w:rsidR="00DB61E8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іський бюджет вже несе суттєві витрати компенсовуючи витрати за пільгові перевезення, а також компенсовує витрати за перевезення учнів/студентів у </w:t>
            </w:r>
            <w:r w:rsidR="000A24B1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тролейбусах. </w:t>
            </w:r>
            <w:r w:rsidR="00DB61E8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Міський </w:t>
            </w:r>
            <w:bookmarkStart w:id="0" w:name="_GoBack"/>
            <w:r w:rsidR="00DB61E8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="000A24B1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="00DB61E8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спроможний компенс</w:t>
            </w:r>
            <w:r w:rsidR="006A7BC6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B61E8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вати </w:t>
            </w:r>
            <w:bookmarkEnd w:id="0"/>
            <w:r w:rsidR="00DB61E8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витрати на різницю в тарифі. </w:t>
            </w:r>
          </w:p>
        </w:tc>
      </w:tr>
      <w:tr w:rsidR="00827451" w:rsidRPr="0069669D" w:rsidTr="00827451">
        <w:trPr>
          <w:tblCellSpacing w:w="15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BC6" w:rsidRPr="0069669D" w:rsidRDefault="006A7BC6" w:rsidP="006A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Альтернатива </w:t>
            </w:r>
            <w:r w:rsidR="00827451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27451" w:rsidRPr="0069669D" w:rsidRDefault="00DB61E8" w:rsidP="000A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Зниження ціни на </w:t>
            </w:r>
            <w:r w:rsidR="000A24B1"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електроенергію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61E8" w:rsidRPr="0069669D" w:rsidRDefault="00935E5A" w:rsidP="00DB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Перевагою стане повне задоволення усіх зацікавлених сторін.</w:t>
            </w:r>
            <w:r w:rsidR="006A7BC6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Проте, д</w:t>
            </w:r>
            <w:r w:rsidR="00DB61E8" w:rsidRPr="0069669D">
              <w:rPr>
                <w:rFonts w:ascii="Times New Roman" w:hAnsi="Times New Roman" w:cs="Times New Roman"/>
                <w:sz w:val="24"/>
                <w:szCs w:val="24"/>
              </w:rPr>
              <w:t>аний спосіб не залежить від органів                                                                                 місцевого самоврядування чи перевізник</w:t>
            </w:r>
            <w:r w:rsidR="000A24B1" w:rsidRPr="00696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61E8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             оскільки вартість </w:t>
            </w:r>
            <w:r w:rsidR="000A24B1" w:rsidRPr="0069669D">
              <w:rPr>
                <w:rFonts w:ascii="Times New Roman" w:hAnsi="Times New Roman" w:cs="Times New Roman"/>
                <w:sz w:val="24"/>
                <w:szCs w:val="24"/>
              </w:rPr>
              <w:t>електроенергії</w:t>
            </w:r>
            <w:r w:rsidR="00DB61E8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88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B61E8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залежить </w:t>
            </w:r>
            <w:r w:rsidR="00C44C88" w:rsidRPr="0069669D">
              <w:rPr>
                <w:rFonts w:ascii="Times New Roman" w:hAnsi="Times New Roman" w:cs="Times New Roman"/>
                <w:sz w:val="24"/>
                <w:szCs w:val="24"/>
              </w:rPr>
              <w:t>встановлюється на місцевому рівні</w:t>
            </w:r>
            <w:r w:rsidR="00DB61E8" w:rsidRPr="0069669D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Реалізація обраного способу не можлива.</w:t>
            </w:r>
          </w:p>
          <w:p w:rsidR="00827451" w:rsidRPr="0069669D" w:rsidRDefault="00827451" w:rsidP="0082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542F" w:rsidRPr="0069669D" w:rsidRDefault="00F2542F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8EB" w:rsidRPr="0069669D" w:rsidRDefault="00F618EB" w:rsidP="00F618EB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Оцінка вибраних альтернативних способів досягнення цілей</w:t>
      </w:r>
    </w:p>
    <w:p w:rsidR="00E671A2" w:rsidRPr="0069669D" w:rsidRDefault="00E671A2" w:rsidP="00E67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671A2" w:rsidRPr="0069669D" w:rsidRDefault="00E671A2" w:rsidP="00E67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Оцінка впливу на сферу інтересів держави </w:t>
      </w:r>
    </w:p>
    <w:p w:rsidR="00F618EB" w:rsidRPr="0069669D" w:rsidRDefault="00F618EB" w:rsidP="00F61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F618EB" w:rsidRPr="0069669D" w:rsidTr="00F618EB">
        <w:tc>
          <w:tcPr>
            <w:tcW w:w="3285" w:type="dxa"/>
          </w:tcPr>
          <w:p w:rsidR="00F618EB" w:rsidRPr="0069669D" w:rsidRDefault="00F618EB" w:rsidP="00F618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альтернативи</w:t>
            </w:r>
          </w:p>
        </w:tc>
        <w:tc>
          <w:tcPr>
            <w:tcW w:w="3285" w:type="dxa"/>
          </w:tcPr>
          <w:p w:rsidR="00F618EB" w:rsidRPr="0069669D" w:rsidRDefault="00F618EB" w:rsidP="00F618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Вигоди</w:t>
            </w:r>
          </w:p>
        </w:tc>
        <w:tc>
          <w:tcPr>
            <w:tcW w:w="3285" w:type="dxa"/>
          </w:tcPr>
          <w:p w:rsidR="00F618EB" w:rsidRPr="0069669D" w:rsidRDefault="00F618EB" w:rsidP="00F618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Витрати</w:t>
            </w:r>
          </w:p>
        </w:tc>
      </w:tr>
      <w:tr w:rsidR="00F618EB" w:rsidRPr="0069669D" w:rsidTr="00F618EB">
        <w:tc>
          <w:tcPr>
            <w:tcW w:w="3285" w:type="dxa"/>
          </w:tcPr>
          <w:p w:rsidR="00F618EB" w:rsidRPr="0069669D" w:rsidRDefault="00F618EB" w:rsidP="00F618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F618EB" w:rsidRPr="0069669D" w:rsidRDefault="006644B1" w:rsidP="006644B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Тимчасова в</w:t>
            </w:r>
            <w:r w:rsidR="00F618EB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ідсутність соціальної напруги в суспільстві</w:t>
            </w:r>
          </w:p>
        </w:tc>
        <w:tc>
          <w:tcPr>
            <w:tcW w:w="3285" w:type="dxa"/>
          </w:tcPr>
          <w:p w:rsidR="00F618EB" w:rsidRPr="0069669D" w:rsidRDefault="006644B1" w:rsidP="007528B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Для запобіганню транспортного колапсу </w:t>
            </w:r>
            <w:r w:rsidR="00496CF0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7528B2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передбачаючи його</w:t>
            </w:r>
            <w:r w:rsidR="00496CF0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зупинк</w:t>
            </w:r>
            <w:r w:rsidR="007528B2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96CF0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виникне</w:t>
            </w:r>
            <w:r w:rsidR="007528B2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його </w:t>
            </w:r>
            <w:r w:rsidR="00496CF0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необхідність у </w:t>
            </w:r>
            <w:r w:rsidR="00304FC8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залучення  коштів міського бюджету на додаткове придбання  у  комунальну власність  міста  пасажирського транспорту,  з  метою </w:t>
            </w:r>
            <w:r w:rsidR="00FC0CD7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забезпечення належного рівня надання послуг </w:t>
            </w:r>
            <w:r w:rsidR="00304FC8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пасажирських перевезень. </w:t>
            </w:r>
          </w:p>
        </w:tc>
      </w:tr>
      <w:tr w:rsidR="00F618EB" w:rsidRPr="0069669D" w:rsidTr="00F618EB">
        <w:tc>
          <w:tcPr>
            <w:tcW w:w="3285" w:type="dxa"/>
          </w:tcPr>
          <w:p w:rsidR="00F618EB" w:rsidRPr="0069669D" w:rsidRDefault="00FC33BC" w:rsidP="00F618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F618EB" w:rsidRPr="0069669D" w:rsidRDefault="00FC33BC" w:rsidP="00FC33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Задоволення потреб  перевізників  та пасажирів</w:t>
            </w:r>
          </w:p>
        </w:tc>
        <w:tc>
          <w:tcPr>
            <w:tcW w:w="3285" w:type="dxa"/>
          </w:tcPr>
          <w:p w:rsidR="00F618EB" w:rsidRPr="0069669D" w:rsidRDefault="00916D01" w:rsidP="00F618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Додаткове навантаження на міський бюджет</w:t>
            </w:r>
          </w:p>
        </w:tc>
      </w:tr>
      <w:tr w:rsidR="00FC33BC" w:rsidRPr="0069669D" w:rsidTr="00F618EB">
        <w:tc>
          <w:tcPr>
            <w:tcW w:w="3285" w:type="dxa"/>
          </w:tcPr>
          <w:p w:rsidR="00FC33BC" w:rsidRPr="0069669D" w:rsidRDefault="00FC0CD7" w:rsidP="00F618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3</w:t>
            </w:r>
          </w:p>
        </w:tc>
        <w:tc>
          <w:tcPr>
            <w:tcW w:w="3285" w:type="dxa"/>
          </w:tcPr>
          <w:p w:rsidR="00FC33BC" w:rsidRPr="0069669D" w:rsidRDefault="000D261E" w:rsidP="00F618E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Задоволення усіх зацікавлених сторін</w:t>
            </w:r>
          </w:p>
        </w:tc>
        <w:tc>
          <w:tcPr>
            <w:tcW w:w="3285" w:type="dxa"/>
          </w:tcPr>
          <w:p w:rsidR="00FC33BC" w:rsidRPr="0069669D" w:rsidRDefault="000D261E" w:rsidP="003E5E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Відсутні, в зв’язку з тим, що встановлення вартості </w:t>
            </w:r>
            <w:r w:rsidR="003E5E93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електроенергії </w:t>
            </w: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входить до повноважень органу місцевого самоврядування чи перевізника</w:t>
            </w:r>
          </w:p>
        </w:tc>
      </w:tr>
    </w:tbl>
    <w:p w:rsidR="00F618EB" w:rsidRPr="0069669D" w:rsidRDefault="00F618EB" w:rsidP="00F61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618EB" w:rsidRPr="0069669D" w:rsidRDefault="00E671A2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Оцінка впливу на сферу інтересів громадян</w:t>
      </w:r>
    </w:p>
    <w:p w:rsidR="00E671A2" w:rsidRPr="0069669D" w:rsidRDefault="00E671A2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E671A2" w:rsidRPr="0069669D" w:rsidTr="00E671A2">
        <w:tc>
          <w:tcPr>
            <w:tcW w:w="3285" w:type="dxa"/>
          </w:tcPr>
          <w:p w:rsidR="00E671A2" w:rsidRPr="0069669D" w:rsidRDefault="00E671A2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альтернативи</w:t>
            </w:r>
          </w:p>
        </w:tc>
        <w:tc>
          <w:tcPr>
            <w:tcW w:w="3285" w:type="dxa"/>
          </w:tcPr>
          <w:p w:rsidR="00E671A2" w:rsidRPr="0069669D" w:rsidRDefault="00E671A2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Вигоди</w:t>
            </w:r>
          </w:p>
        </w:tc>
        <w:tc>
          <w:tcPr>
            <w:tcW w:w="3285" w:type="dxa"/>
          </w:tcPr>
          <w:p w:rsidR="00E671A2" w:rsidRPr="0069669D" w:rsidRDefault="00E671A2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Витрати</w:t>
            </w:r>
          </w:p>
        </w:tc>
      </w:tr>
      <w:tr w:rsidR="00E671A2" w:rsidRPr="0069669D" w:rsidTr="00E671A2">
        <w:tc>
          <w:tcPr>
            <w:tcW w:w="3285" w:type="dxa"/>
          </w:tcPr>
          <w:p w:rsidR="00E671A2" w:rsidRPr="0069669D" w:rsidRDefault="00E671A2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E671A2" w:rsidRPr="0069669D" w:rsidRDefault="00E671A2" w:rsidP="00E67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збереження діючих тарифів, </w:t>
            </w:r>
          </w:p>
          <w:p w:rsidR="00E671A2" w:rsidRPr="0069669D" w:rsidRDefault="00E671A2" w:rsidP="00E67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тобто витрати на проїзд залишаються незмінними</w:t>
            </w:r>
          </w:p>
        </w:tc>
        <w:tc>
          <w:tcPr>
            <w:tcW w:w="3285" w:type="dxa"/>
          </w:tcPr>
          <w:p w:rsidR="00E671A2" w:rsidRPr="0069669D" w:rsidRDefault="00E671A2" w:rsidP="00667BB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Погіршення  якості,  безпеки </w:t>
            </w:r>
          </w:p>
          <w:p w:rsidR="00E671A2" w:rsidRPr="0069669D" w:rsidRDefault="00E671A2" w:rsidP="00346D1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перевезень,  зменшення кількості  транспорту,  що призведе  до  недостатньої кількості  транспортних засобів  у  місті  для забезпечення  потреб населення.  Зниження заробітної  плати  </w:t>
            </w:r>
            <w:r w:rsidR="00346D10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та скорочення робочих місць у комунальному </w:t>
            </w: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підприємств</w:t>
            </w:r>
            <w:r w:rsidR="00346D10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A41C3" w:rsidRPr="0069669D" w:rsidTr="00E671A2">
        <w:tc>
          <w:tcPr>
            <w:tcW w:w="3285" w:type="dxa"/>
          </w:tcPr>
          <w:p w:rsidR="007A41C3" w:rsidRPr="0069669D" w:rsidRDefault="007A41C3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7A41C3" w:rsidRPr="0069669D" w:rsidRDefault="007A41C3" w:rsidP="00EC4A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збереження діючих тарифів, </w:t>
            </w:r>
          </w:p>
          <w:p w:rsidR="007A41C3" w:rsidRPr="0069669D" w:rsidRDefault="007A41C3" w:rsidP="004319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тобто витрати на проїзд залишаються незмінними</w:t>
            </w:r>
            <w:r w:rsidR="00431945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 втрати перевізника будуть повністю відшкодовані </w:t>
            </w:r>
          </w:p>
        </w:tc>
        <w:tc>
          <w:tcPr>
            <w:tcW w:w="3285" w:type="dxa"/>
          </w:tcPr>
          <w:p w:rsidR="007A41C3" w:rsidRPr="0069669D" w:rsidRDefault="00707739" w:rsidP="007077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</w:t>
            </w:r>
          </w:p>
        </w:tc>
      </w:tr>
      <w:tr w:rsidR="007A41C3" w:rsidRPr="0069669D" w:rsidTr="00E671A2">
        <w:tc>
          <w:tcPr>
            <w:tcW w:w="3285" w:type="dxa"/>
          </w:tcPr>
          <w:p w:rsidR="007A41C3" w:rsidRPr="0069669D" w:rsidRDefault="007A41C3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3</w:t>
            </w:r>
          </w:p>
        </w:tc>
        <w:tc>
          <w:tcPr>
            <w:tcW w:w="3285" w:type="dxa"/>
          </w:tcPr>
          <w:p w:rsidR="007A41C3" w:rsidRPr="0069669D" w:rsidRDefault="007A41C3" w:rsidP="007A41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зменшення діючих тарифів на перевезення пасажирів громадським транспортом.</w:t>
            </w:r>
          </w:p>
        </w:tc>
        <w:tc>
          <w:tcPr>
            <w:tcW w:w="3285" w:type="dxa"/>
          </w:tcPr>
          <w:p w:rsidR="007A41C3" w:rsidRPr="0069669D" w:rsidRDefault="007A41C3" w:rsidP="0043194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Відсутні, в зв’язку з тим, що </w:t>
            </w:r>
            <w:r w:rsidR="00431945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ні місцевий бюджет , ані перевізник немає можливості впливати на </w:t>
            </w: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вартість </w:t>
            </w:r>
            <w:r w:rsidR="00431945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електроенергії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71A2" w:rsidRPr="0069669D" w:rsidRDefault="00E671A2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70B9D" w:rsidRPr="0069669D" w:rsidRDefault="00C70B9D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Оцінка впливу на сферу інтересів суб’єктів господарювання</w:t>
      </w:r>
    </w:p>
    <w:p w:rsidR="00C70B9D" w:rsidRPr="0069669D" w:rsidRDefault="00C70B9D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65"/>
        <w:gridCol w:w="1581"/>
        <w:gridCol w:w="1591"/>
        <w:gridCol w:w="1566"/>
        <w:gridCol w:w="1577"/>
        <w:gridCol w:w="1575"/>
      </w:tblGrid>
      <w:tr w:rsidR="00C70B9D" w:rsidRPr="0069669D" w:rsidTr="00C70B9D">
        <w:tc>
          <w:tcPr>
            <w:tcW w:w="1965" w:type="dxa"/>
          </w:tcPr>
          <w:p w:rsidR="00C70B9D" w:rsidRPr="0069669D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Показник</w:t>
            </w:r>
          </w:p>
        </w:tc>
        <w:tc>
          <w:tcPr>
            <w:tcW w:w="1581" w:type="dxa"/>
          </w:tcPr>
          <w:p w:rsidR="00C70B9D" w:rsidRPr="0069669D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Великі</w:t>
            </w:r>
          </w:p>
        </w:tc>
        <w:tc>
          <w:tcPr>
            <w:tcW w:w="1591" w:type="dxa"/>
          </w:tcPr>
          <w:p w:rsidR="00C70B9D" w:rsidRPr="0069669D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Середні</w:t>
            </w:r>
          </w:p>
        </w:tc>
        <w:tc>
          <w:tcPr>
            <w:tcW w:w="1566" w:type="dxa"/>
          </w:tcPr>
          <w:p w:rsidR="00C70B9D" w:rsidRPr="0069669D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Малі</w:t>
            </w:r>
          </w:p>
        </w:tc>
        <w:tc>
          <w:tcPr>
            <w:tcW w:w="1577" w:type="dxa"/>
          </w:tcPr>
          <w:p w:rsidR="00C70B9D" w:rsidRPr="0069669D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Мікро</w:t>
            </w:r>
          </w:p>
        </w:tc>
        <w:tc>
          <w:tcPr>
            <w:tcW w:w="1575" w:type="dxa"/>
          </w:tcPr>
          <w:p w:rsidR="00C70B9D" w:rsidRPr="0069669D" w:rsidRDefault="00C70B9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Разом</w:t>
            </w:r>
          </w:p>
        </w:tc>
      </w:tr>
      <w:tr w:rsidR="00693E47" w:rsidRPr="0069669D" w:rsidTr="00C70B9D">
        <w:tc>
          <w:tcPr>
            <w:tcW w:w="1965" w:type="dxa"/>
          </w:tcPr>
          <w:p w:rsidR="00693E47" w:rsidRPr="0069669D" w:rsidRDefault="00693E47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81" w:type="dxa"/>
          </w:tcPr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93E47" w:rsidRPr="0069669D" w:rsidRDefault="00693E47" w:rsidP="00BF6A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BF6A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BF6A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BF6A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A845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5" w:type="dxa"/>
          </w:tcPr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A845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3E47" w:rsidRPr="0069669D" w:rsidTr="00C70B9D">
        <w:tc>
          <w:tcPr>
            <w:tcW w:w="1965" w:type="dxa"/>
          </w:tcPr>
          <w:p w:rsidR="00693E47" w:rsidRPr="0069669D" w:rsidRDefault="00693E47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Питома вага групи у загальній кількості, %</w:t>
            </w:r>
          </w:p>
        </w:tc>
        <w:tc>
          <w:tcPr>
            <w:tcW w:w="1581" w:type="dxa"/>
          </w:tcPr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693E47" w:rsidRPr="0069669D" w:rsidRDefault="00693E47" w:rsidP="00C70B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693E47" w:rsidRPr="0069669D" w:rsidRDefault="00693E47" w:rsidP="00BF6A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BF6A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6" w:type="dxa"/>
          </w:tcPr>
          <w:p w:rsidR="00693E47" w:rsidRPr="0069669D" w:rsidRDefault="00693E47" w:rsidP="00E14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E14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3E47" w:rsidRPr="0069669D" w:rsidRDefault="00693E47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70B9D" w:rsidRPr="0069669D" w:rsidRDefault="00C70B9D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837E2D" w:rsidRPr="0069669D" w:rsidTr="00837E2D">
        <w:tc>
          <w:tcPr>
            <w:tcW w:w="3285" w:type="dxa"/>
          </w:tcPr>
          <w:p w:rsidR="00837E2D" w:rsidRPr="0069669D" w:rsidRDefault="00837E2D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альтернативи</w:t>
            </w:r>
          </w:p>
        </w:tc>
        <w:tc>
          <w:tcPr>
            <w:tcW w:w="3285" w:type="dxa"/>
          </w:tcPr>
          <w:p w:rsidR="00837E2D" w:rsidRPr="0069669D" w:rsidRDefault="00837E2D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Вигоди</w:t>
            </w:r>
          </w:p>
        </w:tc>
        <w:tc>
          <w:tcPr>
            <w:tcW w:w="3285" w:type="dxa"/>
          </w:tcPr>
          <w:p w:rsidR="00837E2D" w:rsidRPr="0069669D" w:rsidRDefault="00837E2D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Витрати</w:t>
            </w:r>
          </w:p>
        </w:tc>
      </w:tr>
      <w:tr w:rsidR="00837E2D" w:rsidRPr="0069669D" w:rsidTr="00837E2D">
        <w:tc>
          <w:tcPr>
            <w:tcW w:w="3285" w:type="dxa"/>
          </w:tcPr>
          <w:p w:rsidR="00837E2D" w:rsidRPr="0069669D" w:rsidRDefault="00837E2D" w:rsidP="00EC4A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837E2D" w:rsidRPr="0069669D" w:rsidRDefault="00837E2D" w:rsidP="00837E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Забезпечення пасажиропотоку на існуючому рівні</w:t>
            </w:r>
          </w:p>
        </w:tc>
        <w:tc>
          <w:tcPr>
            <w:tcW w:w="3285" w:type="dxa"/>
          </w:tcPr>
          <w:p w:rsidR="00837E2D" w:rsidRPr="0069669D" w:rsidRDefault="00837E2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Отримання збитку від основного виду діяльності, що призведе до скорочення ведення господарської діяльності або взагалі закриття</w:t>
            </w:r>
          </w:p>
        </w:tc>
      </w:tr>
      <w:tr w:rsidR="00837E2D" w:rsidRPr="0069669D" w:rsidTr="00837E2D">
        <w:tc>
          <w:tcPr>
            <w:tcW w:w="3285" w:type="dxa"/>
          </w:tcPr>
          <w:p w:rsidR="00837E2D" w:rsidRPr="0069669D" w:rsidRDefault="00837E2D" w:rsidP="00EC4A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837E2D" w:rsidRPr="0069669D" w:rsidRDefault="00837E2D" w:rsidP="00837E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Отримання  максимального </w:t>
            </w:r>
          </w:p>
          <w:p w:rsidR="00837E2D" w:rsidRPr="0069669D" w:rsidRDefault="00837E2D" w:rsidP="00837E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прибутку,  підвищення </w:t>
            </w:r>
          </w:p>
          <w:p w:rsidR="00837E2D" w:rsidRPr="0069669D" w:rsidRDefault="00837E2D" w:rsidP="00837E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рентабельності, розширення  парку  транспортних засобів.</w:t>
            </w:r>
          </w:p>
        </w:tc>
        <w:tc>
          <w:tcPr>
            <w:tcW w:w="3285" w:type="dxa"/>
          </w:tcPr>
          <w:p w:rsidR="00837E2D" w:rsidRPr="0069669D" w:rsidRDefault="00837E2D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</w:t>
            </w:r>
          </w:p>
        </w:tc>
      </w:tr>
      <w:tr w:rsidR="00837E2D" w:rsidRPr="0069669D" w:rsidTr="00837E2D">
        <w:tc>
          <w:tcPr>
            <w:tcW w:w="3285" w:type="dxa"/>
          </w:tcPr>
          <w:p w:rsidR="00837E2D" w:rsidRPr="0069669D" w:rsidRDefault="00837E2D" w:rsidP="00EC4A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3</w:t>
            </w:r>
          </w:p>
        </w:tc>
        <w:tc>
          <w:tcPr>
            <w:tcW w:w="3285" w:type="dxa"/>
          </w:tcPr>
          <w:p w:rsidR="00837E2D" w:rsidRPr="0069669D" w:rsidRDefault="00A24765" w:rsidP="00A2476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Підвищення якості перевезень, підвищення заробітної плати на підприємствах.</w:t>
            </w:r>
          </w:p>
        </w:tc>
        <w:tc>
          <w:tcPr>
            <w:tcW w:w="3285" w:type="dxa"/>
          </w:tcPr>
          <w:p w:rsidR="00837E2D" w:rsidRPr="0069669D" w:rsidRDefault="00A24765" w:rsidP="0082745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Відсутні</w:t>
            </w:r>
          </w:p>
        </w:tc>
      </w:tr>
    </w:tbl>
    <w:p w:rsidR="009C3F62" w:rsidRPr="0069669D" w:rsidRDefault="009C3F62" w:rsidP="009C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3F62" w:rsidRPr="0069669D" w:rsidRDefault="009C3F62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2542F" w:rsidRPr="0069669D" w:rsidRDefault="009C3F62" w:rsidP="009C3F6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Вибір найбільш оптимального альтернативного способу досягнення цілей</w:t>
      </w:r>
    </w:p>
    <w:p w:rsidR="009C3F62" w:rsidRPr="0069669D" w:rsidRDefault="009C3F62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9C3F62" w:rsidRPr="0069669D" w:rsidTr="009C3F62">
        <w:tc>
          <w:tcPr>
            <w:tcW w:w="3285" w:type="dxa"/>
          </w:tcPr>
          <w:p w:rsidR="009C3F62" w:rsidRPr="0069669D" w:rsidRDefault="009C3F62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285" w:type="dxa"/>
          </w:tcPr>
          <w:p w:rsidR="009C3F62" w:rsidRPr="0069669D" w:rsidRDefault="008B7FD5" w:rsidP="008B7F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3285" w:type="dxa"/>
          </w:tcPr>
          <w:p w:rsidR="009C3F62" w:rsidRPr="0069669D" w:rsidRDefault="008B7FD5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9C3F62" w:rsidRPr="0069669D" w:rsidTr="009C3F62">
        <w:tc>
          <w:tcPr>
            <w:tcW w:w="3285" w:type="dxa"/>
          </w:tcPr>
          <w:p w:rsidR="009C3F62" w:rsidRPr="0069669D" w:rsidRDefault="0018243F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9C3F62" w:rsidRPr="0069669D" w:rsidRDefault="00067AD2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9C3F62" w:rsidRPr="0069669D" w:rsidRDefault="00067AD2" w:rsidP="009444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Отримання збитку від основного виду діяльності, що призведе до скорочення ведення господарської діяльності або взагалі закриття, але забезпечить пасажиропотік на існуючому рівні</w:t>
            </w:r>
            <w:r w:rsidR="009444FA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 часткову  задоволеність пасажирів</w:t>
            </w:r>
          </w:p>
        </w:tc>
      </w:tr>
      <w:tr w:rsidR="009C3F62" w:rsidRPr="0069669D" w:rsidTr="009C3F62">
        <w:tc>
          <w:tcPr>
            <w:tcW w:w="3285" w:type="dxa"/>
          </w:tcPr>
          <w:p w:rsidR="009C3F62" w:rsidRPr="0069669D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9C3F62" w:rsidRPr="0069669D" w:rsidRDefault="00F90313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9C3F62" w:rsidRPr="0069669D" w:rsidRDefault="009444FA" w:rsidP="00693E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Задовільнить як перевізників так і пасажирів. Проте </w:t>
            </w:r>
            <w:r w:rsidR="00693E47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є не підйомним для</w:t>
            </w: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міського бюджету  </w:t>
            </w:r>
          </w:p>
        </w:tc>
      </w:tr>
      <w:tr w:rsidR="009C3F62" w:rsidRPr="0069669D" w:rsidTr="009C3F62">
        <w:tc>
          <w:tcPr>
            <w:tcW w:w="3285" w:type="dxa"/>
          </w:tcPr>
          <w:p w:rsidR="009C3F62" w:rsidRPr="0069669D" w:rsidRDefault="0018243F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3</w:t>
            </w:r>
          </w:p>
        </w:tc>
        <w:tc>
          <w:tcPr>
            <w:tcW w:w="3285" w:type="dxa"/>
          </w:tcPr>
          <w:p w:rsidR="009C3F62" w:rsidRPr="0069669D" w:rsidRDefault="00F90313" w:rsidP="009C3F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9C3F62" w:rsidRPr="0069669D" w:rsidRDefault="009444FA" w:rsidP="00F903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Задовільнить усіх учасників процесу, проте на місцевому рівні немає жодної можливості </w:t>
            </w:r>
            <w:r w:rsidR="00F90313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втілити в життя оскільки потребує регулювання на державному </w:t>
            </w:r>
            <w:r w:rsidR="00F90313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рівні.</w:t>
            </w: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3F62" w:rsidRPr="0069669D" w:rsidRDefault="009C3F62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18243F" w:rsidRPr="0069669D" w:rsidTr="0018243F">
        <w:tc>
          <w:tcPr>
            <w:tcW w:w="2463" w:type="dxa"/>
          </w:tcPr>
          <w:p w:rsidR="0018243F" w:rsidRPr="0069669D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2464" w:type="dxa"/>
          </w:tcPr>
          <w:p w:rsidR="0018243F" w:rsidRPr="0069669D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Вигоди (підсумок)</w:t>
            </w:r>
          </w:p>
        </w:tc>
        <w:tc>
          <w:tcPr>
            <w:tcW w:w="2464" w:type="dxa"/>
          </w:tcPr>
          <w:p w:rsidR="0018243F" w:rsidRPr="0069669D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Витрати (підсумок)</w:t>
            </w:r>
          </w:p>
        </w:tc>
        <w:tc>
          <w:tcPr>
            <w:tcW w:w="2464" w:type="dxa"/>
          </w:tcPr>
          <w:p w:rsidR="0018243F" w:rsidRPr="0069669D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997B7F" w:rsidRPr="0069669D" w:rsidTr="0018243F">
        <w:tc>
          <w:tcPr>
            <w:tcW w:w="2463" w:type="dxa"/>
          </w:tcPr>
          <w:p w:rsidR="00997B7F" w:rsidRPr="0069669D" w:rsidRDefault="00997B7F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2464" w:type="dxa"/>
          </w:tcPr>
          <w:p w:rsidR="00997B7F" w:rsidRPr="0069669D" w:rsidRDefault="00997B7F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97B7F" w:rsidRPr="0069669D" w:rsidRDefault="00997B7F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97B7F" w:rsidRPr="0069669D" w:rsidRDefault="00997B7F" w:rsidP="001B6E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Отримання збитку від основного виду діяльності, що призведе до скорочення ведення господарської діяльності або взагалі закриття, але забезпечить пасажиропотік на існуючому рівні та часткову  задоволеність пасажирів</w:t>
            </w:r>
          </w:p>
        </w:tc>
      </w:tr>
      <w:tr w:rsidR="00997B7F" w:rsidRPr="0069669D" w:rsidTr="0018243F">
        <w:tc>
          <w:tcPr>
            <w:tcW w:w="2463" w:type="dxa"/>
          </w:tcPr>
          <w:p w:rsidR="00997B7F" w:rsidRPr="0069669D" w:rsidRDefault="00997B7F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2464" w:type="dxa"/>
          </w:tcPr>
          <w:p w:rsidR="00997B7F" w:rsidRPr="0069669D" w:rsidRDefault="00997B7F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97B7F" w:rsidRPr="0069669D" w:rsidRDefault="00997B7F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97B7F" w:rsidRPr="0069669D" w:rsidRDefault="00997B7F" w:rsidP="001B6E4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Задовільнить як перевізників так і пасажирів. Проте ляже тяжким тягарем на плечі міського бюджету  </w:t>
            </w:r>
          </w:p>
        </w:tc>
      </w:tr>
      <w:tr w:rsidR="00997B7F" w:rsidRPr="0069669D" w:rsidTr="0018243F">
        <w:tc>
          <w:tcPr>
            <w:tcW w:w="2463" w:type="dxa"/>
          </w:tcPr>
          <w:p w:rsidR="00997B7F" w:rsidRPr="0069669D" w:rsidRDefault="00997B7F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3</w:t>
            </w:r>
          </w:p>
        </w:tc>
        <w:tc>
          <w:tcPr>
            <w:tcW w:w="2464" w:type="dxa"/>
          </w:tcPr>
          <w:p w:rsidR="00997B7F" w:rsidRPr="0069669D" w:rsidRDefault="00997B7F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97B7F" w:rsidRPr="0069669D" w:rsidRDefault="00997B7F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997B7F" w:rsidRPr="0069669D" w:rsidRDefault="00997B7F" w:rsidP="001B6E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Задовільнить усіх учасників процесу, проте на місцевому рівні немає жодної можливості втілити в життя оскільки потребує регулювання на державному рівні. </w:t>
            </w:r>
          </w:p>
        </w:tc>
      </w:tr>
    </w:tbl>
    <w:p w:rsidR="0018243F" w:rsidRPr="0069669D" w:rsidRDefault="0018243F" w:rsidP="00182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285"/>
        <w:gridCol w:w="3285"/>
        <w:gridCol w:w="3285"/>
      </w:tblGrid>
      <w:tr w:rsidR="0018243F" w:rsidRPr="0069669D" w:rsidTr="0018243F">
        <w:tc>
          <w:tcPr>
            <w:tcW w:w="3285" w:type="dxa"/>
          </w:tcPr>
          <w:p w:rsidR="0018243F" w:rsidRPr="0069669D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3285" w:type="dxa"/>
          </w:tcPr>
          <w:p w:rsidR="0018243F" w:rsidRPr="0069669D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85" w:type="dxa"/>
          </w:tcPr>
          <w:p w:rsidR="0018243F" w:rsidRPr="0069669D" w:rsidRDefault="0018243F" w:rsidP="001824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18243F" w:rsidRPr="0069669D" w:rsidTr="0018243F">
        <w:tc>
          <w:tcPr>
            <w:tcW w:w="3285" w:type="dxa"/>
          </w:tcPr>
          <w:p w:rsidR="0018243F" w:rsidRPr="0069669D" w:rsidRDefault="0018243F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1</w:t>
            </w:r>
          </w:p>
        </w:tc>
        <w:tc>
          <w:tcPr>
            <w:tcW w:w="3285" w:type="dxa"/>
          </w:tcPr>
          <w:p w:rsidR="0018243F" w:rsidRPr="0069669D" w:rsidRDefault="006D7B86" w:rsidP="009313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Відмова</w:t>
            </w:r>
            <w:r w:rsidR="00E80A9E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 Даний варіант призведе до </w:t>
            </w:r>
            <w:r w:rsidR="009313D4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збитковості підприємства та </w:t>
            </w:r>
            <w:r w:rsidR="00E80A9E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зупинки електричного транспорту </w:t>
            </w:r>
          </w:p>
        </w:tc>
        <w:tc>
          <w:tcPr>
            <w:tcW w:w="3285" w:type="dxa"/>
          </w:tcPr>
          <w:p w:rsidR="0018243F" w:rsidRPr="0069669D" w:rsidRDefault="0018243F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7B86" w:rsidRPr="0069669D" w:rsidTr="0018243F">
        <w:tc>
          <w:tcPr>
            <w:tcW w:w="3285" w:type="dxa"/>
          </w:tcPr>
          <w:p w:rsidR="006D7B86" w:rsidRPr="0069669D" w:rsidRDefault="006D7B86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2</w:t>
            </w:r>
          </w:p>
        </w:tc>
        <w:tc>
          <w:tcPr>
            <w:tcW w:w="3285" w:type="dxa"/>
          </w:tcPr>
          <w:p w:rsidR="006D7B86" w:rsidRPr="0069669D" w:rsidRDefault="006D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Відмова</w:t>
            </w:r>
            <w:r w:rsidR="003216E8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Міський бюджет витрачає суттєві кошти для покриття втрат від перевезення пасажирів </w:t>
            </w:r>
            <w:r w:rsidR="001F2BA5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3216E8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2BA5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пільговиків та пільгового перевезення учнів/студентів </w:t>
            </w:r>
          </w:p>
        </w:tc>
        <w:tc>
          <w:tcPr>
            <w:tcW w:w="3285" w:type="dxa"/>
          </w:tcPr>
          <w:p w:rsidR="006D7B86" w:rsidRPr="0069669D" w:rsidRDefault="006D7B86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7B86" w:rsidRPr="0069669D" w:rsidTr="0018243F">
        <w:tc>
          <w:tcPr>
            <w:tcW w:w="3285" w:type="dxa"/>
          </w:tcPr>
          <w:p w:rsidR="006D7B86" w:rsidRPr="0069669D" w:rsidRDefault="006D7B86" w:rsidP="00EC4A6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 3</w:t>
            </w:r>
          </w:p>
        </w:tc>
        <w:tc>
          <w:tcPr>
            <w:tcW w:w="3285" w:type="dxa"/>
          </w:tcPr>
          <w:p w:rsidR="006D7B86" w:rsidRPr="0069669D" w:rsidRDefault="006D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Відмова</w:t>
            </w:r>
            <w:r w:rsidR="001F2BA5" w:rsidRPr="00696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Даний варіант не є в межах компетенції місцевого самоврядування, перевізника чи громадян. </w:t>
            </w:r>
          </w:p>
        </w:tc>
        <w:tc>
          <w:tcPr>
            <w:tcW w:w="3285" w:type="dxa"/>
          </w:tcPr>
          <w:p w:rsidR="006D7B86" w:rsidRPr="0069669D" w:rsidRDefault="006D7B86" w:rsidP="001824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3F62" w:rsidRPr="0069669D" w:rsidRDefault="009C3F62" w:rsidP="00182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3F62" w:rsidRPr="0069669D" w:rsidRDefault="009C3F62" w:rsidP="009C3F6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Механізми та заходи, які забезпечать розв’язання визначеної проблеми</w:t>
      </w:r>
    </w:p>
    <w:p w:rsidR="009C3F62" w:rsidRPr="0069669D" w:rsidRDefault="009C3F62" w:rsidP="009C3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3F35" w:rsidRPr="0069669D" w:rsidRDefault="00D43F35" w:rsidP="00D43F35">
      <w:pPr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            Виконавчий комітет Тернопільської міської  ради, враховуючи проведений  аналіз розрахунків вартості проїзду,  розглянувши звернення перевізників міста Тернопіль, виносить на громадське обговорення питання встановлення тарифу на послуги з перевезення пасажирів  у </w:t>
      </w:r>
      <w:r w:rsidR="00C353E8" w:rsidRPr="0069669D">
        <w:rPr>
          <w:rFonts w:ascii="Times New Roman" w:hAnsi="Times New Roman" w:cs="Times New Roman"/>
          <w:sz w:val="24"/>
          <w:szCs w:val="24"/>
        </w:rPr>
        <w:t xml:space="preserve">електричному транспорті в </w:t>
      </w:r>
      <w:r w:rsidRPr="0069669D">
        <w:rPr>
          <w:rFonts w:ascii="Times New Roman" w:hAnsi="Times New Roman" w:cs="Times New Roman"/>
          <w:sz w:val="24"/>
          <w:szCs w:val="24"/>
        </w:rPr>
        <w:t xml:space="preserve"> розмірі</w:t>
      </w:r>
      <w:r w:rsidR="00BF690A" w:rsidRPr="0069669D">
        <w:rPr>
          <w:rFonts w:ascii="Times New Roman" w:hAnsi="Times New Roman" w:cs="Times New Roman"/>
          <w:sz w:val="24"/>
          <w:szCs w:val="24"/>
        </w:rPr>
        <w:t>:</w:t>
      </w:r>
    </w:p>
    <w:p w:rsidR="00BF690A" w:rsidRPr="0069669D" w:rsidRDefault="00BF690A" w:rsidP="00BF690A">
      <w:pPr>
        <w:pStyle w:val="a6"/>
        <w:shd w:val="clear" w:color="auto" w:fill="FFFFFF"/>
        <w:spacing w:before="129" w:beforeAutospacing="0" w:after="129" w:afterAutospacing="0"/>
        <w:jc w:val="both"/>
        <w:rPr>
          <w:color w:val="000000"/>
        </w:rPr>
      </w:pPr>
      <w:r w:rsidRPr="0069669D">
        <w:rPr>
          <w:color w:val="000000"/>
        </w:rPr>
        <w:t xml:space="preserve"> • </w:t>
      </w:r>
      <w:r w:rsidR="003A0BA9" w:rsidRPr="0069669D">
        <w:rPr>
          <w:color w:val="000000"/>
          <w:lang w:val="uk-UA"/>
        </w:rPr>
        <w:t>6</w:t>
      </w:r>
      <w:r w:rsidRPr="0069669D">
        <w:rPr>
          <w:color w:val="000000"/>
        </w:rPr>
        <w:t>,00 грн. за одну поїздку для громадян чи за перевезення багажу (одне місце) - при готівковому розрахунку;</w:t>
      </w:r>
    </w:p>
    <w:p w:rsidR="003A0BA9" w:rsidRPr="0069669D" w:rsidRDefault="00BF690A" w:rsidP="00BF690A">
      <w:pPr>
        <w:pStyle w:val="a6"/>
        <w:shd w:val="clear" w:color="auto" w:fill="FFFFFF"/>
        <w:spacing w:before="129" w:beforeAutospacing="0" w:after="129" w:afterAutospacing="0"/>
        <w:jc w:val="both"/>
        <w:rPr>
          <w:color w:val="000000"/>
          <w:lang w:val="uk-UA"/>
        </w:rPr>
      </w:pPr>
      <w:r w:rsidRPr="0069669D">
        <w:rPr>
          <w:color w:val="000000"/>
        </w:rPr>
        <w:t xml:space="preserve">  • </w:t>
      </w:r>
      <w:r w:rsidR="003A0BA9" w:rsidRPr="0069669D">
        <w:rPr>
          <w:color w:val="000000"/>
          <w:lang w:val="uk-UA"/>
        </w:rPr>
        <w:t>6</w:t>
      </w:r>
      <w:r w:rsidRPr="0069669D">
        <w:rPr>
          <w:color w:val="000000"/>
        </w:rPr>
        <w:t>,00 грн. за одну поїздку чи за перевезення багажу (одне місце)  - при розрахунку безконтактною банківською карткою чи пристроєм з технологією NFC</w:t>
      </w:r>
      <w:r w:rsidR="003A0BA9" w:rsidRPr="0069669D">
        <w:rPr>
          <w:color w:val="000000"/>
          <w:lang w:val="uk-UA"/>
        </w:rPr>
        <w:t>;</w:t>
      </w:r>
    </w:p>
    <w:p w:rsidR="00BF690A" w:rsidRPr="0069669D" w:rsidRDefault="00BF690A" w:rsidP="00BF690A">
      <w:pPr>
        <w:pStyle w:val="a6"/>
        <w:shd w:val="clear" w:color="auto" w:fill="FFFFFF"/>
        <w:spacing w:before="129" w:beforeAutospacing="0" w:after="129" w:afterAutospacing="0"/>
        <w:jc w:val="both"/>
        <w:rPr>
          <w:color w:val="000000"/>
        </w:rPr>
      </w:pPr>
      <w:r w:rsidRPr="0069669D">
        <w:rPr>
          <w:color w:val="000000"/>
        </w:rPr>
        <w:t xml:space="preserve">  • </w:t>
      </w:r>
      <w:r w:rsidR="003A0BA9" w:rsidRPr="0069669D">
        <w:rPr>
          <w:color w:val="000000"/>
          <w:lang w:val="uk-UA"/>
        </w:rPr>
        <w:t>5</w:t>
      </w:r>
      <w:r w:rsidRPr="0069669D">
        <w:rPr>
          <w:color w:val="000000"/>
        </w:rPr>
        <w:t xml:space="preserve">,00 грн. за одну поїздку для громадян, чи за перевезення багажу (одне місце),  </w:t>
      </w:r>
      <w:r w:rsidR="003A0BA9" w:rsidRPr="0069669D">
        <w:rPr>
          <w:color w:val="000000"/>
          <w:lang w:val="uk-UA"/>
        </w:rPr>
        <w:t>2</w:t>
      </w:r>
      <w:r w:rsidRPr="0069669D">
        <w:rPr>
          <w:color w:val="000000"/>
        </w:rPr>
        <w:t>,</w:t>
      </w:r>
      <w:r w:rsidR="003A0BA9" w:rsidRPr="0069669D">
        <w:rPr>
          <w:color w:val="000000"/>
          <w:lang w:val="uk-UA"/>
        </w:rPr>
        <w:t>5</w:t>
      </w:r>
      <w:r w:rsidRPr="0069669D">
        <w:rPr>
          <w:color w:val="000000"/>
        </w:rPr>
        <w:t>0  грн. за одну поїздку для учнів/студентів, чи за перевезення багажу (одне місце) - для власників електронного квитка «Соціальна карта Тернополянина» </w:t>
      </w:r>
      <w:r w:rsidR="003A0BA9" w:rsidRPr="0069669D">
        <w:rPr>
          <w:color w:val="000000"/>
          <w:lang w:val="uk-UA"/>
        </w:rPr>
        <w:t>;</w:t>
      </w:r>
      <w:r w:rsidRPr="0069669D">
        <w:rPr>
          <w:color w:val="000000"/>
        </w:rPr>
        <w:t xml:space="preserve"> </w:t>
      </w:r>
    </w:p>
    <w:p w:rsidR="00BF690A" w:rsidRPr="0069669D" w:rsidRDefault="00BF690A" w:rsidP="00BF690A">
      <w:pPr>
        <w:pStyle w:val="a6"/>
        <w:shd w:val="clear" w:color="auto" w:fill="FFFFFF"/>
        <w:spacing w:before="129" w:beforeAutospacing="0" w:after="129" w:afterAutospacing="0"/>
        <w:jc w:val="both"/>
        <w:rPr>
          <w:color w:val="000000"/>
          <w:lang w:val="uk-UA"/>
        </w:rPr>
      </w:pPr>
      <w:r w:rsidRPr="0069669D">
        <w:rPr>
          <w:color w:val="000000"/>
        </w:rPr>
        <w:t xml:space="preserve">  • </w:t>
      </w:r>
      <w:r w:rsidR="003A0BA9" w:rsidRPr="0069669D">
        <w:rPr>
          <w:color w:val="000000"/>
          <w:lang w:val="uk-UA"/>
        </w:rPr>
        <w:t>5</w:t>
      </w:r>
      <w:r w:rsidRPr="0069669D">
        <w:rPr>
          <w:color w:val="000000"/>
        </w:rPr>
        <w:t>.00 грн. - за одну поїздку чи за перевезення багажу (одне місце) - для власників неперсоніфікованого проїзного квитка тривалого користування «Електронний квиток»</w:t>
      </w:r>
      <w:r w:rsidR="003A0BA9" w:rsidRPr="0069669D">
        <w:rPr>
          <w:color w:val="000000"/>
          <w:lang w:val="uk-UA"/>
        </w:rPr>
        <w:t>;</w:t>
      </w:r>
    </w:p>
    <w:p w:rsidR="00BF690A" w:rsidRPr="0069669D" w:rsidRDefault="00BF690A" w:rsidP="004335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Виконавчий комітет, керуючись ст.28 Закону України “Про місцеве самоврядування в Україні”, </w:t>
      </w:r>
      <w:r w:rsidR="003A0BA9" w:rsidRPr="0069669D">
        <w:rPr>
          <w:rFonts w:ascii="Times New Roman" w:hAnsi="Times New Roman" w:cs="Times New Roman"/>
          <w:sz w:val="24"/>
          <w:szCs w:val="24"/>
        </w:rPr>
        <w:t>наказу Міністерства інфраструктури України від 25.11.13р. № 940 «Про затвердження Порядку формування тарифів на послуги міського електричного транспорту (трамвай , тролейбус)»,</w:t>
      </w:r>
      <w:r w:rsidRPr="0069669D">
        <w:rPr>
          <w:rFonts w:ascii="Times New Roman" w:hAnsi="Times New Roman" w:cs="Times New Roman"/>
          <w:sz w:val="24"/>
          <w:szCs w:val="24"/>
        </w:rPr>
        <w:t xml:space="preserve"> враховуючи результати громадських обговорень, зауважень та пропозицій до проекту рішення приймає рішення щодо встановлення тарифу.</w:t>
      </w:r>
      <w:r w:rsidR="004335EF" w:rsidRPr="0069669D">
        <w:rPr>
          <w:rFonts w:ascii="Times New Roman" w:hAnsi="Times New Roman" w:cs="Times New Roman"/>
          <w:sz w:val="24"/>
          <w:szCs w:val="24"/>
        </w:rPr>
        <w:t xml:space="preserve"> </w:t>
      </w:r>
      <w:r w:rsidRPr="0069669D">
        <w:rPr>
          <w:rFonts w:ascii="Times New Roman" w:hAnsi="Times New Roman" w:cs="Times New Roman"/>
          <w:sz w:val="24"/>
          <w:szCs w:val="24"/>
        </w:rPr>
        <w:t>Після прийняття рішення підлягає оприлюдненню.</w:t>
      </w:r>
      <w:r w:rsidR="004335EF" w:rsidRPr="0069669D">
        <w:rPr>
          <w:rFonts w:ascii="Times New Roman" w:hAnsi="Times New Roman" w:cs="Times New Roman"/>
          <w:sz w:val="24"/>
          <w:szCs w:val="24"/>
        </w:rPr>
        <w:t xml:space="preserve"> </w:t>
      </w:r>
      <w:r w:rsidRPr="0069669D">
        <w:rPr>
          <w:rFonts w:ascii="Times New Roman" w:hAnsi="Times New Roman" w:cs="Times New Roman"/>
          <w:sz w:val="24"/>
          <w:szCs w:val="24"/>
        </w:rPr>
        <w:t>Регуляторний акт має місцевий характер впливу.</w:t>
      </w:r>
    </w:p>
    <w:p w:rsidR="004335EF" w:rsidRPr="0069669D" w:rsidRDefault="004335EF" w:rsidP="004335EF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>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335EF" w:rsidRPr="0069669D" w:rsidRDefault="004335EF" w:rsidP="004335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335EF" w:rsidRPr="0069669D" w:rsidRDefault="0023213D" w:rsidP="0023213D">
      <w:pPr>
        <w:pStyle w:val="a7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Дія  акту  поширюється  виключно  на  </w:t>
      </w:r>
      <w:r w:rsidR="00B32549" w:rsidRPr="0069669D">
        <w:rPr>
          <w:rFonts w:ascii="Times New Roman" w:hAnsi="Times New Roman" w:cs="Times New Roman"/>
          <w:sz w:val="24"/>
          <w:szCs w:val="24"/>
        </w:rPr>
        <w:t>КП «Тернопільелектротранс»</w:t>
      </w:r>
      <w:r w:rsidR="00525512" w:rsidRPr="0069669D">
        <w:rPr>
          <w:rFonts w:ascii="Times New Roman" w:hAnsi="Times New Roman" w:cs="Times New Roman"/>
          <w:sz w:val="24"/>
          <w:szCs w:val="24"/>
        </w:rPr>
        <w:t xml:space="preserve"> та орган місцевого самоврядування</w:t>
      </w:r>
      <w:r w:rsidRPr="00696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3FC" w:rsidRPr="0069669D" w:rsidRDefault="00AA33FC" w:rsidP="008274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7451" w:rsidRPr="0069669D" w:rsidRDefault="000E254C" w:rsidP="000E254C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Обґрунтування запропонованого строку дії регуляторного акта</w:t>
      </w:r>
    </w:p>
    <w:p w:rsidR="000E254C" w:rsidRPr="0069669D" w:rsidRDefault="000E254C" w:rsidP="000E254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90A" w:rsidRPr="0069669D" w:rsidRDefault="00BF690A" w:rsidP="00BF690A">
      <w:pPr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            Термін дії запропонованого регуляторного акту до прийняття наступного регуляторного акта, який залежатиме від економічних чинників (динаміка зміни вартості </w:t>
      </w:r>
      <w:r w:rsidR="009F39D0" w:rsidRPr="0069669D">
        <w:rPr>
          <w:rFonts w:ascii="Times New Roman" w:hAnsi="Times New Roman" w:cs="Times New Roman"/>
          <w:sz w:val="24"/>
          <w:szCs w:val="24"/>
        </w:rPr>
        <w:t>електроенергії</w:t>
      </w:r>
      <w:r w:rsidRPr="0069669D">
        <w:rPr>
          <w:rFonts w:ascii="Times New Roman" w:hAnsi="Times New Roman" w:cs="Times New Roman"/>
          <w:sz w:val="24"/>
          <w:szCs w:val="24"/>
        </w:rPr>
        <w:t>, підвищення законодавчо встановленого розміру мінімальної заробітної плати, зміни у податковому законодавстві тощо).</w:t>
      </w:r>
    </w:p>
    <w:p w:rsidR="000E254C" w:rsidRPr="0069669D" w:rsidRDefault="000E254C" w:rsidP="000E254C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>Визначення показників результативності регуляторного акту</w:t>
      </w:r>
    </w:p>
    <w:p w:rsidR="00BF690A" w:rsidRPr="0069669D" w:rsidRDefault="00E9590F" w:rsidP="00A055D4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>В</w:t>
      </w:r>
      <w:r w:rsidR="00BF690A" w:rsidRPr="0069669D">
        <w:rPr>
          <w:rFonts w:ascii="Times New Roman" w:hAnsi="Times New Roman" w:cs="Times New Roman"/>
          <w:sz w:val="24"/>
          <w:szCs w:val="24"/>
        </w:rPr>
        <w:t>становлений тариф на проїзду у міському транспорті відповідатиме економічно обґрунтованим витратам перевізник</w:t>
      </w:r>
      <w:r w:rsidR="00F76BA9" w:rsidRPr="0069669D">
        <w:rPr>
          <w:rFonts w:ascii="Times New Roman" w:hAnsi="Times New Roman" w:cs="Times New Roman"/>
          <w:sz w:val="24"/>
          <w:szCs w:val="24"/>
        </w:rPr>
        <w:t>а</w:t>
      </w:r>
      <w:r w:rsidR="00BF690A" w:rsidRPr="0069669D">
        <w:rPr>
          <w:rFonts w:ascii="Times New Roman" w:hAnsi="Times New Roman" w:cs="Times New Roman"/>
          <w:sz w:val="24"/>
          <w:szCs w:val="24"/>
        </w:rPr>
        <w:t>;</w:t>
      </w:r>
    </w:p>
    <w:p w:rsidR="00BF690A" w:rsidRPr="0069669D" w:rsidRDefault="00BF690A" w:rsidP="00A055D4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робота міського </w:t>
      </w:r>
      <w:r w:rsidR="00F76BA9" w:rsidRPr="0069669D">
        <w:rPr>
          <w:rFonts w:ascii="Times New Roman" w:hAnsi="Times New Roman" w:cs="Times New Roman"/>
          <w:sz w:val="24"/>
          <w:szCs w:val="24"/>
        </w:rPr>
        <w:t>електричного транспорту</w:t>
      </w:r>
      <w:r w:rsidRPr="0069669D">
        <w:rPr>
          <w:rFonts w:ascii="Times New Roman" w:hAnsi="Times New Roman" w:cs="Times New Roman"/>
          <w:sz w:val="24"/>
          <w:szCs w:val="24"/>
        </w:rPr>
        <w:t xml:space="preserve"> буде </w:t>
      </w:r>
      <w:r w:rsidR="00600E42">
        <w:rPr>
          <w:rFonts w:ascii="Times New Roman" w:hAnsi="Times New Roman" w:cs="Times New Roman"/>
          <w:sz w:val="24"/>
          <w:szCs w:val="24"/>
        </w:rPr>
        <w:t xml:space="preserve">більш </w:t>
      </w:r>
      <w:r w:rsidR="008E54D7">
        <w:rPr>
          <w:rFonts w:ascii="Times New Roman" w:hAnsi="Times New Roman" w:cs="Times New Roman"/>
          <w:sz w:val="24"/>
          <w:szCs w:val="24"/>
        </w:rPr>
        <w:t xml:space="preserve">безпечною та </w:t>
      </w:r>
      <w:r w:rsidR="00600E42">
        <w:rPr>
          <w:rFonts w:ascii="Times New Roman" w:hAnsi="Times New Roman" w:cs="Times New Roman"/>
          <w:sz w:val="24"/>
          <w:szCs w:val="24"/>
        </w:rPr>
        <w:t>якісною</w:t>
      </w:r>
      <w:r w:rsidRPr="0069669D">
        <w:rPr>
          <w:rFonts w:ascii="Times New Roman" w:hAnsi="Times New Roman" w:cs="Times New Roman"/>
          <w:sz w:val="24"/>
          <w:szCs w:val="24"/>
        </w:rPr>
        <w:t>;</w:t>
      </w:r>
    </w:p>
    <w:p w:rsidR="00BF690A" w:rsidRPr="0069669D" w:rsidRDefault="00BF690A" w:rsidP="00A055D4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>перевізник змож</w:t>
      </w:r>
      <w:r w:rsidR="00F76BA9" w:rsidRPr="0069669D">
        <w:rPr>
          <w:rFonts w:ascii="Times New Roman" w:hAnsi="Times New Roman" w:cs="Times New Roman"/>
          <w:sz w:val="24"/>
          <w:szCs w:val="24"/>
        </w:rPr>
        <w:t>е</w:t>
      </w:r>
      <w:r w:rsidRPr="0069669D">
        <w:rPr>
          <w:rFonts w:ascii="Times New Roman" w:hAnsi="Times New Roman" w:cs="Times New Roman"/>
          <w:sz w:val="24"/>
          <w:szCs w:val="24"/>
        </w:rPr>
        <w:t xml:space="preserve"> забезпечити повноцінне надання транспортних послуг</w:t>
      </w:r>
      <w:r w:rsidR="008E54D7">
        <w:rPr>
          <w:rFonts w:ascii="Times New Roman" w:hAnsi="Times New Roman" w:cs="Times New Roman"/>
          <w:sz w:val="24"/>
          <w:szCs w:val="24"/>
        </w:rPr>
        <w:t xml:space="preserve"> і виконання запланованих рейсів</w:t>
      </w:r>
      <w:r w:rsidR="001D06D6">
        <w:rPr>
          <w:rFonts w:ascii="Times New Roman" w:hAnsi="Times New Roman" w:cs="Times New Roman"/>
          <w:sz w:val="24"/>
          <w:szCs w:val="24"/>
        </w:rPr>
        <w:t>.</w:t>
      </w:r>
    </w:p>
    <w:p w:rsidR="00894D22" w:rsidRPr="0069669D" w:rsidRDefault="00894D22" w:rsidP="00E95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451" w:rsidRPr="0069669D" w:rsidRDefault="00827451" w:rsidP="005177D4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Відстеження результативності акту</w:t>
      </w:r>
    </w:p>
    <w:p w:rsidR="005177D4" w:rsidRPr="0069669D" w:rsidRDefault="005177D4" w:rsidP="005177D4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90A" w:rsidRPr="0069669D" w:rsidRDefault="00BF690A" w:rsidP="00517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lastRenderedPageBreak/>
        <w:t xml:space="preserve">            Відстеження результативності застосування регуляторного акта здійснюватиметься виконавчими органами Тернопільської міської ради шляхом проведення аналізу статистичних даних (вартості </w:t>
      </w:r>
      <w:r w:rsidR="00F76BA9" w:rsidRPr="0069669D">
        <w:rPr>
          <w:rFonts w:ascii="Times New Roman" w:hAnsi="Times New Roman" w:cs="Times New Roman"/>
          <w:sz w:val="24"/>
          <w:szCs w:val="24"/>
        </w:rPr>
        <w:t>електроенергії</w:t>
      </w:r>
      <w:r w:rsidRPr="0069669D">
        <w:rPr>
          <w:rFonts w:ascii="Times New Roman" w:hAnsi="Times New Roman" w:cs="Times New Roman"/>
          <w:sz w:val="24"/>
          <w:szCs w:val="24"/>
        </w:rPr>
        <w:t>, розміру мінімальної заробітної плати водіїв, на яких поширюється дія регуляторного акту, тощо) та даних перевізник</w:t>
      </w:r>
      <w:r w:rsidR="00F76BA9" w:rsidRPr="0069669D">
        <w:rPr>
          <w:rFonts w:ascii="Times New Roman" w:hAnsi="Times New Roman" w:cs="Times New Roman"/>
          <w:sz w:val="24"/>
          <w:szCs w:val="24"/>
        </w:rPr>
        <w:t>а</w:t>
      </w:r>
      <w:r w:rsidRPr="0069669D">
        <w:rPr>
          <w:rFonts w:ascii="Times New Roman" w:hAnsi="Times New Roman" w:cs="Times New Roman"/>
          <w:sz w:val="24"/>
          <w:szCs w:val="24"/>
        </w:rPr>
        <w:t>, як</w:t>
      </w:r>
      <w:r w:rsidR="00F76BA9" w:rsidRPr="0069669D">
        <w:rPr>
          <w:rFonts w:ascii="Times New Roman" w:hAnsi="Times New Roman" w:cs="Times New Roman"/>
          <w:sz w:val="24"/>
          <w:szCs w:val="24"/>
        </w:rPr>
        <w:t>ий</w:t>
      </w:r>
      <w:r w:rsidRPr="0069669D">
        <w:rPr>
          <w:rFonts w:ascii="Times New Roman" w:hAnsi="Times New Roman" w:cs="Times New Roman"/>
          <w:sz w:val="24"/>
          <w:szCs w:val="24"/>
        </w:rPr>
        <w:t xml:space="preserve"> працю</w:t>
      </w:r>
      <w:r w:rsidR="00F76BA9" w:rsidRPr="0069669D">
        <w:rPr>
          <w:rFonts w:ascii="Times New Roman" w:hAnsi="Times New Roman" w:cs="Times New Roman"/>
          <w:sz w:val="24"/>
          <w:szCs w:val="24"/>
        </w:rPr>
        <w:t>є</w:t>
      </w:r>
      <w:r w:rsidRPr="0069669D">
        <w:rPr>
          <w:rFonts w:ascii="Times New Roman" w:hAnsi="Times New Roman" w:cs="Times New Roman"/>
          <w:sz w:val="24"/>
          <w:szCs w:val="24"/>
        </w:rPr>
        <w:t xml:space="preserve"> на ринку послуг міста.</w:t>
      </w:r>
    </w:p>
    <w:p w:rsidR="00BF690A" w:rsidRPr="0069669D" w:rsidRDefault="00BF690A" w:rsidP="00517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             Відстеження результативності дії регуляторного акта планується здійснювати  у відповідності до Закону України «Про засади державної регуляторної політики у с</w:t>
      </w:r>
      <w:r w:rsidR="00BC1A04" w:rsidRPr="0069669D">
        <w:rPr>
          <w:rFonts w:ascii="Times New Roman" w:hAnsi="Times New Roman" w:cs="Times New Roman"/>
          <w:sz w:val="24"/>
          <w:szCs w:val="24"/>
        </w:rPr>
        <w:t>фері господарської діяльності».</w:t>
      </w:r>
    </w:p>
    <w:p w:rsidR="007E1DB3" w:rsidRPr="0069669D" w:rsidRDefault="00827451" w:rsidP="005177D4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966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Зауваження і пропозиції щодо регуляторного документу подавати у письмовому вигляді до </w:t>
      </w:r>
      <w:r w:rsidR="00BC1A04" w:rsidRPr="00696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937156" w:rsidRPr="00696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правління транспорту, комунікацій та зв’язку Тернопільської міської ради</w:t>
      </w:r>
      <w:r w:rsidR="00615CA0" w:rsidRPr="006966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_18/08/2019 року </w:t>
      </w:r>
      <w:r w:rsidRPr="006966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 адресою – </w:t>
      </w:r>
      <w:r w:rsidR="00937156" w:rsidRPr="006966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46001</w:t>
      </w:r>
      <w:r w:rsidRPr="006966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м.</w:t>
      </w:r>
      <w:r w:rsidR="00937156" w:rsidRPr="006966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Тернопіль</w:t>
      </w:r>
      <w:r w:rsidRPr="006966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вул.</w:t>
      </w:r>
      <w:r w:rsidR="00937156" w:rsidRPr="006966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Коперника, 1, електронна пошта </w:t>
      </w:r>
      <w:hyperlink r:id="rId5" w:history="1">
        <w:r w:rsidR="00AA33FC" w:rsidRPr="0069669D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shd w:val="clear" w:color="auto" w:fill="FFFFFF"/>
          </w:rPr>
          <w:t>uprtrans_te@ukr.net</w:t>
        </w:r>
      </w:hyperlink>
    </w:p>
    <w:p w:rsidR="00AA33FC" w:rsidRPr="0069669D" w:rsidRDefault="00AA33FC" w:rsidP="005177D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177D4" w:rsidRPr="0069669D" w:rsidRDefault="005177D4" w:rsidP="005177D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AA33FC" w:rsidRPr="0069669D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Начальник</w:t>
      </w:r>
      <w:r w:rsidRPr="00696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3FC" w:rsidRPr="0069669D" w:rsidRDefault="00AA33FC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управління транспорту, комунікацій та зв’язку </w:t>
      </w:r>
      <w:r w:rsidRPr="0069669D">
        <w:rPr>
          <w:rFonts w:ascii="Times New Roman" w:hAnsi="Times New Roman" w:cs="Times New Roman"/>
          <w:sz w:val="24"/>
          <w:szCs w:val="24"/>
        </w:rPr>
        <w:tab/>
      </w:r>
      <w:r w:rsidRPr="0069669D">
        <w:rPr>
          <w:rFonts w:ascii="Times New Roman" w:hAnsi="Times New Roman" w:cs="Times New Roman"/>
          <w:sz w:val="24"/>
          <w:szCs w:val="24"/>
        </w:rPr>
        <w:tab/>
      </w:r>
      <w:r w:rsidRPr="0069669D">
        <w:rPr>
          <w:rFonts w:ascii="Times New Roman" w:hAnsi="Times New Roman" w:cs="Times New Roman"/>
          <w:sz w:val="24"/>
          <w:szCs w:val="24"/>
        </w:rPr>
        <w:tab/>
      </w:r>
      <w:r w:rsidRPr="0069669D">
        <w:rPr>
          <w:rFonts w:ascii="Times New Roman" w:hAnsi="Times New Roman" w:cs="Times New Roman"/>
          <w:sz w:val="24"/>
          <w:szCs w:val="24"/>
        </w:rPr>
        <w:tab/>
      </w:r>
      <w:r w:rsidRPr="0069669D">
        <w:rPr>
          <w:rFonts w:ascii="Times New Roman" w:hAnsi="Times New Roman" w:cs="Times New Roman"/>
          <w:sz w:val="24"/>
          <w:szCs w:val="24"/>
        </w:rPr>
        <w:tab/>
        <w:t>Мединський І.Г.</w:t>
      </w:r>
    </w:p>
    <w:p w:rsidR="0073482D" w:rsidRPr="0069669D" w:rsidRDefault="0073482D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82D" w:rsidRPr="0069669D" w:rsidRDefault="0073482D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B97" w:rsidRPr="0069669D" w:rsidRDefault="000F6B97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B97" w:rsidRPr="0069669D" w:rsidRDefault="000F6B97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B62" w:rsidRDefault="00690B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B62" w:rsidRDefault="00690B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B62" w:rsidRPr="0069669D" w:rsidRDefault="00690B62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C0E" w:rsidRPr="0069669D" w:rsidRDefault="00C06C0E" w:rsidP="00AA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C37" w:rsidRPr="0069669D" w:rsidRDefault="00835C37" w:rsidP="00835C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835C37" w:rsidRPr="0069669D" w:rsidRDefault="00835C37" w:rsidP="0083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>Розрахунок витрат для суб’єктів малого підприємництва (М-тест)</w:t>
      </w:r>
    </w:p>
    <w:p w:rsidR="00835C37" w:rsidRPr="0069669D" w:rsidRDefault="00835C37" w:rsidP="0083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69D">
        <w:rPr>
          <w:rFonts w:ascii="Times New Roman" w:hAnsi="Times New Roman" w:cs="Times New Roman"/>
          <w:sz w:val="24"/>
          <w:szCs w:val="24"/>
        </w:rPr>
        <w:t>на запровадження проекту рішення виконавчого комітету Тернопільської міської ради</w:t>
      </w:r>
    </w:p>
    <w:p w:rsidR="002276DA" w:rsidRPr="0069669D" w:rsidRDefault="002276DA" w:rsidP="002276DA">
      <w:pPr>
        <w:pStyle w:val="31"/>
        <w:jc w:val="center"/>
        <w:rPr>
          <w:b w:val="0"/>
          <w:bCs w:val="0"/>
          <w:sz w:val="24"/>
        </w:rPr>
      </w:pPr>
      <w:r w:rsidRPr="0069669D">
        <w:rPr>
          <w:b w:val="0"/>
          <w:sz w:val="24"/>
        </w:rPr>
        <w:lastRenderedPageBreak/>
        <w:t>«Про забезпечення роботи міського електричного транспорту»</w:t>
      </w:r>
    </w:p>
    <w:p w:rsidR="00C06C0E" w:rsidRPr="0069669D" w:rsidRDefault="00C06C0E" w:rsidP="00C06C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8"/>
      </w:tblGrid>
      <w:tr w:rsidR="00C06C0E" w:rsidRPr="0069669D" w:rsidTr="00BF6A63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br/>
              <w:t>Додаток 2 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br/>
              <w:t>до Методики проведення аналізу впливу 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br/>
              <w:t>регуляторного акта</w:t>
            </w:r>
          </w:p>
        </w:tc>
      </w:tr>
    </w:tbl>
    <w:p w:rsidR="00C06C0E" w:rsidRPr="0069669D" w:rsidRDefault="00C06C0E" w:rsidP="00C06C0E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n177"/>
      <w:bookmarkEnd w:id="1"/>
      <w:r w:rsidRPr="0069669D">
        <w:rPr>
          <w:rFonts w:ascii="Times New Roman" w:hAnsi="Times New Roman" w:cs="Times New Roman"/>
          <w:bCs/>
          <w:color w:val="000000"/>
          <w:sz w:val="24"/>
          <w:szCs w:val="24"/>
        </w:rPr>
        <w:t>ВИТРАТИ </w:t>
      </w:r>
      <w:r w:rsidRPr="00696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669D">
        <w:rPr>
          <w:rFonts w:ascii="Times New Roman" w:hAnsi="Times New Roman" w:cs="Times New Roman"/>
          <w:bCs/>
          <w:color w:val="000000"/>
          <w:sz w:val="24"/>
          <w:szCs w:val="24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7"/>
        <w:gridCol w:w="5651"/>
        <w:gridCol w:w="1148"/>
        <w:gridCol w:w="1149"/>
      </w:tblGrid>
      <w:tr w:rsidR="00C06C0E" w:rsidRPr="0069669D" w:rsidTr="009E18EC"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78"/>
            <w:bookmarkEnd w:id="2"/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За перший рік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За п’ять років</w:t>
            </w:r>
          </w:p>
        </w:tc>
      </w:tr>
      <w:tr w:rsidR="00C06C0E" w:rsidRPr="0069669D" w:rsidTr="009E18EC">
        <w:tc>
          <w:tcPr>
            <w:tcW w:w="1437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1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148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10677225,45</w:t>
            </w:r>
          </w:p>
        </w:tc>
        <w:tc>
          <w:tcPr>
            <w:tcW w:w="1149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C06C0E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12428802,87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C06C0E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412991,97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C06C0E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8039958,19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наймом додаткового персоналу,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Інше (уточнити),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РАЗОМ (сума рядків: 1 + 2 + 3 + 4 + 5 + 6 + 7 + 8),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C06C0E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31558978,48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4122DA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9E18EC">
        <w:tc>
          <w:tcPr>
            <w:tcW w:w="1437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1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1148" w:type="dxa"/>
            <w:shd w:val="clear" w:color="auto" w:fill="auto"/>
          </w:tcPr>
          <w:p w:rsidR="00C06C0E" w:rsidRPr="0069669D" w:rsidRDefault="004122DA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   31558978,48</w:t>
            </w:r>
          </w:p>
        </w:tc>
        <w:tc>
          <w:tcPr>
            <w:tcW w:w="1149" w:type="dxa"/>
            <w:shd w:val="clear" w:color="auto" w:fill="auto"/>
          </w:tcPr>
          <w:p w:rsidR="00C06C0E" w:rsidRPr="0069669D" w:rsidRDefault="004F2B99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6C0E" w:rsidRPr="0069669D" w:rsidRDefault="00C06C0E" w:rsidP="00C06C0E">
      <w:pPr>
        <w:shd w:val="clear" w:color="auto" w:fill="FFFFFF"/>
        <w:spacing w:after="150"/>
        <w:ind w:left="450" w:right="45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n179"/>
      <w:bookmarkEnd w:id="3"/>
      <w:r w:rsidRPr="0069669D">
        <w:rPr>
          <w:rFonts w:ascii="Times New Roman" w:hAnsi="Times New Roman" w:cs="Times New Roman"/>
          <w:color w:val="000000"/>
          <w:sz w:val="24"/>
          <w:szCs w:val="24"/>
        </w:rPr>
        <w:t>Розрахунок відповідних витрат на одного суб’єкта господарювання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6"/>
        <w:gridCol w:w="97"/>
        <w:gridCol w:w="1627"/>
        <w:gridCol w:w="1532"/>
        <w:gridCol w:w="96"/>
        <w:gridCol w:w="1627"/>
      </w:tblGrid>
      <w:tr w:rsidR="00C06C0E" w:rsidRPr="0069669D" w:rsidTr="00BF6A63">
        <w:tc>
          <w:tcPr>
            <w:tcW w:w="45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80"/>
            <w:bookmarkEnd w:id="4"/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У перший рік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Періодичні (за рік)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C06C0E" w:rsidRPr="0069669D" w:rsidTr="00BF6A63">
        <w:tc>
          <w:tcPr>
            <w:tcW w:w="45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9E18EC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10677225,45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9E18EC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9E18EC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BF6A63">
        <w:tc>
          <w:tcPr>
            <w:tcW w:w="4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81"/>
            <w:bookmarkEnd w:id="5"/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9E18EC" w:rsidRPr="0069669D" w:rsidTr="00BF6A63">
        <w:tc>
          <w:tcPr>
            <w:tcW w:w="4406" w:type="dxa"/>
            <w:tcBorders>
              <w:top w:val="single" w:sz="4" w:space="0" w:color="000000"/>
            </w:tcBorders>
            <w:shd w:val="clear" w:color="auto" w:fill="auto"/>
          </w:tcPr>
          <w:p w:rsidR="009E18EC" w:rsidRPr="0069669D" w:rsidRDefault="009E18EC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E18EC" w:rsidRPr="0069669D" w:rsidRDefault="009E18EC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12428802,87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E18EC" w:rsidRPr="0069669D" w:rsidRDefault="009E18EC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C0E" w:rsidRPr="0069669D" w:rsidRDefault="00C06C0E" w:rsidP="00C06C0E">
      <w:pPr>
        <w:shd w:val="clear" w:color="auto" w:fill="FFFFFF"/>
        <w:spacing w:after="150"/>
        <w:rPr>
          <w:rFonts w:ascii="Times New Roman" w:hAnsi="Times New Roman" w:cs="Times New Roman"/>
          <w:vanish/>
          <w:color w:val="000000"/>
          <w:sz w:val="24"/>
          <w:szCs w:val="24"/>
        </w:rPr>
      </w:pPr>
      <w:bookmarkStart w:id="6" w:name="n182"/>
      <w:bookmarkEnd w:id="6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75"/>
        <w:gridCol w:w="1724"/>
        <w:gridCol w:w="1723"/>
        <w:gridCol w:w="1627"/>
        <w:gridCol w:w="1436"/>
      </w:tblGrid>
      <w:tr w:rsidR="00C06C0E" w:rsidRPr="0069669D" w:rsidTr="00BF6A63"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Витрати* на ведення обліку, підготовку та подання звітності (за рік)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оплату штрафних санкцій за рік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C06C0E" w:rsidRPr="0069669D" w:rsidTr="00BF6A63">
        <w:tc>
          <w:tcPr>
            <w:tcW w:w="2875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724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6C0E" w:rsidRPr="0069669D" w:rsidRDefault="00C06C0E" w:rsidP="00C06C0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7" w:name="n183"/>
      <w:bookmarkEnd w:id="7"/>
      <w:r w:rsidRPr="0069669D">
        <w:rPr>
          <w:rFonts w:ascii="Times New Roman" w:hAnsi="Times New Roman" w:cs="Times New Roman"/>
          <w:color w:val="000000"/>
          <w:sz w:val="24"/>
          <w:szCs w:val="24"/>
        </w:rPr>
        <w:t>_________ </w:t>
      </w:r>
      <w:r w:rsidRPr="006966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* Вартість витрат, пов’язаних із підготовкою та поданням звітності державним органам, </w:t>
      </w:r>
      <w:r w:rsidRPr="006966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визначається шляхом множення фактичних витрат часу персоналу на заробітну плату спеціаліста відповідної кваліфікації).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0"/>
        <w:gridCol w:w="2298"/>
        <w:gridCol w:w="1628"/>
        <w:gridCol w:w="1245"/>
        <w:gridCol w:w="1244"/>
      </w:tblGrid>
      <w:tr w:rsidR="00C06C0E" w:rsidRPr="0069669D" w:rsidTr="00BF6A63"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n184"/>
            <w:bookmarkEnd w:id="8"/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Разом за рік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C06C0E" w:rsidRPr="0069669D" w:rsidTr="00BF6A63"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2298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6C0E" w:rsidRPr="0069669D" w:rsidRDefault="00C06C0E" w:rsidP="00C06C0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9" w:name="n185"/>
      <w:bookmarkEnd w:id="9"/>
      <w:r w:rsidRPr="0069669D">
        <w:rPr>
          <w:rFonts w:ascii="Times New Roman" w:hAnsi="Times New Roman" w:cs="Times New Roman"/>
          <w:color w:val="000000"/>
          <w:sz w:val="24"/>
          <w:szCs w:val="24"/>
        </w:rPr>
        <w:t>__________ </w:t>
      </w:r>
      <w:r w:rsidRPr="0069669D">
        <w:rPr>
          <w:rFonts w:ascii="Times New Roman" w:hAnsi="Times New Roman" w:cs="Times New Roman"/>
          <w:color w:val="000000"/>
          <w:sz w:val="24"/>
          <w:szCs w:val="24"/>
        </w:rPr>
        <w:br/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70"/>
        <w:gridCol w:w="671"/>
        <w:gridCol w:w="1053"/>
        <w:gridCol w:w="862"/>
        <w:gridCol w:w="1053"/>
        <w:gridCol w:w="957"/>
        <w:gridCol w:w="670"/>
        <w:gridCol w:w="1149"/>
      </w:tblGrid>
      <w:tr w:rsidR="00C06C0E" w:rsidRPr="0069669D" w:rsidTr="00BF6A63"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n186"/>
            <w:bookmarkEnd w:id="10"/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Разом за рік (стартовий)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C06C0E" w:rsidRPr="0069669D" w:rsidTr="00BF6A63"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412991,97</w:t>
            </w:r>
          </w:p>
        </w:tc>
        <w:tc>
          <w:tcPr>
            <w:tcW w:w="1149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410467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BF6A63">
        <w:tc>
          <w:tcPr>
            <w:tcW w:w="36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n187"/>
            <w:bookmarkEnd w:id="11"/>
            <w:r w:rsidRPr="0069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витрат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За рік (стартовий)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Періодичні 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br/>
              <w:t>(за наступний рік)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за п’ять років</w:t>
            </w:r>
          </w:p>
        </w:tc>
      </w:tr>
      <w:tr w:rsidR="00C06C0E" w:rsidRPr="0069669D" w:rsidTr="00BF6A63">
        <w:tc>
          <w:tcPr>
            <w:tcW w:w="36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690B9D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8039958,19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690B9D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690B9D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6C0E" w:rsidRPr="0069669D" w:rsidRDefault="00C06C0E" w:rsidP="00C06C0E">
      <w:pPr>
        <w:shd w:val="clear" w:color="auto" w:fill="FFFFFF"/>
        <w:spacing w:after="150"/>
        <w:rPr>
          <w:rFonts w:ascii="Times New Roman" w:hAnsi="Times New Roman" w:cs="Times New Roman"/>
          <w:vanish/>
          <w:color w:val="000000"/>
          <w:sz w:val="24"/>
          <w:szCs w:val="24"/>
        </w:rPr>
      </w:pPr>
      <w:bookmarkStart w:id="12" w:name="n188"/>
      <w:bookmarkEnd w:id="12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35"/>
        <w:gridCol w:w="3927"/>
        <w:gridCol w:w="1723"/>
      </w:tblGrid>
      <w:tr w:rsidR="00C06C0E" w:rsidRPr="0069669D" w:rsidTr="00BF6A63">
        <w:tc>
          <w:tcPr>
            <w:tcW w:w="3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Вид витрат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 додатково найманого персоналу (за рік)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за 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br/>
              <w:t>п’ять років</w:t>
            </w:r>
          </w:p>
        </w:tc>
      </w:tr>
      <w:tr w:rsidR="00C06C0E" w:rsidRPr="0069669D" w:rsidTr="00BF6A63">
        <w:tc>
          <w:tcPr>
            <w:tcW w:w="3735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Витрати, пов’язані із наймом додаткового персоналу</w:t>
            </w:r>
          </w:p>
        </w:tc>
        <w:tc>
          <w:tcPr>
            <w:tcW w:w="3927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690B9D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690B9D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3" w:name="n232"/>
      <w:bookmarkEnd w:id="13"/>
      <w:r w:rsidRPr="0069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{Методику доповнено додатком 2 згідно з Постановою КМ </w:t>
      </w:r>
      <w:hyperlink r:id="rId6" w:anchor="_blank" w:history="1">
        <w:r w:rsidRPr="0069669D">
          <w:rPr>
            <w:rStyle w:val="a5"/>
            <w:rFonts w:ascii="Times New Roman" w:hAnsi="Times New Roman" w:cs="Times New Roman"/>
            <w:i/>
            <w:iCs/>
            <w:color w:val="000099"/>
            <w:sz w:val="24"/>
            <w:szCs w:val="24"/>
          </w:rPr>
          <w:t>№ 1151 від 16.12.2015</w:t>
        </w:r>
      </w:hyperlink>
      <w:r w:rsidRPr="006966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5"/>
        <w:gridCol w:w="5013"/>
      </w:tblGrid>
      <w:tr w:rsidR="00C06C0E" w:rsidRPr="0069669D" w:rsidTr="00BF6A63">
        <w:tc>
          <w:tcPr>
            <w:tcW w:w="4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n231"/>
            <w:bookmarkStart w:id="15" w:name="n189"/>
            <w:bookmarkEnd w:id="14"/>
            <w:bookmarkEnd w:id="15"/>
          </w:p>
        </w:tc>
        <w:tc>
          <w:tcPr>
            <w:tcW w:w="5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Додаток 3 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br/>
              <w:t>до Методики проведення аналізу впливу 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br/>
              <w:t>регуляторного акта</w:t>
            </w:r>
          </w:p>
        </w:tc>
      </w:tr>
    </w:tbl>
    <w:p w:rsidR="00C06C0E" w:rsidRPr="0069669D" w:rsidRDefault="00C06C0E" w:rsidP="00C06C0E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n190"/>
      <w:bookmarkEnd w:id="16"/>
      <w:r w:rsidRPr="0069669D">
        <w:rPr>
          <w:rFonts w:ascii="Times New Roman" w:hAnsi="Times New Roman" w:cs="Times New Roman"/>
          <w:bCs/>
          <w:color w:val="000000"/>
          <w:sz w:val="24"/>
          <w:szCs w:val="24"/>
        </w:rPr>
        <w:t>БЮДЖЕТНІ ВИТРАТИ </w:t>
      </w:r>
      <w:r w:rsidRPr="00696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669D">
        <w:rPr>
          <w:rFonts w:ascii="Times New Roman" w:hAnsi="Times New Roman" w:cs="Times New Roman"/>
          <w:bCs/>
          <w:color w:val="000000"/>
          <w:sz w:val="24"/>
          <w:szCs w:val="24"/>
        </w:rPr>
        <w:t>на адміністрування регулювання для суб’єктів великого і середнього підприємництва</w:t>
      </w: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n191"/>
      <w:bookmarkEnd w:id="17"/>
      <w:r w:rsidRPr="0069669D">
        <w:rPr>
          <w:rFonts w:ascii="Times New Roman" w:hAnsi="Times New Roman" w:cs="Times New Roman"/>
          <w:color w:val="000000"/>
          <w:sz w:val="24"/>
          <w:szCs w:val="24"/>
        </w:rPr>
        <w:t>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C06C0E" w:rsidRPr="0069669D" w:rsidRDefault="00C06C0E" w:rsidP="00C06C0E">
      <w:pPr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n192"/>
      <w:bookmarkEnd w:id="18"/>
      <w:r w:rsidRPr="0069669D">
        <w:rPr>
          <w:rFonts w:ascii="Times New Roman" w:hAnsi="Times New Roman" w:cs="Times New Roman"/>
          <w:color w:val="000000"/>
          <w:sz w:val="24"/>
          <w:szCs w:val="24"/>
        </w:rPr>
        <w:t>Державний орган, для якого здійснюється розрахунок адміністрування регулювання:</w:t>
      </w:r>
    </w:p>
    <w:p w:rsidR="00C06C0E" w:rsidRPr="0069669D" w:rsidRDefault="00690B9D" w:rsidP="00C06C0E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n193"/>
      <w:bookmarkEnd w:id="19"/>
      <w:r w:rsidRPr="0069669D">
        <w:rPr>
          <w:rFonts w:ascii="Times New Roman" w:hAnsi="Times New Roman" w:cs="Times New Roman"/>
          <w:color w:val="000000"/>
          <w:sz w:val="24"/>
          <w:szCs w:val="24"/>
        </w:rPr>
        <w:t>Тернопільська міська рада</w:t>
      </w:r>
      <w:r w:rsidR="00C06C0E" w:rsidRPr="0069669D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1083"/>
        <w:gridCol w:w="1459"/>
        <w:gridCol w:w="1360"/>
        <w:gridCol w:w="1362"/>
        <w:gridCol w:w="1711"/>
      </w:tblGrid>
      <w:tr w:rsidR="00C06C0E" w:rsidRPr="0069669D" w:rsidTr="008C51ED"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n194"/>
            <w:bookmarkEnd w:id="20"/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Планові витрати часу на процедуру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часу співробітника органу державної влади відповідної категорії 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(заробітна плата)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Оцінка кількості процедур за рік, що припадають на одного суб’єкта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Витрати на адміністрування регулювання* (за рік), гривень</w:t>
            </w:r>
          </w:p>
        </w:tc>
      </w:tr>
      <w:tr w:rsidR="00C06C0E" w:rsidRPr="0069669D" w:rsidTr="008C51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Облік суб’єкта господарювання, що перебуває у сфері регулювання</w:t>
            </w:r>
          </w:p>
        </w:tc>
        <w:tc>
          <w:tcPr>
            <w:tcW w:w="1083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8C51ED" w:rsidP="00767D4C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</w:tcBorders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8C51ED">
        <w:tc>
          <w:tcPr>
            <w:tcW w:w="2410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1083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8C51ED">
        <w:tc>
          <w:tcPr>
            <w:tcW w:w="2410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камеральні</w:t>
            </w:r>
          </w:p>
        </w:tc>
        <w:tc>
          <w:tcPr>
            <w:tcW w:w="1083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C06C0E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1ED" w:rsidRPr="0069669D" w:rsidTr="008C51ED">
        <w:tc>
          <w:tcPr>
            <w:tcW w:w="2410" w:type="dxa"/>
            <w:shd w:val="clear" w:color="auto" w:fill="auto"/>
          </w:tcPr>
          <w:p w:rsidR="008C51ED" w:rsidRPr="0069669D" w:rsidRDefault="008C51ED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виїзні</w:t>
            </w:r>
          </w:p>
        </w:tc>
        <w:tc>
          <w:tcPr>
            <w:tcW w:w="1083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1ED" w:rsidRPr="0069669D" w:rsidTr="008C51ED">
        <w:tc>
          <w:tcPr>
            <w:tcW w:w="2410" w:type="dxa"/>
            <w:shd w:val="clear" w:color="auto" w:fill="auto"/>
          </w:tcPr>
          <w:p w:rsidR="008C51ED" w:rsidRPr="0069669D" w:rsidRDefault="008C51ED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083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1ED" w:rsidRPr="0069669D" w:rsidTr="008C51ED">
        <w:tc>
          <w:tcPr>
            <w:tcW w:w="2410" w:type="dxa"/>
            <w:shd w:val="clear" w:color="auto" w:fill="auto"/>
          </w:tcPr>
          <w:p w:rsidR="008C51ED" w:rsidRPr="0069669D" w:rsidRDefault="008C51ED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083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1ED" w:rsidRPr="0069669D" w:rsidTr="008C51ED">
        <w:tc>
          <w:tcPr>
            <w:tcW w:w="2410" w:type="dxa"/>
            <w:shd w:val="clear" w:color="auto" w:fill="auto"/>
          </w:tcPr>
          <w:p w:rsidR="008C51ED" w:rsidRPr="0069669D" w:rsidRDefault="008C51ED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083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1ED" w:rsidRPr="0069669D" w:rsidTr="008C51ED">
        <w:tc>
          <w:tcPr>
            <w:tcW w:w="2410" w:type="dxa"/>
            <w:shd w:val="clear" w:color="auto" w:fill="auto"/>
          </w:tcPr>
          <w:p w:rsidR="008C51ED" w:rsidRPr="0069669D" w:rsidRDefault="008C51ED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1083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8C51ED" w:rsidRPr="0069669D" w:rsidRDefault="008C51ED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C0E" w:rsidRPr="0069669D" w:rsidTr="008C51ED">
        <w:tc>
          <w:tcPr>
            <w:tcW w:w="2410" w:type="dxa"/>
            <w:shd w:val="clear" w:color="auto" w:fill="auto"/>
          </w:tcPr>
          <w:p w:rsidR="00735ECF" w:rsidRPr="0069669D" w:rsidRDefault="00C06C0E" w:rsidP="00735ECF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7. Інші адміністративні процедури (уточнити): </w:t>
            </w:r>
            <w:r w:rsidRPr="00696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5ECF"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- опрацювання отриманих розрахунків </w:t>
            </w:r>
            <w:r w:rsidR="00735ECF" w:rsidRPr="0069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перевізника</w:t>
            </w:r>
          </w:p>
          <w:p w:rsidR="00C06C0E" w:rsidRPr="0069669D" w:rsidRDefault="00735ECF" w:rsidP="00735ECF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-  деталізація та перевірка інформації </w:t>
            </w:r>
          </w:p>
          <w:p w:rsidR="00735ECF" w:rsidRPr="0069669D" w:rsidRDefault="00735ECF" w:rsidP="00735ECF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- проведення робочих зустрічей та переговорів</w:t>
            </w:r>
          </w:p>
          <w:p w:rsidR="00735ECF" w:rsidRPr="0069669D" w:rsidRDefault="00735ECF" w:rsidP="00735ECF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-підготовка остаточних розрахунків </w:t>
            </w:r>
          </w:p>
        </w:tc>
        <w:tc>
          <w:tcPr>
            <w:tcW w:w="1083" w:type="dxa"/>
            <w:shd w:val="clear" w:color="auto" w:fill="auto"/>
          </w:tcPr>
          <w:p w:rsidR="00C06C0E" w:rsidRPr="0069669D" w:rsidRDefault="007D782B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24год</w:t>
            </w:r>
          </w:p>
        </w:tc>
        <w:tc>
          <w:tcPr>
            <w:tcW w:w="1459" w:type="dxa"/>
            <w:shd w:val="clear" w:color="auto" w:fill="auto"/>
          </w:tcPr>
          <w:p w:rsidR="00C06C0E" w:rsidRPr="0069669D" w:rsidRDefault="007D782B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25,13</w:t>
            </w:r>
          </w:p>
        </w:tc>
        <w:tc>
          <w:tcPr>
            <w:tcW w:w="1360" w:type="dxa"/>
            <w:shd w:val="clear" w:color="auto" w:fill="auto"/>
          </w:tcPr>
          <w:p w:rsidR="00C06C0E" w:rsidRPr="0069669D" w:rsidRDefault="007D782B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62" w:type="dxa"/>
            <w:shd w:val="clear" w:color="auto" w:fill="auto"/>
          </w:tcPr>
          <w:p w:rsidR="00C06C0E" w:rsidRPr="0069669D" w:rsidRDefault="007D782B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C06C0E" w:rsidRPr="0069669D" w:rsidRDefault="007D782B" w:rsidP="00BF6A63">
            <w:pPr>
              <w:snapToGrid w:val="0"/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603,12</w:t>
            </w:r>
          </w:p>
        </w:tc>
      </w:tr>
      <w:tr w:rsidR="00C06C0E" w:rsidRPr="0069669D" w:rsidTr="008C51ED">
        <w:tc>
          <w:tcPr>
            <w:tcW w:w="2410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Разом за рік</w:t>
            </w:r>
          </w:p>
        </w:tc>
        <w:tc>
          <w:tcPr>
            <w:tcW w:w="1083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9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2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11" w:type="dxa"/>
            <w:shd w:val="clear" w:color="auto" w:fill="auto"/>
          </w:tcPr>
          <w:p w:rsidR="00C06C0E" w:rsidRPr="0069669D" w:rsidRDefault="009701D2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603,12</w:t>
            </w:r>
          </w:p>
        </w:tc>
      </w:tr>
      <w:tr w:rsidR="00C06C0E" w:rsidRPr="0069669D" w:rsidTr="008C51ED">
        <w:tc>
          <w:tcPr>
            <w:tcW w:w="2410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Сумарно за п’ять років</w:t>
            </w:r>
          </w:p>
        </w:tc>
        <w:tc>
          <w:tcPr>
            <w:tcW w:w="1083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9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2" w:type="dxa"/>
            <w:shd w:val="clear" w:color="auto" w:fill="auto"/>
          </w:tcPr>
          <w:p w:rsidR="00C06C0E" w:rsidRPr="0069669D" w:rsidRDefault="00C06C0E" w:rsidP="00BF6A63">
            <w:pPr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11" w:type="dxa"/>
            <w:shd w:val="clear" w:color="auto" w:fill="auto"/>
          </w:tcPr>
          <w:p w:rsidR="00C06C0E" w:rsidRPr="0069669D" w:rsidRDefault="009701D2" w:rsidP="00BF6A63">
            <w:pPr>
              <w:snapToGrid w:val="0"/>
              <w:spacing w:before="150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9D">
              <w:rPr>
                <w:rFonts w:ascii="Times New Roman" w:hAnsi="Times New Roman" w:cs="Times New Roman"/>
                <w:sz w:val="24"/>
                <w:szCs w:val="24"/>
              </w:rPr>
              <w:t>603,12</w:t>
            </w:r>
          </w:p>
        </w:tc>
      </w:tr>
    </w:tbl>
    <w:p w:rsidR="00C06C0E" w:rsidRPr="0069669D" w:rsidRDefault="00C06C0E" w:rsidP="00C06C0E">
      <w:pPr>
        <w:shd w:val="clear" w:color="auto" w:fill="FFFFFF"/>
        <w:spacing w:after="150"/>
        <w:jc w:val="both"/>
        <w:rPr>
          <w:color w:val="000000"/>
        </w:rPr>
      </w:pPr>
      <w:bookmarkStart w:id="21" w:name="n195"/>
      <w:bookmarkEnd w:id="21"/>
      <w:r w:rsidRPr="0069669D">
        <w:rPr>
          <w:rFonts w:ascii="Times New Roman" w:hAnsi="Times New Roman" w:cs="Times New Roman"/>
          <w:color w:val="000000"/>
          <w:sz w:val="24"/>
          <w:szCs w:val="24"/>
        </w:rPr>
        <w:t>__________ </w:t>
      </w:r>
      <w:r w:rsidRPr="0069669D">
        <w:rPr>
          <w:rFonts w:ascii="Times New Roman" w:hAnsi="Times New Roman" w:cs="Times New Roman"/>
          <w:color w:val="000000"/>
          <w:sz w:val="24"/>
          <w:szCs w:val="24"/>
        </w:rPr>
        <w:br/>
        <w:t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 та на кількість суб’єктів, що підпадають під дію процедури регулювання, та</w:t>
      </w:r>
      <w:r w:rsidRPr="0069669D">
        <w:rPr>
          <w:color w:val="000000"/>
          <w:sz w:val="20"/>
        </w:rPr>
        <w:t xml:space="preserve"> на кількість процедур за рік.</w:t>
      </w:r>
      <w:r w:rsidR="008172FC" w:rsidRPr="0069669D">
        <w:rPr>
          <w:color w:val="000000"/>
          <w:sz w:val="20"/>
        </w:rPr>
        <w:t xml:space="preserve"> </w:t>
      </w:r>
    </w:p>
    <w:sectPr w:rsidR="00C06C0E" w:rsidRPr="0069669D" w:rsidSect="00E67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E1E"/>
    <w:multiLevelType w:val="hybridMultilevel"/>
    <w:tmpl w:val="83ACB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6247"/>
    <w:multiLevelType w:val="hybridMultilevel"/>
    <w:tmpl w:val="AD146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31DA"/>
    <w:multiLevelType w:val="hybridMultilevel"/>
    <w:tmpl w:val="5DC6EF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B2884"/>
    <w:multiLevelType w:val="hybridMultilevel"/>
    <w:tmpl w:val="7958B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9643D"/>
    <w:multiLevelType w:val="hybridMultilevel"/>
    <w:tmpl w:val="F69C5CC6"/>
    <w:lvl w:ilvl="0" w:tplc="1E1C6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F2C13"/>
    <w:multiLevelType w:val="hybridMultilevel"/>
    <w:tmpl w:val="29D08CD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827451"/>
    <w:rsid w:val="0000134A"/>
    <w:rsid w:val="00013844"/>
    <w:rsid w:val="000217B4"/>
    <w:rsid w:val="00023302"/>
    <w:rsid w:val="00023CBA"/>
    <w:rsid w:val="00030FA9"/>
    <w:rsid w:val="00036AC5"/>
    <w:rsid w:val="00037B76"/>
    <w:rsid w:val="0004019C"/>
    <w:rsid w:val="000456D0"/>
    <w:rsid w:val="00066D61"/>
    <w:rsid w:val="00067AD2"/>
    <w:rsid w:val="000A24B1"/>
    <w:rsid w:val="000C2658"/>
    <w:rsid w:val="000D261E"/>
    <w:rsid w:val="000D27BD"/>
    <w:rsid w:val="000E254C"/>
    <w:rsid w:val="000F5739"/>
    <w:rsid w:val="000F6B97"/>
    <w:rsid w:val="001106AE"/>
    <w:rsid w:val="00127FB5"/>
    <w:rsid w:val="001437F7"/>
    <w:rsid w:val="001475C3"/>
    <w:rsid w:val="001648DC"/>
    <w:rsid w:val="0018243F"/>
    <w:rsid w:val="00192E71"/>
    <w:rsid w:val="001B0CB4"/>
    <w:rsid w:val="001D06D6"/>
    <w:rsid w:val="001E42A7"/>
    <w:rsid w:val="001F2BA5"/>
    <w:rsid w:val="002217D7"/>
    <w:rsid w:val="002276DA"/>
    <w:rsid w:val="00230593"/>
    <w:rsid w:val="0023213D"/>
    <w:rsid w:val="00245D5D"/>
    <w:rsid w:val="00293F09"/>
    <w:rsid w:val="002960C7"/>
    <w:rsid w:val="002B2CE1"/>
    <w:rsid w:val="002B5AEA"/>
    <w:rsid w:val="002B6955"/>
    <w:rsid w:val="002C72B9"/>
    <w:rsid w:val="00304FC8"/>
    <w:rsid w:val="00310089"/>
    <w:rsid w:val="003216E8"/>
    <w:rsid w:val="00323D3B"/>
    <w:rsid w:val="0032503F"/>
    <w:rsid w:val="00346D10"/>
    <w:rsid w:val="00371FC8"/>
    <w:rsid w:val="0037673A"/>
    <w:rsid w:val="00383963"/>
    <w:rsid w:val="00385474"/>
    <w:rsid w:val="003A0BA9"/>
    <w:rsid w:val="003B2A74"/>
    <w:rsid w:val="003C18ED"/>
    <w:rsid w:val="003C44E2"/>
    <w:rsid w:val="003D42B5"/>
    <w:rsid w:val="003E5E93"/>
    <w:rsid w:val="003E6BB8"/>
    <w:rsid w:val="00410467"/>
    <w:rsid w:val="004122DA"/>
    <w:rsid w:val="004149B9"/>
    <w:rsid w:val="004271D6"/>
    <w:rsid w:val="00431945"/>
    <w:rsid w:val="004335EF"/>
    <w:rsid w:val="00446B2A"/>
    <w:rsid w:val="0045000B"/>
    <w:rsid w:val="004515A6"/>
    <w:rsid w:val="00452C97"/>
    <w:rsid w:val="0046583C"/>
    <w:rsid w:val="00466084"/>
    <w:rsid w:val="004665D1"/>
    <w:rsid w:val="00492ED9"/>
    <w:rsid w:val="00496B93"/>
    <w:rsid w:val="00496CF0"/>
    <w:rsid w:val="004D0183"/>
    <w:rsid w:val="004D09D7"/>
    <w:rsid w:val="004E7EA9"/>
    <w:rsid w:val="004F2B99"/>
    <w:rsid w:val="00514894"/>
    <w:rsid w:val="00516AF0"/>
    <w:rsid w:val="005177D4"/>
    <w:rsid w:val="00525512"/>
    <w:rsid w:val="005321FD"/>
    <w:rsid w:val="005505D2"/>
    <w:rsid w:val="005518AB"/>
    <w:rsid w:val="00566987"/>
    <w:rsid w:val="005A10B9"/>
    <w:rsid w:val="005B1774"/>
    <w:rsid w:val="005B6940"/>
    <w:rsid w:val="005D0CED"/>
    <w:rsid w:val="005E6C56"/>
    <w:rsid w:val="005E72EC"/>
    <w:rsid w:val="00600E42"/>
    <w:rsid w:val="0061172A"/>
    <w:rsid w:val="00615CA0"/>
    <w:rsid w:val="006271AC"/>
    <w:rsid w:val="00657034"/>
    <w:rsid w:val="006644B1"/>
    <w:rsid w:val="00667BB3"/>
    <w:rsid w:val="00690B62"/>
    <w:rsid w:val="00690B9D"/>
    <w:rsid w:val="00691AAC"/>
    <w:rsid w:val="00693E47"/>
    <w:rsid w:val="0069669D"/>
    <w:rsid w:val="006A1C30"/>
    <w:rsid w:val="006A7BC6"/>
    <w:rsid w:val="006C079C"/>
    <w:rsid w:val="006D7B86"/>
    <w:rsid w:val="006E3C79"/>
    <w:rsid w:val="00707739"/>
    <w:rsid w:val="00724610"/>
    <w:rsid w:val="00732FC5"/>
    <w:rsid w:val="0073482D"/>
    <w:rsid w:val="00735ECF"/>
    <w:rsid w:val="00740BB0"/>
    <w:rsid w:val="0075233C"/>
    <w:rsid w:val="007528B2"/>
    <w:rsid w:val="00761E75"/>
    <w:rsid w:val="00767D4C"/>
    <w:rsid w:val="00781E55"/>
    <w:rsid w:val="00792DB9"/>
    <w:rsid w:val="007A41C3"/>
    <w:rsid w:val="007A6E77"/>
    <w:rsid w:val="007B09F0"/>
    <w:rsid w:val="007B0E76"/>
    <w:rsid w:val="007D782B"/>
    <w:rsid w:val="007E1DB3"/>
    <w:rsid w:val="007F73A3"/>
    <w:rsid w:val="008172FC"/>
    <w:rsid w:val="00827451"/>
    <w:rsid w:val="00835C37"/>
    <w:rsid w:val="00837E2D"/>
    <w:rsid w:val="00855E0F"/>
    <w:rsid w:val="00864DD7"/>
    <w:rsid w:val="00867AAA"/>
    <w:rsid w:val="00894D22"/>
    <w:rsid w:val="008B7FD5"/>
    <w:rsid w:val="008C51ED"/>
    <w:rsid w:val="008E1514"/>
    <w:rsid w:val="008E53F7"/>
    <w:rsid w:val="008E54D7"/>
    <w:rsid w:val="00910F4D"/>
    <w:rsid w:val="00916D01"/>
    <w:rsid w:val="009313D4"/>
    <w:rsid w:val="00935E5A"/>
    <w:rsid w:val="00937156"/>
    <w:rsid w:val="009444FA"/>
    <w:rsid w:val="009562B6"/>
    <w:rsid w:val="009701D2"/>
    <w:rsid w:val="00997B7F"/>
    <w:rsid w:val="009B76FC"/>
    <w:rsid w:val="009C3F62"/>
    <w:rsid w:val="009E18EC"/>
    <w:rsid w:val="009E2BDA"/>
    <w:rsid w:val="009F37CF"/>
    <w:rsid w:val="009F39D0"/>
    <w:rsid w:val="00A055D4"/>
    <w:rsid w:val="00A24765"/>
    <w:rsid w:val="00A351E7"/>
    <w:rsid w:val="00A541C5"/>
    <w:rsid w:val="00A61BD1"/>
    <w:rsid w:val="00A845A0"/>
    <w:rsid w:val="00A97531"/>
    <w:rsid w:val="00AA33FC"/>
    <w:rsid w:val="00AB1775"/>
    <w:rsid w:val="00AE31A6"/>
    <w:rsid w:val="00B17C7B"/>
    <w:rsid w:val="00B32549"/>
    <w:rsid w:val="00B355D7"/>
    <w:rsid w:val="00B35688"/>
    <w:rsid w:val="00B43821"/>
    <w:rsid w:val="00B51428"/>
    <w:rsid w:val="00B556A4"/>
    <w:rsid w:val="00B6786E"/>
    <w:rsid w:val="00B91C57"/>
    <w:rsid w:val="00B941A0"/>
    <w:rsid w:val="00BC1A04"/>
    <w:rsid w:val="00BE686E"/>
    <w:rsid w:val="00BF690A"/>
    <w:rsid w:val="00C06C0E"/>
    <w:rsid w:val="00C353E8"/>
    <w:rsid w:val="00C373B8"/>
    <w:rsid w:val="00C44C88"/>
    <w:rsid w:val="00C70B9D"/>
    <w:rsid w:val="00C74635"/>
    <w:rsid w:val="00C836AB"/>
    <w:rsid w:val="00CA4CB6"/>
    <w:rsid w:val="00CE5329"/>
    <w:rsid w:val="00D02897"/>
    <w:rsid w:val="00D06DE1"/>
    <w:rsid w:val="00D10225"/>
    <w:rsid w:val="00D43F35"/>
    <w:rsid w:val="00D44356"/>
    <w:rsid w:val="00D46624"/>
    <w:rsid w:val="00D510FB"/>
    <w:rsid w:val="00D95D00"/>
    <w:rsid w:val="00DA6999"/>
    <w:rsid w:val="00DB3976"/>
    <w:rsid w:val="00DB61E8"/>
    <w:rsid w:val="00E14967"/>
    <w:rsid w:val="00E221A7"/>
    <w:rsid w:val="00E26BF5"/>
    <w:rsid w:val="00E449A6"/>
    <w:rsid w:val="00E671A2"/>
    <w:rsid w:val="00E67319"/>
    <w:rsid w:val="00E72D24"/>
    <w:rsid w:val="00E80A9E"/>
    <w:rsid w:val="00E9590F"/>
    <w:rsid w:val="00EC05CE"/>
    <w:rsid w:val="00EC12BE"/>
    <w:rsid w:val="00EC6D0E"/>
    <w:rsid w:val="00EF4FC5"/>
    <w:rsid w:val="00F2477D"/>
    <w:rsid w:val="00F2542F"/>
    <w:rsid w:val="00F43DED"/>
    <w:rsid w:val="00F618EB"/>
    <w:rsid w:val="00F63F79"/>
    <w:rsid w:val="00F76BA9"/>
    <w:rsid w:val="00F84567"/>
    <w:rsid w:val="00F90313"/>
    <w:rsid w:val="00F92008"/>
    <w:rsid w:val="00F9538E"/>
    <w:rsid w:val="00FB62E0"/>
    <w:rsid w:val="00FC0CD7"/>
    <w:rsid w:val="00FC33BC"/>
    <w:rsid w:val="00FC5CE6"/>
    <w:rsid w:val="00F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66987"/>
    <w:rPr>
      <w:rFonts w:ascii="Calibri" w:eastAsia="Calibri" w:hAnsi="Calibri" w:cs="Calibri"/>
      <w:color w:val="00000A"/>
      <w:lang w:val="ru-RU" w:eastAsia="en-US"/>
    </w:rPr>
  </w:style>
  <w:style w:type="paragraph" w:customStyle="1" w:styleId="31">
    <w:name w:val="Заголовок 31"/>
    <w:basedOn w:val="a"/>
    <w:next w:val="a"/>
    <w:link w:val="3"/>
    <w:qFormat/>
    <w:rsid w:val="00AA33FC"/>
    <w:pPr>
      <w:keepNext/>
      <w:widowControl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Заголовок 3 Знак"/>
    <w:basedOn w:val="a0"/>
    <w:link w:val="31"/>
    <w:qFormat/>
    <w:rsid w:val="00AA3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AA33FC"/>
    <w:pPr>
      <w:spacing w:after="0" w:line="240" w:lineRule="auto"/>
    </w:pPr>
    <w:rPr>
      <w:rFonts w:eastAsiaTheme="minorHAnsi" w:cs="Times New Roman"/>
      <w:sz w:val="24"/>
      <w:lang w:val="ru-RU" w:eastAsia="en-US"/>
    </w:rPr>
  </w:style>
  <w:style w:type="character" w:styleId="a5">
    <w:name w:val="Hyperlink"/>
    <w:basedOn w:val="a0"/>
    <w:uiPriority w:val="99"/>
    <w:unhideWhenUsed/>
    <w:rsid w:val="00AA33FC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A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A7BC6"/>
    <w:pPr>
      <w:ind w:left="720"/>
      <w:contextualSpacing/>
    </w:pPr>
  </w:style>
  <w:style w:type="table" w:styleId="a8">
    <w:name w:val="Table Grid"/>
    <w:basedOn w:val="a1"/>
    <w:uiPriority w:val="59"/>
    <w:rsid w:val="00F6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27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71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66987"/>
    <w:rPr>
      <w:rFonts w:ascii="Calibri" w:eastAsia="Calibri" w:hAnsi="Calibri" w:cs="Calibri"/>
      <w:color w:val="00000A"/>
      <w:lang w:val="ru-RU" w:eastAsia="en-US"/>
    </w:rPr>
  </w:style>
  <w:style w:type="paragraph" w:customStyle="1" w:styleId="31">
    <w:name w:val="Заголовок 31"/>
    <w:basedOn w:val="a"/>
    <w:next w:val="a"/>
    <w:link w:val="3"/>
    <w:qFormat/>
    <w:rsid w:val="00AA33FC"/>
    <w:pPr>
      <w:keepNext/>
      <w:widowControl w:val="0"/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">
    <w:name w:val="Заголовок 3 Знак"/>
    <w:basedOn w:val="a0"/>
    <w:link w:val="31"/>
    <w:qFormat/>
    <w:rsid w:val="00AA3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AA33FC"/>
    <w:pPr>
      <w:spacing w:after="0" w:line="240" w:lineRule="auto"/>
    </w:pPr>
    <w:rPr>
      <w:rFonts w:eastAsiaTheme="minorHAnsi" w:cs="Times New Roman"/>
      <w:sz w:val="24"/>
      <w:lang w:val="ru-RU" w:eastAsia="en-US"/>
    </w:rPr>
  </w:style>
  <w:style w:type="character" w:styleId="a5">
    <w:name w:val="Hyperlink"/>
    <w:basedOn w:val="a0"/>
    <w:uiPriority w:val="99"/>
    <w:unhideWhenUsed/>
    <w:rsid w:val="00AA33FC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AB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A7BC6"/>
    <w:pPr>
      <w:ind w:left="720"/>
      <w:contextualSpacing/>
    </w:pPr>
  </w:style>
  <w:style w:type="table" w:styleId="a8">
    <w:name w:val="Table Grid"/>
    <w:basedOn w:val="a1"/>
    <w:uiPriority w:val="59"/>
    <w:rsid w:val="00F61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51-2015-&#1087;" TargetMode="External"/><Relationship Id="rId5" Type="http://schemas.openxmlformats.org/officeDocument/2006/relationships/hyperlink" Target="mailto:uprtrans_te@ukr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13</Pages>
  <Words>12517</Words>
  <Characters>7136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d12-Bunjak</dc:creator>
  <cp:lastModifiedBy>d12-Salyk</cp:lastModifiedBy>
  <cp:revision>43</cp:revision>
  <cp:lastPrinted>2019-02-20T06:59:00Z</cp:lastPrinted>
  <dcterms:created xsi:type="dcterms:W3CDTF">2019-07-30T12:54:00Z</dcterms:created>
  <dcterms:modified xsi:type="dcterms:W3CDTF">2019-08-05T14:31:00Z</dcterms:modified>
</cp:coreProperties>
</file>