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0D7A" w:rsidRDefault="009418D8">
      <w:pPr>
        <w:pStyle w:val="a6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Додаток</w:t>
      </w:r>
    </w:p>
    <w:p w:rsidR="00E70D7A" w:rsidRDefault="00E70D7A">
      <w:pPr>
        <w:pStyle w:val="a6"/>
        <w:tabs>
          <w:tab w:val="left" w:pos="1588"/>
        </w:tabs>
        <w:ind w:left="72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E70D7A" w:rsidRDefault="009418D8">
      <w:pPr>
        <w:pStyle w:val="a6"/>
        <w:tabs>
          <w:tab w:val="left" w:pos="1588"/>
        </w:tabs>
        <w:ind w:left="72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Програма</w:t>
      </w:r>
    </w:p>
    <w:p w:rsidR="00E70D7A" w:rsidRDefault="009418D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будівництва  сховищ та укриттів на території Тернопільської міської територіальної громади на</w:t>
      </w:r>
      <w:r>
        <w:rPr>
          <w:rFonts w:ascii="Times New Roman" w:hAnsi="Times New Roman"/>
          <w:b/>
          <w:bCs/>
          <w:sz w:val="24"/>
          <w:szCs w:val="24"/>
        </w:rPr>
        <w:t xml:space="preserve"> 2026 – 2028 роки</w:t>
      </w:r>
    </w:p>
    <w:p w:rsidR="00E70D7A" w:rsidRDefault="009418D8">
      <w:pPr>
        <w:pStyle w:val="a6"/>
        <w:tabs>
          <w:tab w:val="left" w:pos="1588"/>
        </w:tabs>
        <w:ind w:left="720"/>
        <w:jc w:val="center"/>
        <w:rPr>
          <w:rFonts w:ascii="Times New Roman" w:hAnsi="Times New Roman"/>
          <w:b/>
          <w:bCs/>
          <w:cap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aps/>
          <w:color w:val="FF0000"/>
          <w:sz w:val="24"/>
          <w:szCs w:val="24"/>
        </w:rPr>
        <w:tab/>
      </w:r>
    </w:p>
    <w:p w:rsidR="00E70D7A" w:rsidRDefault="009418D8">
      <w:pPr>
        <w:tabs>
          <w:tab w:val="left" w:pos="543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aps/>
          <w:sz w:val="24"/>
          <w:szCs w:val="24"/>
          <w:lang w:val="uk-UA"/>
        </w:rPr>
        <w:t>1. Паспорт Програми</w:t>
      </w:r>
    </w:p>
    <w:p w:rsidR="00E70D7A" w:rsidRDefault="00E70D7A">
      <w:pPr>
        <w:spacing w:after="0" w:line="240" w:lineRule="auto"/>
        <w:jc w:val="center"/>
        <w:rPr>
          <w:rFonts w:ascii="Times New Roman" w:hAnsi="Times New Roman"/>
          <w:i/>
          <w:iCs/>
          <w:color w:val="FF0000"/>
          <w:sz w:val="24"/>
          <w:szCs w:val="24"/>
        </w:rPr>
        <w:sectPr w:rsidR="00E70D7A">
          <w:headerReference w:type="even" r:id="rId8"/>
          <w:headerReference w:type="default" r:id="rId9"/>
          <w:type w:val="nextColumn"/>
          <w:pgSz w:w="11909" w:h="16834"/>
          <w:pgMar w:top="851" w:right="567" w:bottom="1985" w:left="1701" w:header="709" w:footer="709" w:gutter="0"/>
          <w:pgNumType w:start="5" w:chapSep="period"/>
          <w:cols w:space="60"/>
          <w:noEndnote/>
        </w:sectPr>
      </w:pPr>
    </w:p>
    <w:tbl>
      <w:tblPr>
        <w:tblStyle w:val="TableNormal"/>
        <w:tblW w:w="9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3180"/>
        <w:gridCol w:w="5940"/>
      </w:tblGrid>
      <w:tr w:rsidR="00E70D7A">
        <w:trPr>
          <w:trHeight w:val="673"/>
        </w:trPr>
        <w:tc>
          <w:tcPr>
            <w:tcW w:w="648" w:type="dxa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594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міський голова</w:t>
            </w:r>
          </w:p>
        </w:tc>
      </w:tr>
      <w:tr w:rsidR="00E70D7A">
        <w:trPr>
          <w:trHeight w:val="1197"/>
        </w:trPr>
        <w:tc>
          <w:tcPr>
            <w:tcW w:w="648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Дата, номер і назва   розпорядчого документа органу виконавчої влади про розроблення   програми</w:t>
            </w:r>
          </w:p>
        </w:tc>
        <w:tc>
          <w:tcPr>
            <w:tcW w:w="5940" w:type="dxa"/>
          </w:tcPr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пункт 13 протокольного доручення наради при міському голові від 28.07.2026 № 27 </w:t>
            </w: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70D7A">
        <w:trPr>
          <w:trHeight w:val="657"/>
        </w:trPr>
        <w:tc>
          <w:tcPr>
            <w:tcW w:w="648" w:type="dxa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Розробник програми</w:t>
            </w:r>
          </w:p>
        </w:tc>
        <w:tc>
          <w:tcPr>
            <w:tcW w:w="594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Управління надзвичайних ситуацій </w:t>
            </w: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D7A">
        <w:trPr>
          <w:trHeight w:val="657"/>
        </w:trPr>
        <w:tc>
          <w:tcPr>
            <w:tcW w:w="648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3180" w:type="dxa"/>
          </w:tcPr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Співрозробники програми</w:t>
            </w:r>
          </w:p>
        </w:tc>
        <w:tc>
          <w:tcPr>
            <w:tcW w:w="594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ідділ земельних ресурсів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ідділ державного архітектурно-будівельного контролю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E70D7A" w:rsidRDefault="009418D8">
            <w:pPr>
              <w:framePr w:wrap="around" w:vAnchor="text" w:hAnchor="text" w:y="1"/>
              <w:widowControl w:val="0"/>
              <w:spacing w:after="0" w:line="240" w:lineRule="auto"/>
              <w:ind w:left="-546" w:right="-108" w:firstLine="546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Управління містобудування, архітектури та  кадастру</w:t>
            </w:r>
          </w:p>
        </w:tc>
      </w:tr>
      <w:tr w:rsidR="00E70D7A">
        <w:trPr>
          <w:trHeight w:val="726"/>
        </w:trPr>
        <w:tc>
          <w:tcPr>
            <w:tcW w:w="648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Відповідальний виконавець програми</w:t>
            </w:r>
          </w:p>
        </w:tc>
        <w:tc>
          <w:tcPr>
            <w:tcW w:w="594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Управління надзвичайних ситуацій</w:t>
            </w: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0D7A">
        <w:trPr>
          <w:trHeight w:val="1211"/>
        </w:trPr>
        <w:tc>
          <w:tcPr>
            <w:tcW w:w="648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180" w:type="dxa"/>
          </w:tcPr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Учасники програми</w:t>
            </w:r>
          </w:p>
        </w:tc>
        <w:tc>
          <w:tcPr>
            <w:tcW w:w="5940" w:type="dxa"/>
          </w:tcPr>
          <w:p w:rsidR="00E70D7A" w:rsidRDefault="009418D8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Тернопільська міська рада, виконавчі органи Тернопільської міської ради, комунальні підприємства, установи, заклади, та організації всіх форм власності за згодою, які розташовані на території гром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ади</w:t>
            </w:r>
            <w:r>
              <w:rPr>
                <w:rFonts w:ascii="Times New Roman" w:hAnsi="Times New Roman"/>
                <w:spacing w:val="-4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інші суб’єкти господарювання</w:t>
            </w:r>
          </w:p>
        </w:tc>
      </w:tr>
      <w:tr w:rsidR="00E70D7A">
        <w:trPr>
          <w:trHeight w:val="628"/>
        </w:trPr>
        <w:tc>
          <w:tcPr>
            <w:tcW w:w="648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Термін реалізації          програми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(один етап)</w:t>
            </w:r>
          </w:p>
        </w:tc>
        <w:tc>
          <w:tcPr>
            <w:tcW w:w="5940" w:type="dxa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 роки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70D7A">
        <w:trPr>
          <w:trHeight w:val="1221"/>
        </w:trPr>
        <w:tc>
          <w:tcPr>
            <w:tcW w:w="648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Перелік бюджетів, які беруть участь у виконанні програми (для комплексних програм)</w:t>
            </w:r>
          </w:p>
        </w:tc>
        <w:tc>
          <w:tcPr>
            <w:tcW w:w="594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Тернопільської міської територіальної громади ( надалі бюджет громади) та інші </w:t>
            </w:r>
            <w:r>
              <w:rPr>
                <w:rFonts w:ascii="Times New Roman" w:hAnsi="Times New Roman"/>
                <w:sz w:val="24"/>
              </w:rPr>
              <w:t>кошти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заборонені законо</w:t>
            </w:r>
            <w:r>
              <w:rPr>
                <w:rFonts w:ascii="Times New Roman" w:hAnsi="Times New Roman"/>
                <w:sz w:val="24"/>
              </w:rPr>
              <w:t>давством</w:t>
            </w:r>
          </w:p>
        </w:tc>
      </w:tr>
      <w:tr w:rsidR="00E70D7A">
        <w:trPr>
          <w:trHeight w:val="1572"/>
        </w:trPr>
        <w:tc>
          <w:tcPr>
            <w:tcW w:w="648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Загальний обсяг           фінансових ресурсів, необхідних для реалізації програми, всього,(тис. гр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) у тому числі:</w:t>
            </w:r>
          </w:p>
        </w:tc>
        <w:tc>
          <w:tcPr>
            <w:tcW w:w="5940" w:type="dxa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868800,0</w:t>
            </w:r>
          </w:p>
        </w:tc>
      </w:tr>
      <w:tr w:rsidR="00E70D7A">
        <w:trPr>
          <w:trHeight w:val="495"/>
        </w:trPr>
        <w:tc>
          <w:tcPr>
            <w:tcW w:w="648" w:type="dxa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юджет громади </w:t>
            </w:r>
          </w:p>
        </w:tc>
        <w:tc>
          <w:tcPr>
            <w:tcW w:w="5940" w:type="dxa"/>
            <w:vAlign w:val="center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146880,0</w:t>
            </w:r>
          </w:p>
        </w:tc>
      </w:tr>
      <w:tr w:rsidR="00E70D7A">
        <w:trPr>
          <w:trHeight w:val="495"/>
        </w:trPr>
        <w:tc>
          <w:tcPr>
            <w:tcW w:w="648" w:type="dxa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9.2</w:t>
            </w:r>
          </w:p>
        </w:tc>
        <w:tc>
          <w:tcPr>
            <w:tcW w:w="3180" w:type="dxa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</w:t>
            </w:r>
            <w:r>
              <w:rPr>
                <w:rFonts w:ascii="Times New Roman" w:hAnsi="Times New Roman"/>
                <w:sz w:val="24"/>
              </w:rPr>
              <w:t xml:space="preserve"> кошти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заборонені законо</w:t>
            </w:r>
            <w:r>
              <w:rPr>
                <w:rFonts w:ascii="Times New Roman" w:hAnsi="Times New Roman"/>
                <w:sz w:val="24"/>
              </w:rPr>
              <w:t>давством</w:t>
            </w:r>
          </w:p>
        </w:tc>
        <w:tc>
          <w:tcPr>
            <w:tcW w:w="5940" w:type="dxa"/>
            <w:vAlign w:val="center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721920,0</w:t>
            </w:r>
          </w:p>
        </w:tc>
      </w:tr>
    </w:tbl>
    <w:p w:rsidR="00E70D7A" w:rsidRDefault="009418D8">
      <w:pPr>
        <w:pStyle w:val="a6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     </w:t>
      </w:r>
    </w:p>
    <w:p w:rsidR="00E70D7A" w:rsidRDefault="00E70D7A">
      <w:pPr>
        <w:pStyle w:val="a6"/>
        <w:rPr>
          <w:rFonts w:ascii="Times New Roman" w:hAnsi="Times New Roman"/>
          <w:b/>
          <w:bCs/>
          <w:sz w:val="24"/>
          <w:szCs w:val="24"/>
        </w:rPr>
      </w:pPr>
    </w:p>
    <w:p w:rsidR="00E70D7A" w:rsidRDefault="009418D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Визначення проблеми, на розв’язання якої спрямована Програма</w:t>
      </w:r>
    </w:p>
    <w:p w:rsidR="00E70D7A" w:rsidRDefault="009418D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Україна з лютого 2022 року перебуває в умовах збройної агресії Російської Федерації. </w:t>
      </w:r>
      <w:r>
        <w:rPr>
          <w:rFonts w:ascii="Times New Roman" w:hAnsi="Times New Roman"/>
          <w:sz w:val="24"/>
          <w:szCs w:val="24"/>
        </w:rPr>
        <w:t xml:space="preserve">Територія Тернопільської міської територіальної громади неодноразово піддавалася </w:t>
      </w:r>
      <w:r>
        <w:rPr>
          <w:rFonts w:ascii="Times New Roman" w:hAnsi="Times New Roman"/>
          <w:sz w:val="24"/>
          <w:szCs w:val="24"/>
        </w:rPr>
        <w:lastRenderedPageBreak/>
        <w:t>ракетно-дроновим атакам, що спричинило загибель людей, пошкодження цивільної інфраструктури і створило постійну загрозу для життя та здоров’я населення.</w:t>
      </w:r>
    </w:p>
    <w:p w:rsidR="00E70D7A" w:rsidRDefault="009418D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Захист мирного населен</w:t>
      </w:r>
      <w:r>
        <w:rPr>
          <w:rFonts w:ascii="Times New Roman" w:hAnsi="Times New Roman"/>
          <w:sz w:val="24"/>
          <w:szCs w:val="24"/>
        </w:rPr>
        <w:t>ня від наслідків озброєного конфлікту шляхом забезпечення захисними спорудами усього населення Тернопільської міської  територіальної громади є необхідною умовою збереження життя мешканців громади під час повітряних ракетно-дронових атак.</w:t>
      </w:r>
    </w:p>
    <w:p w:rsidR="00E70D7A" w:rsidRDefault="009418D8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Проблеми, на розв</w:t>
      </w:r>
      <w:r>
        <w:rPr>
          <w:rFonts w:ascii="Times New Roman" w:hAnsi="Times New Roman"/>
          <w:sz w:val="24"/>
          <w:szCs w:val="24"/>
        </w:rPr>
        <w:t>'язання яких спрямована Програма, включають:</w:t>
      </w:r>
    </w:p>
    <w:p w:rsidR="00E70D7A" w:rsidRDefault="009418D8">
      <w:pPr>
        <w:pStyle w:val="a6"/>
        <w:numPr>
          <w:ilvl w:val="0"/>
          <w:numId w:val="6"/>
        </w:numPr>
        <w:tabs>
          <w:tab w:val="clear" w:pos="72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дефіцит захисних споруд цивільного захисту — наявна кількість укриттів не забезпечує можливості одночасного укриття 100 відсотків населення Тернопільської міської територіальної громади під час повітряних тривог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70D7A" w:rsidRDefault="009418D8">
      <w:pPr>
        <w:pStyle w:val="a6"/>
        <w:numPr>
          <w:ilvl w:val="0"/>
          <w:numId w:val="6"/>
        </w:numPr>
        <w:tabs>
          <w:tab w:val="clear" w:pos="720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недостатній рівень захищеності населення від воєнних загроз — існує необхідність створення додаткових місць для укриття та забезпечення належних умов для захисту життя і здоров’я мешканців громади під час повітряних тривог та інших загроз, пов’язаних із</w:t>
      </w:r>
      <w:r>
        <w:rPr>
          <w:rFonts w:ascii="Times New Roman" w:hAnsi="Times New Roman"/>
          <w:sz w:val="24"/>
          <w:szCs w:val="24"/>
        </w:rPr>
        <w:t xml:space="preserve"> воєнними діями.</w:t>
      </w:r>
    </w:p>
    <w:p w:rsidR="00E70D7A" w:rsidRDefault="009418D8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 Мета Програми</w:t>
      </w:r>
    </w:p>
    <w:p w:rsidR="00E70D7A" w:rsidRDefault="00E70D7A">
      <w:pPr>
        <w:pStyle w:val="a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Метою Програми є  мінімізація ризиків для життя і здоров’я населення.</w:t>
      </w:r>
    </w:p>
    <w:p w:rsidR="00E70D7A" w:rsidRDefault="00E70D7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70D7A" w:rsidRDefault="009418D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spacing w:val="2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pacing w:val="2"/>
          <w:sz w:val="24"/>
          <w:szCs w:val="24"/>
          <w:lang w:val="uk-UA"/>
        </w:rPr>
        <w:t>4. Обґрунтування шляхів і засобів розв’язання проблеми, обсяги та джерела фінансування; ресурсне забезпечення Програми</w:t>
      </w:r>
    </w:p>
    <w:p w:rsidR="00E70D7A" w:rsidRDefault="00E70D7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b/>
          <w:bCs/>
          <w:spacing w:val="2"/>
          <w:sz w:val="24"/>
          <w:szCs w:val="24"/>
          <w:lang w:val="uk-UA"/>
        </w:rPr>
      </w:pPr>
    </w:p>
    <w:p w:rsidR="00E70D7A" w:rsidRDefault="009418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Оптимальним варіантом розв’язання проблеми захисту населення під час повітряних тривог є реалізація заходів у сфері цивільного захисту шляхом будівництва нових захисних споруд цивільного захисту для забезпечення укриттям 100 відсотків населення Тернопільсь</w:t>
      </w:r>
      <w:r>
        <w:rPr>
          <w:rFonts w:ascii="Times New Roman" w:hAnsi="Times New Roman"/>
          <w:sz w:val="24"/>
          <w:szCs w:val="24"/>
          <w:lang w:val="uk-UA"/>
        </w:rPr>
        <w:t xml:space="preserve">кої міської територіальної громади. </w:t>
      </w:r>
    </w:p>
    <w:p w:rsidR="00E70D7A" w:rsidRDefault="009418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Перелік місць, визначених для першочергового будівництва нових захисних споруд цивільного захисту за адресами:</w:t>
      </w:r>
    </w:p>
    <w:p w:rsidR="00E70D7A" w:rsidRDefault="009418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 вул. Юності (масив «Дружба») в м. Тернополі. Площа ділянки – 0, 20 га (місткість - 1000 осіб);</w:t>
      </w:r>
    </w:p>
    <w:p w:rsidR="00E70D7A" w:rsidRDefault="009418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 проспе</w:t>
      </w:r>
      <w:r>
        <w:rPr>
          <w:rFonts w:ascii="Times New Roman" w:hAnsi="Times New Roman"/>
          <w:sz w:val="24"/>
          <w:szCs w:val="24"/>
          <w:lang w:val="uk-UA"/>
        </w:rPr>
        <w:t>кт Степана Бандери, вул. Романа Шухевича (центральний стадіон) в м. Тернополі. Площа ділянки – 0, 70 га (місткість 4000 осіб);</w:t>
      </w:r>
    </w:p>
    <w:p w:rsidR="00E70D7A" w:rsidRDefault="009418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-   вул. Київська, на території обмеженій вул. Мирона Тарнавського, вул. Київська, вул. Миколи Липницького, вул. Володимира Вели</w:t>
      </w:r>
      <w:r>
        <w:rPr>
          <w:rFonts w:ascii="Times New Roman" w:hAnsi="Times New Roman"/>
          <w:sz w:val="24"/>
          <w:szCs w:val="24"/>
          <w:lang w:val="uk-UA"/>
        </w:rPr>
        <w:t>кого (мікрорайон №14).  Площа ділянки – 1,00 га (місткість -5000 осіб).</w:t>
      </w:r>
    </w:p>
    <w:p w:rsidR="00E70D7A" w:rsidRDefault="009418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Програма будівництва нових сховищ та укриттів на території Тернопільської міської територіальної громади передбачає залучення коштів забудовників та будівництво захисних споруд цивільн</w:t>
      </w:r>
      <w:r>
        <w:rPr>
          <w:rFonts w:ascii="Times New Roman" w:hAnsi="Times New Roman"/>
          <w:sz w:val="24"/>
          <w:szCs w:val="24"/>
          <w:lang w:val="uk-UA"/>
        </w:rPr>
        <w:t>ого захисту у складі нових житлових будинків, інших будівель і споруд, а також будівництво підземних паркінгів з можливістю їх використання як споруд подвійного призначення із захисними властивостями.</w:t>
      </w:r>
    </w:p>
    <w:p w:rsidR="00E70D7A" w:rsidRDefault="00E70D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70D7A" w:rsidRDefault="009418D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Ресурсне за</w:t>
      </w:r>
      <w:r>
        <w:rPr>
          <w:rFonts w:ascii="Times New Roman" w:hAnsi="Times New Roman"/>
          <w:sz w:val="24"/>
          <w:szCs w:val="24"/>
          <w:lang w:val="uk-UA"/>
        </w:rPr>
        <w:t xml:space="preserve">безпечення Програми </w:t>
      </w:r>
    </w:p>
    <w:p w:rsidR="00E70D7A" w:rsidRDefault="009418D8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FF0000"/>
          <w:sz w:val="24"/>
          <w:szCs w:val="24"/>
          <w:lang w:val="uk-UA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uk-UA"/>
        </w:rPr>
        <w:t>тис. грн</w:t>
      </w:r>
    </w:p>
    <w:tbl>
      <w:tblPr>
        <w:tblStyle w:val="TableNorma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3"/>
        <w:gridCol w:w="1699"/>
        <w:gridCol w:w="1799"/>
        <w:gridCol w:w="1770"/>
      </w:tblGrid>
      <w:tr w:rsidR="00E70D7A">
        <w:trPr>
          <w:trHeight w:val="338"/>
        </w:trPr>
        <w:tc>
          <w:tcPr>
            <w:tcW w:w="2265" w:type="pct"/>
            <w:vMerge w:val="restart"/>
            <w:vAlign w:val="center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бсяг ресурсів,  усього,</w:t>
            </w: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у тому числі: </w:t>
            </w:r>
          </w:p>
        </w:tc>
        <w:tc>
          <w:tcPr>
            <w:tcW w:w="2735" w:type="pct"/>
            <w:gridSpan w:val="3"/>
            <w:vAlign w:val="center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терміни виконання 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Програми</w:t>
            </w:r>
          </w:p>
        </w:tc>
      </w:tr>
      <w:tr w:rsidR="00E70D7A">
        <w:trPr>
          <w:trHeight w:val="70"/>
        </w:trPr>
        <w:tc>
          <w:tcPr>
            <w:tcW w:w="2265" w:type="pct"/>
            <w:vMerge/>
          </w:tcPr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 рік</w:t>
            </w:r>
          </w:p>
        </w:tc>
        <w:tc>
          <w:tcPr>
            <w:tcW w:w="934" w:type="pct"/>
            <w:vAlign w:val="center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рік</w:t>
            </w:r>
          </w:p>
        </w:tc>
        <w:tc>
          <w:tcPr>
            <w:tcW w:w="919" w:type="pct"/>
            <w:vAlign w:val="center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рік</w:t>
            </w:r>
          </w:p>
        </w:tc>
      </w:tr>
      <w:tr w:rsidR="00E70D7A">
        <w:trPr>
          <w:trHeight w:val="102"/>
        </w:trPr>
        <w:tc>
          <w:tcPr>
            <w:tcW w:w="2265" w:type="pct"/>
            <w:vMerge/>
          </w:tcPr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168800,0</w:t>
            </w:r>
          </w:p>
        </w:tc>
        <w:tc>
          <w:tcPr>
            <w:tcW w:w="934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300000,0</w:t>
            </w:r>
          </w:p>
        </w:tc>
        <w:tc>
          <w:tcPr>
            <w:tcW w:w="919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400000,0</w:t>
            </w:r>
          </w:p>
        </w:tc>
      </w:tr>
      <w:tr w:rsidR="00E70D7A">
        <w:trPr>
          <w:trHeight w:val="405"/>
        </w:trPr>
        <w:tc>
          <w:tcPr>
            <w:tcW w:w="2265" w:type="pct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громади </w:t>
            </w:r>
          </w:p>
        </w:tc>
        <w:tc>
          <w:tcPr>
            <w:tcW w:w="882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36880,0</w:t>
            </w:r>
          </w:p>
        </w:tc>
        <w:tc>
          <w:tcPr>
            <w:tcW w:w="934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50000,0</w:t>
            </w:r>
          </w:p>
        </w:tc>
        <w:tc>
          <w:tcPr>
            <w:tcW w:w="919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60000,0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70D7A">
        <w:tc>
          <w:tcPr>
            <w:tcW w:w="2265" w:type="pct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інші </w:t>
            </w:r>
            <w:r>
              <w:rPr>
                <w:rFonts w:ascii="Times New Roman" w:hAnsi="Times New Roman"/>
                <w:sz w:val="24"/>
              </w:rPr>
              <w:t>кошти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 заборонені </w:t>
            </w:r>
            <w:r>
              <w:rPr>
                <w:rFonts w:ascii="Times New Roman" w:hAnsi="Times New Roman"/>
                <w:sz w:val="24"/>
              </w:rPr>
              <w:t>законодавством</w:t>
            </w:r>
          </w:p>
        </w:tc>
        <w:tc>
          <w:tcPr>
            <w:tcW w:w="882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131920,0</w:t>
            </w:r>
          </w:p>
        </w:tc>
        <w:tc>
          <w:tcPr>
            <w:tcW w:w="934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250000,0</w:t>
            </w:r>
          </w:p>
        </w:tc>
        <w:tc>
          <w:tcPr>
            <w:tcW w:w="919" w:type="pct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340000,0</w:t>
            </w:r>
          </w:p>
        </w:tc>
      </w:tr>
    </w:tbl>
    <w:p w:rsidR="00E70D7A" w:rsidRDefault="009418D8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FF0000"/>
          <w:spacing w:val="7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pacing w:val="7"/>
          <w:sz w:val="24"/>
          <w:szCs w:val="24"/>
        </w:rPr>
        <w:lastRenderedPageBreak/>
        <w:t xml:space="preserve">            </w:t>
      </w:r>
    </w:p>
    <w:p w:rsidR="00E70D7A" w:rsidRDefault="00E70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7"/>
          <w:sz w:val="24"/>
          <w:szCs w:val="24"/>
        </w:rPr>
      </w:pPr>
    </w:p>
    <w:p w:rsidR="00E70D7A" w:rsidRDefault="009418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7"/>
          <w:sz w:val="24"/>
          <w:szCs w:val="24"/>
        </w:rPr>
      </w:pPr>
      <w:r>
        <w:rPr>
          <w:rFonts w:ascii="Times New Roman" w:hAnsi="Times New Roman"/>
          <w:b/>
          <w:bCs/>
          <w:spacing w:val="7"/>
          <w:sz w:val="24"/>
          <w:szCs w:val="24"/>
        </w:rPr>
        <w:t>5. Перелік завдань і заходів</w:t>
      </w:r>
      <w:r>
        <w:rPr>
          <w:rFonts w:ascii="Times New Roman" w:hAnsi="Times New Roman"/>
          <w:b/>
          <w:bCs/>
          <w:sz w:val="24"/>
          <w:szCs w:val="24"/>
        </w:rPr>
        <w:t xml:space="preserve"> Програми</w:t>
      </w:r>
      <w:r>
        <w:rPr>
          <w:rFonts w:ascii="Times New Roman" w:hAnsi="Times New Roman"/>
          <w:b/>
          <w:bCs/>
          <w:spacing w:val="7"/>
          <w:sz w:val="24"/>
          <w:szCs w:val="24"/>
        </w:rPr>
        <w:t xml:space="preserve"> та результативні показники</w:t>
      </w:r>
    </w:p>
    <w:p w:rsidR="00E70D7A" w:rsidRDefault="00E70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7"/>
          <w:sz w:val="24"/>
          <w:szCs w:val="24"/>
        </w:rPr>
      </w:pPr>
    </w:p>
    <w:p w:rsidR="00E70D7A" w:rsidRDefault="009418D8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 xml:space="preserve">Основними завданнями Програми є </w:t>
      </w:r>
      <w:r>
        <w:rPr>
          <w:rFonts w:ascii="Times New Roman" w:hAnsi="Times New Roman"/>
          <w:spacing w:val="7"/>
          <w:sz w:val="24"/>
          <w:szCs w:val="24"/>
        </w:rPr>
        <w:t>забезпечення належного рівня захисту населення Тернопільської міської територіальної громади шляхом будівництва нових захисних споруд цивільного захисту, облаштування та модернізації наявних об’єктів фонду захисних споруд, а також створення умов для їх нал</w:t>
      </w:r>
      <w:r>
        <w:rPr>
          <w:rFonts w:ascii="Times New Roman" w:hAnsi="Times New Roman"/>
          <w:spacing w:val="7"/>
          <w:sz w:val="24"/>
          <w:szCs w:val="24"/>
        </w:rPr>
        <w:t>ежного утримання та готовності до використання за призначенням.</w:t>
      </w:r>
    </w:p>
    <w:p w:rsidR="00E70D7A" w:rsidRDefault="00E70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7"/>
          <w:sz w:val="24"/>
          <w:szCs w:val="24"/>
        </w:rPr>
      </w:pPr>
    </w:p>
    <w:p w:rsidR="00E70D7A" w:rsidRDefault="009418D8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>Результативними показниками виконання Програми є:</w:t>
      </w:r>
    </w:p>
    <w:p w:rsidR="00E70D7A" w:rsidRDefault="009418D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>збільшення кількості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 фонду</w:t>
      </w:r>
      <w:r>
        <w:rPr>
          <w:rFonts w:ascii="Times New Roman" w:hAnsi="Times New Roman"/>
          <w:spacing w:val="7"/>
          <w:sz w:val="24"/>
          <w:szCs w:val="24"/>
        </w:rPr>
        <w:t xml:space="preserve"> захисних споруд цивільного захисту на території Тернопільської міської територіальної громади шляхом будівництва н</w:t>
      </w:r>
      <w:r>
        <w:rPr>
          <w:rFonts w:ascii="Times New Roman" w:hAnsi="Times New Roman"/>
          <w:spacing w:val="7"/>
          <w:sz w:val="24"/>
          <w:szCs w:val="24"/>
        </w:rPr>
        <w:t>е менше трьох об’єктів;</w:t>
      </w:r>
    </w:p>
    <w:p w:rsidR="00E70D7A" w:rsidRDefault="009418D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>збільшення загальної місткості</w:t>
      </w:r>
      <w:r>
        <w:rPr>
          <w:rFonts w:ascii="Times New Roman" w:hAnsi="Times New Roman"/>
          <w:spacing w:val="7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pacing w:val="7"/>
          <w:sz w:val="24"/>
          <w:szCs w:val="24"/>
        </w:rPr>
        <w:t>фонду захисних споруд за рахунок облаштування вільних приміщень;</w:t>
      </w:r>
    </w:p>
    <w:p w:rsidR="00E70D7A" w:rsidRDefault="009418D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>приведення наявного фонду захисних споруд у відповідність до встановлених вимог шляхом проведення необхідних ремонтних робіт, облаштуван</w:t>
      </w:r>
      <w:r>
        <w:rPr>
          <w:rFonts w:ascii="Times New Roman" w:hAnsi="Times New Roman"/>
          <w:spacing w:val="7"/>
          <w:sz w:val="24"/>
          <w:szCs w:val="24"/>
        </w:rPr>
        <w:t>ня та дооснащення;</w:t>
      </w:r>
    </w:p>
    <w:p w:rsidR="00E70D7A" w:rsidRDefault="009418D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>забезпечення доступності захисних споруд для маломобільних груп населення шляхом облаштування безбар’єрного доступу;</w:t>
      </w:r>
    </w:p>
    <w:p w:rsidR="00E70D7A" w:rsidRDefault="009418D8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spacing w:val="7"/>
          <w:sz w:val="24"/>
          <w:szCs w:val="24"/>
        </w:rPr>
      </w:pPr>
      <w:r>
        <w:rPr>
          <w:rFonts w:ascii="Times New Roman" w:hAnsi="Times New Roman"/>
          <w:spacing w:val="7"/>
          <w:sz w:val="24"/>
          <w:szCs w:val="24"/>
        </w:rPr>
        <w:t>залучення додаткових джерел фінансування для реалізації заходів Програми, зокрема коштів державного та обласного бюджеті</w:t>
      </w:r>
      <w:r>
        <w:rPr>
          <w:rFonts w:ascii="Times New Roman" w:hAnsi="Times New Roman"/>
          <w:spacing w:val="7"/>
          <w:sz w:val="24"/>
          <w:szCs w:val="24"/>
        </w:rPr>
        <w:t>в, грантів та інших джерел, не заборонених законодавством.</w:t>
      </w:r>
    </w:p>
    <w:p w:rsidR="00E70D7A" w:rsidRDefault="00E70D7A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7"/>
          <w:sz w:val="24"/>
          <w:szCs w:val="24"/>
        </w:rPr>
      </w:pPr>
    </w:p>
    <w:p w:rsidR="00E70D7A" w:rsidRDefault="00E70D7A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:rsidR="00E70D7A" w:rsidRDefault="009418D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  <w:sectPr w:rsidR="00E70D7A">
          <w:type w:val="continuous"/>
          <w:pgSz w:w="11909" w:h="16834"/>
          <w:pgMar w:top="851" w:right="567" w:bottom="1985" w:left="1701" w:header="709" w:footer="709" w:gutter="0"/>
          <w:pgNumType w:start="5" w:chapSep="period"/>
          <w:cols w:space="60"/>
          <w:noEndnote/>
        </w:sectPr>
      </w:pPr>
      <w:r>
        <w:rPr>
          <w:rFonts w:ascii="Times New Roman" w:hAnsi="Times New Roman"/>
          <w:color w:val="FF0000"/>
          <w:sz w:val="24"/>
          <w:szCs w:val="24"/>
          <w:lang w:val="uk-UA"/>
        </w:rPr>
        <w:t xml:space="preserve">  </w:t>
      </w:r>
    </w:p>
    <w:p w:rsidR="00E70D7A" w:rsidRDefault="009418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pacing w:val="-3"/>
          <w:sz w:val="24"/>
          <w:szCs w:val="24"/>
          <w:lang w:val="uk-UA"/>
        </w:rPr>
        <w:lastRenderedPageBreak/>
        <w:t xml:space="preserve">6.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Напрями діяльності та заходи Програми</w:t>
      </w:r>
    </w:p>
    <w:p w:rsidR="00E70D7A" w:rsidRDefault="00E70D7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Style w:val="TableNormal"/>
        <w:tblW w:w="15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793"/>
        <w:gridCol w:w="2237"/>
        <w:gridCol w:w="1309"/>
        <w:gridCol w:w="2037"/>
        <w:gridCol w:w="1898"/>
        <w:gridCol w:w="1142"/>
        <w:gridCol w:w="1140"/>
        <w:gridCol w:w="1140"/>
        <w:gridCol w:w="2105"/>
      </w:tblGrid>
      <w:tr w:rsidR="00E70D7A">
        <w:tc>
          <w:tcPr>
            <w:tcW w:w="530" w:type="dxa"/>
            <w:vMerge w:val="restart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794" w:type="dxa"/>
            <w:vMerge w:val="restart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237" w:type="dxa"/>
            <w:vMerge w:val="restart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Перелік заходів 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рограми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Строк виконання заходу</w:t>
            </w:r>
          </w:p>
        </w:tc>
        <w:tc>
          <w:tcPr>
            <w:tcW w:w="2037" w:type="dxa"/>
            <w:vMerge w:val="restart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Виконавці</w:t>
            </w:r>
          </w:p>
        </w:tc>
        <w:tc>
          <w:tcPr>
            <w:tcW w:w="1898" w:type="dxa"/>
            <w:vMerge w:val="restart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Джерела фінансу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вання</w:t>
            </w:r>
          </w:p>
        </w:tc>
        <w:tc>
          <w:tcPr>
            <w:tcW w:w="3422" w:type="dxa"/>
            <w:gridSpan w:val="3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Орієнтовані обсяги фінансування (вартість), 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тис. грн у тому числі: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Очікуваний 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E70D7A">
        <w:trPr>
          <w:trHeight w:val="889"/>
        </w:trPr>
        <w:tc>
          <w:tcPr>
            <w:tcW w:w="530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037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898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42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рік</w:t>
            </w:r>
          </w:p>
        </w:tc>
        <w:tc>
          <w:tcPr>
            <w:tcW w:w="1140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 рік</w:t>
            </w:r>
          </w:p>
        </w:tc>
        <w:tc>
          <w:tcPr>
            <w:tcW w:w="1140" w:type="dxa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 рік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E70D7A">
        <w:trPr>
          <w:trHeight w:val="264"/>
        </w:trPr>
        <w:tc>
          <w:tcPr>
            <w:tcW w:w="530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4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37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309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037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898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42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40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2105" w:type="dxa"/>
            <w:shd w:val="clear" w:color="auto" w:fill="auto"/>
          </w:tcPr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E70D7A">
        <w:trPr>
          <w:trHeight w:val="889"/>
        </w:trPr>
        <w:tc>
          <w:tcPr>
            <w:tcW w:w="530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E70D7A" w:rsidRDefault="009418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Прогнозування потреби та оптимізація фонду захисних споруд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цивільного захисту</w:t>
            </w:r>
          </w:p>
        </w:tc>
        <w:tc>
          <w:tcPr>
            <w:tcW w:w="2237" w:type="dxa"/>
            <w:shd w:val="clear" w:color="auto" w:fill="auto"/>
            <w:vAlign w:val="center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1.1.</w:t>
            </w:r>
            <w:r>
              <w:rPr>
                <w:rFonts w:ascii="Times New Roman" w:hAnsi="Times New Roman"/>
                <w:sz w:val="24"/>
                <w:szCs w:val="24"/>
              </w:rPr>
              <w:t>Визначення потреби у будівництві нових сховищ та протирадіаційних укриттів та споруд подвійного призначення з урахуванням чисельності населення, містобудівної ситуації та прогнозованих ризиків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2026-2028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управління </w:t>
            </w:r>
            <w:r>
              <w:rPr>
                <w:rFonts w:ascii="Times New Roman" w:hAnsi="Times New Roman"/>
              </w:rPr>
              <w:t>надзвичайних ситуацій</w:t>
            </w:r>
            <w:r>
              <w:rPr>
                <w:rFonts w:ascii="Times New Roman" w:hAnsi="Times New Roman"/>
                <w:lang w:val="uk-UA"/>
              </w:rPr>
              <w:t>,</w:t>
            </w:r>
            <w:r>
              <w:rPr>
                <w:rFonts w:ascii="Times New Roman" w:hAnsi="Times New Roman"/>
              </w:rPr>
              <w:t xml:space="preserve"> відділ земельних ресурсів</w:t>
            </w:r>
            <w:r>
              <w:rPr>
                <w:rFonts w:ascii="Times New Roman" w:hAnsi="Times New Roman"/>
                <w:lang w:val="uk-UA"/>
              </w:rPr>
              <w:t xml:space="preserve">, </w:t>
            </w:r>
            <w:r>
              <w:rPr>
                <w:rFonts w:ascii="Times New Roman" w:hAnsi="Times New Roman"/>
              </w:rPr>
              <w:t>відділ державного архітектурно-будівельного контролю</w:t>
            </w:r>
            <w:r>
              <w:rPr>
                <w:rFonts w:ascii="Times New Roman" w:hAnsi="Times New Roman"/>
                <w:lang w:val="uk-UA"/>
              </w:rPr>
              <w:t xml:space="preserve">, управління </w:t>
            </w:r>
          </w:p>
          <w:p w:rsidR="00E70D7A" w:rsidRDefault="009418D8">
            <w:pPr>
              <w:widowControl w:val="0"/>
              <w:spacing w:after="0" w:line="240" w:lineRule="auto"/>
              <w:ind w:left="-546" w:right="-108" w:firstLine="546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містобудування,</w:t>
            </w:r>
          </w:p>
          <w:p w:rsidR="00E70D7A" w:rsidRDefault="009418D8">
            <w:pPr>
              <w:widowControl w:val="0"/>
              <w:spacing w:after="0" w:line="240" w:lineRule="auto"/>
              <w:ind w:left="-546" w:right="-108" w:firstLine="546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архітектури та </w:t>
            </w:r>
          </w:p>
          <w:p w:rsidR="00E70D7A" w:rsidRDefault="009418D8">
            <w:pPr>
              <w:widowControl w:val="0"/>
              <w:spacing w:after="0" w:line="240" w:lineRule="auto"/>
              <w:ind w:left="-546" w:right="-108" w:firstLine="546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кадастру,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не потребує фінансування</w:t>
            </w:r>
          </w:p>
        </w:tc>
        <w:tc>
          <w:tcPr>
            <w:tcW w:w="1142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0,0</w:t>
            </w:r>
          </w:p>
        </w:tc>
        <w:tc>
          <w:tcPr>
            <w:tcW w:w="2105" w:type="dxa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Визначено потребу у будівництві нових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сховищ та протирадіаційних укриттів, їх необхідну кількість і місткість.</w:t>
            </w:r>
          </w:p>
        </w:tc>
      </w:tr>
      <w:tr w:rsidR="00E70D7A">
        <w:trPr>
          <w:trHeight w:val="889"/>
        </w:trPr>
        <w:tc>
          <w:tcPr>
            <w:tcW w:w="530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Збільшення фонду захисних споруд цивільного захисту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 території Тернопільської міської територіальної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громади</w:t>
            </w:r>
          </w:p>
        </w:tc>
        <w:tc>
          <w:tcPr>
            <w:tcW w:w="2237" w:type="dxa"/>
            <w:tcBorders>
              <w:bottom w:val="single" w:sz="4" w:space="0" w:color="auto"/>
            </w:tcBorders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2.1. Будівництво нових сховищ та укриттів на території Тернопільської міської територіальної громади, з врахуванням вимог чинних державних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будівельних норм, в тому числі: розроблення/ коригування проєктно-кошторисної документації та проведення її експертиз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и; за необхідності надання земельних ділянок у встановленому порядку комунальним підприємствам Тернопільської міської ради;  обов'язкове будівництво захисних споруд цивільного захисту (укриттів) для всіх нових об'єктів житлової та інфраструктурної забудови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309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2026-2028</w:t>
            </w:r>
          </w:p>
        </w:tc>
        <w:tc>
          <w:tcPr>
            <w:tcW w:w="2037" w:type="dxa"/>
            <w:shd w:val="clear" w:color="auto" w:fill="auto"/>
          </w:tcPr>
          <w:p w:rsidR="00E70D7A" w:rsidRDefault="009418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Тернопільська міська рада, виконавчі органи Тернопільської міської ради, комунальні підприємства, установи, заклади, та організації всіх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форм власності за згодою, які розташовані на території громади,  інші суб’єкти господарювання</w:t>
            </w:r>
          </w:p>
        </w:tc>
        <w:tc>
          <w:tcPr>
            <w:tcW w:w="1898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/>
                <w:sz w:val="24"/>
                <w:szCs w:val="24"/>
              </w:rPr>
              <w:t>громади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інші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кошти </w:t>
            </w:r>
            <w:r>
              <w:rPr>
                <w:rFonts w:ascii="Times New Roman" w:hAnsi="Times New Roman"/>
                <w:sz w:val="24"/>
                <w:szCs w:val="24"/>
              </w:rPr>
              <w:t>не заборонені законо</w:t>
            </w:r>
            <w:r>
              <w:rPr>
                <w:rFonts w:ascii="Times New Roman" w:hAnsi="Times New Roman"/>
                <w:sz w:val="24"/>
              </w:rPr>
              <w:t>да</w:t>
            </w: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</w:rPr>
              <w:t>вством</w:t>
            </w:r>
          </w:p>
        </w:tc>
        <w:tc>
          <w:tcPr>
            <w:tcW w:w="1142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6 880,0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61 920,0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20 000,0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180000,0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30 000,0</w:t>
            </w: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270000,0</w:t>
            </w:r>
          </w:p>
        </w:tc>
        <w:tc>
          <w:tcPr>
            <w:tcW w:w="2105" w:type="dxa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Будівництво не менше трьох нових захисних споруд цивільного захисту.</w:t>
            </w:r>
          </w:p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Перелік місць, визначених для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першочергового будівництва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нових захисних споруд цивільного захисту за адресами:</w:t>
            </w:r>
          </w:p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  вул. Юності (масив «Дружба») в м. Тернополі. Площа ділянки – 0, 20 га (місткість - 1000 осіб);</w:t>
            </w:r>
          </w:p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 проспект Степана Бандери, вул. Романа Шухевича (центральний стадіон) в м.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Тернополі. Площа ділянки – 0, 70 га (місткість 4000 осіб);</w:t>
            </w:r>
          </w:p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  вул. Київська, на території обмеженій вул. Мирона Тарнавського, вул. Київська, вул. Миколи Липницького, вул. Володимира Великого (мікрорайон №14).  Площа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ділянки – 1,00 га (місткість -5000 ос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іб).</w:t>
            </w:r>
          </w:p>
        </w:tc>
      </w:tr>
      <w:tr w:rsidR="00E70D7A">
        <w:trPr>
          <w:trHeight w:val="1823"/>
        </w:trPr>
        <w:tc>
          <w:tcPr>
            <w:tcW w:w="530" w:type="dxa"/>
            <w:vMerge w:val="restart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vMerge w:val="restart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 Надання фінансової підтримки на умовах співфінансування для облаштування укриттів в житлових будинках ОСББ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управителями багатоквартирних житлових будинків 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іншим.</w:t>
            </w:r>
          </w:p>
        </w:tc>
        <w:tc>
          <w:tcPr>
            <w:tcW w:w="1309" w:type="dxa"/>
            <w:vMerge w:val="restart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2037" w:type="dxa"/>
            <w:vMerge w:val="restart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Тернопільська міська рада, виконавчі органи Тернопільської міської ради, комунальні підприємства, установи, заклади, та організації всіх форм власності за згодою, які розташовані на території громади,  інші суб’єкти господарювання</w:t>
            </w:r>
          </w:p>
        </w:tc>
        <w:tc>
          <w:tcPr>
            <w:tcW w:w="1898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Бюджет громади </w:t>
            </w:r>
          </w:p>
        </w:tc>
        <w:tc>
          <w:tcPr>
            <w:tcW w:w="1142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30 0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30 000,0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30 000,0</w:t>
            </w:r>
          </w:p>
        </w:tc>
        <w:tc>
          <w:tcPr>
            <w:tcW w:w="2105" w:type="dxa"/>
            <w:vMerge w:val="restart"/>
            <w:shd w:val="clear" w:color="auto" w:fill="auto"/>
          </w:tcPr>
          <w:p w:rsidR="00E70D7A" w:rsidRDefault="009418D8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Збільшення кількості облаштованих укриттів  в житлових будинках та додаткове забезпечення населення місцями </w:t>
            </w:r>
          </w:p>
          <w:p w:rsidR="00E70D7A" w:rsidRDefault="009418D8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укриття за </w:t>
            </w:r>
          </w:p>
          <w:p w:rsidR="00E70D7A" w:rsidRDefault="009418D8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рахунок співфінансування.</w:t>
            </w:r>
          </w:p>
        </w:tc>
      </w:tr>
      <w:tr w:rsidR="00E70D7A">
        <w:trPr>
          <w:trHeight w:val="1823"/>
        </w:trPr>
        <w:tc>
          <w:tcPr>
            <w:tcW w:w="530" w:type="dxa"/>
            <w:vMerge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94" w:type="dxa"/>
            <w:vMerge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vMerge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7" w:type="dxa"/>
            <w:vMerge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1898" w:type="dxa"/>
            <w:shd w:val="clear" w:color="auto" w:fill="auto"/>
          </w:tcPr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інш</w:t>
            </w:r>
            <w:r>
              <w:rPr>
                <w:rFonts w:ascii="Times New Roman" w:hAnsi="Times New Roman"/>
                <w:sz w:val="24"/>
              </w:rPr>
              <w:t>і</w:t>
            </w: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кошти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не заборонені законо</w:t>
            </w:r>
            <w:r>
              <w:rPr>
                <w:rFonts w:ascii="Times New Roman" w:hAnsi="Times New Roman"/>
                <w:sz w:val="24"/>
              </w:rPr>
              <w:t>но</w:t>
            </w: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давством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42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70 000,0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70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000,0</w:t>
            </w:r>
          </w:p>
        </w:tc>
        <w:tc>
          <w:tcPr>
            <w:tcW w:w="1140" w:type="dxa"/>
            <w:shd w:val="clear" w:color="auto" w:fill="auto"/>
          </w:tcPr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E70D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E70D7A" w:rsidRDefault="009418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70 000,0</w:t>
            </w:r>
          </w:p>
        </w:tc>
        <w:tc>
          <w:tcPr>
            <w:tcW w:w="2105" w:type="dxa"/>
            <w:vMerge/>
            <w:shd w:val="clear" w:color="auto" w:fill="auto"/>
          </w:tcPr>
          <w:p w:rsidR="00E70D7A" w:rsidRDefault="00E70D7A">
            <w:pPr>
              <w:spacing w:after="0" w:line="240" w:lineRule="auto"/>
              <w:ind w:left="33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E70D7A" w:rsidRDefault="00E70D7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70D7A" w:rsidRDefault="00E70D7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E70D7A" w:rsidRDefault="009418D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 </w:t>
      </w:r>
    </w:p>
    <w:p w:rsidR="00E70D7A" w:rsidRDefault="00E70D7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  <w:sectPr w:rsidR="00E70D7A">
          <w:headerReference w:type="default" r:id="rId10"/>
          <w:pgSz w:w="16834" w:h="11909" w:orient="landscape"/>
          <w:pgMar w:top="567" w:right="567" w:bottom="1701" w:left="1134" w:header="709" w:footer="709" w:gutter="0"/>
          <w:pgNumType w:start="8" w:chapSep="period"/>
          <w:cols w:space="60"/>
          <w:noEndnote/>
          <w:titlePg/>
        </w:sectPr>
      </w:pPr>
    </w:p>
    <w:p w:rsidR="00E70D7A" w:rsidRDefault="00E70D7A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:rsidR="00E70D7A" w:rsidRDefault="009418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Координація та контроль за ходом виконання Програми</w:t>
      </w:r>
    </w:p>
    <w:p w:rsidR="00E70D7A" w:rsidRDefault="00E70D7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Відповідальним виконавцем заходів Програми є: </w:t>
      </w:r>
      <w:r>
        <w:rPr>
          <w:rFonts w:ascii="Times New Roman" w:hAnsi="Times New Roman"/>
          <w:sz w:val="24"/>
          <w:szCs w:val="24"/>
        </w:rPr>
        <w:t>управління надзвичайних ситуацій</w:t>
      </w: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>Тернопільської міської ради</w:t>
      </w:r>
      <w:r>
        <w:rPr>
          <w:rFonts w:ascii="Times New Roman" w:hAnsi="Times New Roman"/>
          <w:sz w:val="24"/>
          <w:szCs w:val="24"/>
          <w:lang w:val="uk-UA"/>
        </w:rPr>
        <w:t>. Співвиконавцями Програми є виконавчі органи  (структурні підрозділи) Тернопільської міської ради, комунальні підприємства, установи та організації, які залучаються до виконання окремих заходів відповідно до їх повноважень.</w:t>
      </w: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Безпосередній контроль за викон</w:t>
      </w:r>
      <w:r>
        <w:rPr>
          <w:rFonts w:ascii="Times New Roman" w:hAnsi="Times New Roman"/>
          <w:sz w:val="24"/>
          <w:szCs w:val="24"/>
          <w:lang w:val="uk-UA"/>
        </w:rPr>
        <w:t xml:space="preserve">анням заходів і завдань Програми здійснює відповідальний виконавець, а за цільовим та ефективним використанням коштів – відділ обліку та фінансового забезпечення Тернопільської міської ради . </w:t>
      </w: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Відповідальний виконавець  в частині виконання  заходів Програм</w:t>
      </w:r>
      <w:r>
        <w:rPr>
          <w:rFonts w:ascii="Times New Roman" w:hAnsi="Times New Roman"/>
          <w:sz w:val="24"/>
          <w:szCs w:val="24"/>
          <w:lang w:val="uk-UA"/>
        </w:rPr>
        <w:t>и здійснює :</w:t>
      </w:r>
    </w:p>
    <w:p w:rsidR="00E70D7A" w:rsidRDefault="009418D8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координацію виконання заходів Програми;</w:t>
      </w:r>
    </w:p>
    <w:p w:rsidR="00E70D7A" w:rsidRDefault="009418D8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координацію діяльності співвиконавців;</w:t>
      </w:r>
    </w:p>
    <w:p w:rsidR="00E70D7A" w:rsidRDefault="009418D8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організацію моніторингу реалізації заходів Програми;</w:t>
      </w:r>
    </w:p>
    <w:p w:rsidR="00E70D7A" w:rsidRDefault="009418D8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аналіз виконання заходів Програми;</w:t>
      </w:r>
    </w:p>
    <w:p w:rsidR="00E70D7A" w:rsidRDefault="009418D8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підготовку (у разі необхідності) пропозицій щодо внесення змін і доповнень д</w:t>
      </w:r>
      <w:r>
        <w:rPr>
          <w:rFonts w:ascii="Times New Roman" w:hAnsi="Times New Roman"/>
          <w:sz w:val="24"/>
          <w:szCs w:val="24"/>
          <w:lang w:val="uk-UA"/>
        </w:rPr>
        <w:t>о Програми з відповідним обґрунтуванням.</w:t>
      </w: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За результатами аналізу виконання програмних заходів з урахуванням загальної соціально-економічної ситуації в громаді та змін зовнішніх умов, що можуть мати місце в ході реалізації Програми, допускається кори</w:t>
      </w:r>
      <w:r>
        <w:rPr>
          <w:rFonts w:ascii="Times New Roman" w:hAnsi="Times New Roman"/>
          <w:sz w:val="24"/>
          <w:szCs w:val="24"/>
          <w:lang w:val="uk-UA"/>
        </w:rPr>
        <w:t>гування заходів або уточнення показників.</w:t>
      </w:r>
    </w:p>
    <w:p w:rsidR="00E70D7A" w:rsidRDefault="009418D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Виконання Програми припиняється після закінчення встановленого строку, після чого відповідальний виконавець Програми складає заключний звіт про результати її виконання та подає його на розгляд сесії міської ради ра</w:t>
      </w:r>
      <w:r>
        <w:rPr>
          <w:rFonts w:ascii="Times New Roman" w:hAnsi="Times New Roman"/>
          <w:sz w:val="24"/>
          <w:szCs w:val="24"/>
          <w:lang w:val="uk-UA"/>
        </w:rPr>
        <w:t>зом із пояснювальною запискою щодо досягнутих цілей і кінцевих результатів виконання Програми не пізніше ніж у двомісячний строк після закінчення встановленого строку її виконання.</w:t>
      </w:r>
    </w:p>
    <w:p w:rsidR="00E70D7A" w:rsidRDefault="009418D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Інформація про хід виконання Програми та ефективність реалізації її заходів</w:t>
      </w:r>
      <w:r>
        <w:rPr>
          <w:rFonts w:ascii="Times New Roman" w:hAnsi="Times New Roman"/>
          <w:sz w:val="24"/>
          <w:szCs w:val="24"/>
          <w:lang w:val="uk-UA"/>
        </w:rPr>
        <w:t xml:space="preserve"> подається відповідальним виконавцем на розгляд міської ради після завершення строку її дії.</w:t>
      </w:r>
    </w:p>
    <w:p w:rsidR="00E70D7A" w:rsidRDefault="00E70D7A">
      <w:pPr>
        <w:widowControl w:val="0"/>
        <w:spacing w:after="0" w:line="240" w:lineRule="auto"/>
        <w:ind w:left="440" w:firstLine="720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E70D7A" w:rsidRDefault="00E70D7A">
      <w:pPr>
        <w:widowControl w:val="0"/>
        <w:spacing w:after="0" w:line="240" w:lineRule="auto"/>
        <w:ind w:left="440" w:firstLine="720"/>
        <w:jc w:val="both"/>
        <w:rPr>
          <w:rFonts w:ascii="Times New Roman" w:hAnsi="Times New Roman"/>
          <w:sz w:val="24"/>
          <w:szCs w:val="24"/>
          <w:highlight w:val="yellow"/>
          <w:lang w:val="uk-UA"/>
        </w:rPr>
      </w:pPr>
    </w:p>
    <w:p w:rsidR="00E70D7A" w:rsidRDefault="009418D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Міський голова                                                         Сергій НАДАЛ</w:t>
      </w:r>
    </w:p>
    <w:sectPr w:rsidR="00E70D7A">
      <w:headerReference w:type="default" r:id="rId11"/>
      <w:pgSz w:w="11909" w:h="16834"/>
      <w:pgMar w:top="851" w:right="567" w:bottom="1985" w:left="1701" w:header="709" w:footer="709" w:gutter="0"/>
      <w:pgNumType w:start="5" w:chapSep="period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418D8" w:rsidRDefault="009418D8"/>
  </w:endnote>
  <w:endnote w:type="continuationSeparator" w:id="0">
    <w:p w:rsidR="009418D8" w:rsidRDefault="009418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418D8" w:rsidRDefault="009418D8"/>
  </w:footnote>
  <w:footnote w:type="continuationSeparator" w:id="0">
    <w:p w:rsidR="009418D8" w:rsidRDefault="009418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0D7A" w:rsidRDefault="009418D8">
    <w:pPr>
      <w:pStyle w:val="a8"/>
      <w:framePr w:wrap="auto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</w:rPr>
      <w:t>#</w:t>
    </w:r>
    <w:r>
      <w:rPr>
        <w:rStyle w:val="af7"/>
      </w:rPr>
      <w:fldChar w:fldCharType="end"/>
    </w:r>
  </w:p>
  <w:p w:rsidR="00E70D7A" w:rsidRDefault="00E70D7A">
    <w:pPr>
      <w:pStyle w:val="a8"/>
      <w:ind w:right="360"/>
      <w:rPr>
        <w:rStyle w:val="af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0D7A" w:rsidRDefault="00E70D7A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0D7A" w:rsidRDefault="00E70D7A">
    <w:pPr>
      <w:pStyle w:val="a8"/>
      <w:framePr w:wrap="around" w:vAnchor="text" w:hAnchor="margin" w:xAlign="center" w:y="1"/>
      <w:rPr>
        <w:rStyle w:val="af7"/>
      </w:rPr>
    </w:pPr>
  </w:p>
  <w:p w:rsidR="00E70D7A" w:rsidRDefault="00E70D7A">
    <w:pPr>
      <w:pStyle w:val="a8"/>
      <w:ind w:right="360"/>
      <w:rPr>
        <w:rStyle w:val="af7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70D7A" w:rsidRDefault="00E70D7A">
    <w:pPr>
      <w:pStyle w:val="a8"/>
      <w:framePr w:wrap="around" w:vAnchor="text" w:hAnchor="margin" w:xAlign="center" w:y="1"/>
      <w:rPr>
        <w:rStyle w:val="af7"/>
      </w:rPr>
    </w:pPr>
  </w:p>
  <w:p w:rsidR="00E70D7A" w:rsidRDefault="00E70D7A">
    <w:pPr>
      <w:pStyle w:val="a8"/>
      <w:ind w:right="360"/>
      <w:rPr>
        <w:rStyle w:val="af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F4CC1"/>
    <w:multiLevelType w:val="hybridMultilevel"/>
    <w:tmpl w:val="BB320396"/>
    <w:lvl w:ilvl="0" w:tplc="589DB18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 w:tplc="0910E0E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szCs w:val="20"/>
      </w:rPr>
    </w:lvl>
    <w:lvl w:ilvl="2" w:tplc="2B95C2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  <w:szCs w:val="20"/>
      </w:rPr>
    </w:lvl>
    <w:lvl w:ilvl="3" w:tplc="27D000D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  <w:szCs w:val="20"/>
      </w:rPr>
    </w:lvl>
    <w:lvl w:ilvl="4" w:tplc="483A3C6D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  <w:szCs w:val="20"/>
      </w:rPr>
    </w:lvl>
    <w:lvl w:ilvl="5" w:tplc="57CE7FB7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  <w:szCs w:val="20"/>
      </w:rPr>
    </w:lvl>
    <w:lvl w:ilvl="6" w:tplc="346D966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  <w:szCs w:val="20"/>
      </w:rPr>
    </w:lvl>
    <w:lvl w:ilvl="7" w:tplc="5A3AAFB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  <w:szCs w:val="20"/>
      </w:rPr>
    </w:lvl>
    <w:lvl w:ilvl="8" w:tplc="53511153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  <w:szCs w:val="20"/>
      </w:rPr>
    </w:lvl>
  </w:abstractNum>
  <w:abstractNum w:abstractNumId="1" w15:restartNumberingAfterBreak="0">
    <w:nsid w:val="151915C0"/>
    <w:multiLevelType w:val="hybridMultilevel"/>
    <w:tmpl w:val="A26EF998"/>
    <w:lvl w:ilvl="0" w:tplc="78A7BDEC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50B7E44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FFBB953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A754DD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B9C0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10BCDE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02C9C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E0E8C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7568E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CC9595B"/>
    <w:multiLevelType w:val="hybridMultilevel"/>
    <w:tmpl w:val="2FFADB0E"/>
    <w:lvl w:ilvl="0" w:tplc="085B5CF8">
      <w:start w:val="1094"/>
      <w:numFmt w:val="bullet"/>
      <w:lvlText w:val="-"/>
      <w:lvlJc w:val="left"/>
      <w:pPr>
        <w:ind w:left="928" w:hanging="360"/>
      </w:pPr>
      <w:rPr>
        <w:rFonts w:ascii="Times New Roman" w:hAnsi="Times New Roman"/>
      </w:rPr>
    </w:lvl>
    <w:lvl w:ilvl="1" w:tplc="25299B82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28C503E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BCE7E81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75F79EC5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15F3AFD0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67C4A7EE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4753F7E1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79D3F49F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2D6A7A4B"/>
    <w:multiLevelType w:val="hybridMultilevel"/>
    <w:tmpl w:val="46440696"/>
    <w:lvl w:ilvl="0" w:tplc="0F6225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  <w:szCs w:val="20"/>
      </w:rPr>
    </w:lvl>
    <w:lvl w:ilvl="1" w:tplc="29CAD59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  <w:szCs w:val="20"/>
      </w:rPr>
    </w:lvl>
    <w:lvl w:ilvl="2" w:tplc="7B1E7903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  <w:szCs w:val="20"/>
      </w:rPr>
    </w:lvl>
    <w:lvl w:ilvl="3" w:tplc="38A1C8A9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  <w:szCs w:val="20"/>
      </w:rPr>
    </w:lvl>
    <w:lvl w:ilvl="4" w:tplc="3114E59B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  <w:szCs w:val="20"/>
      </w:rPr>
    </w:lvl>
    <w:lvl w:ilvl="5" w:tplc="2946C06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  <w:szCs w:val="20"/>
      </w:rPr>
    </w:lvl>
    <w:lvl w:ilvl="6" w:tplc="2A899013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  <w:szCs w:val="20"/>
      </w:rPr>
    </w:lvl>
    <w:lvl w:ilvl="7" w:tplc="6249480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  <w:szCs w:val="20"/>
      </w:rPr>
    </w:lvl>
    <w:lvl w:ilvl="8" w:tplc="02FE029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  <w:szCs w:val="20"/>
      </w:rPr>
    </w:lvl>
  </w:abstractNum>
  <w:abstractNum w:abstractNumId="4" w15:restartNumberingAfterBreak="0">
    <w:nsid w:val="367976FE"/>
    <w:multiLevelType w:val="hybridMultilevel"/>
    <w:tmpl w:val="6AA22B4C"/>
    <w:lvl w:ilvl="0" w:tplc="062894A8">
      <w:start w:val="5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3EE2A95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D381E9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F78AE5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F6D59D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EB4E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8DEEE75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FC1198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84858A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3E3240B"/>
    <w:multiLevelType w:val="hybridMultilevel"/>
    <w:tmpl w:val="BCF82F72"/>
    <w:lvl w:ilvl="0" w:tplc="741C0229">
      <w:numFmt w:val="bullet"/>
      <w:lvlText w:val="-"/>
      <w:lvlJc w:val="left"/>
      <w:pPr>
        <w:ind w:left="720" w:hanging="360"/>
      </w:pPr>
      <w:rPr>
        <w:rFonts w:ascii="Times New Roman" w:hAnsi="Times New Roman"/>
        <w:color w:val="auto"/>
      </w:rPr>
    </w:lvl>
    <w:lvl w:ilvl="1" w:tplc="0D827365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2D456F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DC903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CC2BC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D02CE3F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6910CF3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4C7234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19C3C9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4B86795"/>
    <w:multiLevelType w:val="hybridMultilevel"/>
    <w:tmpl w:val="FC061B98"/>
    <w:lvl w:ilvl="0" w:tplc="0DABA86F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hAnsi="Times New Roman"/>
      </w:rPr>
    </w:lvl>
    <w:lvl w:ilvl="1" w:tplc="3CCF340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 w:tplc="1319421B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 w:tplc="15A2141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 w:tplc="400B58E8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 w:tplc="00E6458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 w:tplc="5DFA8B1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 w:tplc="250B71D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 w:tplc="306FDB1D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7" w15:restartNumberingAfterBreak="0">
    <w:nsid w:val="5E482D32"/>
    <w:multiLevelType w:val="multilevel"/>
    <w:tmpl w:val="F9A278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005139"/>
    <w:multiLevelType w:val="hybridMultilevel"/>
    <w:tmpl w:val="031C9B64"/>
    <w:lvl w:ilvl="0" w:tplc="5832984E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 w:tplc="4005F64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FA2FFA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B4F8ED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A1DC5C9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37079B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E0DCC5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5DA362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FFE40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6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7A"/>
    <w:rsid w:val="0072055D"/>
    <w:rsid w:val="009418D8"/>
    <w:rsid w:val="00E7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F92C1-7887-4DC5-9A2A-1881C87E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  <w:sz w:val="22"/>
      <w:szCs w:val="22"/>
      <w:lang w:val="ru-RU"/>
    </w:rPr>
  </w:style>
  <w:style w:type="paragraph" w:styleId="3">
    <w:name w:val="heading 3"/>
    <w:basedOn w:val="a"/>
    <w:uiPriority w:val="9"/>
    <w:semiHidden/>
    <w:unhideWhenUsed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widowControl w:val="0"/>
    </w:pPr>
    <w:rPr>
      <w:sz w:val="29"/>
      <w:szCs w:val="29"/>
    </w:rPr>
  </w:style>
  <w:style w:type="paragraph" w:styleId="a3">
    <w:name w:val="No Spacing"/>
    <w:link w:val="a4"/>
    <w:qFormat/>
    <w:rPr>
      <w:rFonts w:ascii="Calibri" w:hAnsi="Calibri"/>
      <w:sz w:val="22"/>
      <w:szCs w:val="22"/>
      <w:lang w:val="ru-RU"/>
    </w:rPr>
  </w:style>
  <w:style w:type="paragraph" w:customStyle="1" w:styleId="tlreflinkmrw45">
    <w:name w:val="tl reflink mr w45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pPr>
      <w:spacing w:after="160" w:line="259" w:lineRule="auto"/>
      <w:ind w:left="720"/>
      <w:contextualSpacing/>
    </w:pPr>
    <w:rPr>
      <w:lang w:val="en-US"/>
    </w:rPr>
  </w:style>
  <w:style w:type="paragraph" w:styleId="a6">
    <w:name w:val="Plain Text"/>
    <w:basedOn w:val="a"/>
    <w:link w:val="a7"/>
    <w:pPr>
      <w:spacing w:after="0" w:line="240" w:lineRule="auto"/>
    </w:pPr>
    <w:rPr>
      <w:rFonts w:ascii="Courier New" w:hAnsi="Courier New"/>
      <w:sz w:val="20"/>
      <w:szCs w:val="20"/>
      <w:lang w:val="uk-UA"/>
    </w:rPr>
  </w:style>
  <w:style w:type="paragraph" w:styleId="a8">
    <w:name w:val="header"/>
    <w:basedOn w:val="a"/>
    <w:link w:val="a9"/>
    <w:pPr>
      <w:tabs>
        <w:tab w:val="center" w:pos="4819"/>
        <w:tab w:val="right" w:pos="9639"/>
      </w:tabs>
      <w:spacing w:after="0" w:line="240" w:lineRule="auto"/>
    </w:pPr>
    <w:rPr>
      <w:rFonts w:ascii="Times New Roman" w:hAnsi="Times New Roman"/>
      <w:sz w:val="20"/>
      <w:szCs w:val="20"/>
      <w:lang w:val="uk-UA"/>
    </w:rPr>
  </w:style>
  <w:style w:type="paragraph" w:styleId="aa">
    <w:name w:val="Body Text Indent"/>
    <w:basedOn w:val="a"/>
    <w:link w:val="ab"/>
    <w:pPr>
      <w:suppressAutoHyphens/>
      <w:spacing w:after="0" w:line="240" w:lineRule="auto"/>
      <w:ind w:firstLine="545"/>
      <w:jc w:val="both"/>
    </w:pPr>
    <w:rPr>
      <w:rFonts w:ascii="Times New Roman" w:hAnsi="Times New Roman"/>
      <w:sz w:val="28"/>
      <w:szCs w:val="28"/>
      <w:lang w:val="uk-UA"/>
    </w:rPr>
  </w:style>
  <w:style w:type="paragraph" w:customStyle="1" w:styleId="rtejustify">
    <w:name w:val="rtejustif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Segoe UI" w:hAnsi="Segoe UI"/>
      <w:sz w:val="18"/>
      <w:szCs w:val="18"/>
    </w:rPr>
  </w:style>
  <w:style w:type="paragraph" w:styleId="ae">
    <w:name w:val="footer"/>
    <w:basedOn w:val="a"/>
    <w:link w:val="af"/>
    <w:pPr>
      <w:tabs>
        <w:tab w:val="center" w:pos="4819"/>
        <w:tab w:val="right" w:pos="9639"/>
      </w:tabs>
    </w:pPr>
  </w:style>
  <w:style w:type="paragraph" w:styleId="af0">
    <w:name w:val="footnote text"/>
    <w:link w:val="af1"/>
    <w:semiHidden/>
  </w:style>
  <w:style w:type="paragraph" w:styleId="af2">
    <w:name w:val="endnote text"/>
    <w:link w:val="af3"/>
    <w:semiHidden/>
  </w:style>
  <w:style w:type="character" w:styleId="af4">
    <w:name w:val="line number"/>
    <w:basedOn w:val="a0"/>
    <w:semiHidden/>
  </w:style>
  <w:style w:type="character" w:styleId="af5">
    <w:name w:val="Hyperlink"/>
    <w:rPr>
      <w:color w:val="0000FF"/>
      <w:u w:val="single"/>
    </w:rPr>
  </w:style>
  <w:style w:type="character" w:styleId="af6">
    <w:name w:val="Strong"/>
    <w:qFormat/>
    <w:rPr>
      <w:b/>
      <w:bCs/>
    </w:rPr>
  </w:style>
  <w:style w:type="character" w:customStyle="1" w:styleId="a7">
    <w:name w:val="Текст Знак"/>
    <w:link w:val="a6"/>
    <w:rPr>
      <w:rFonts w:ascii="Courier New" w:hAnsi="Courier New"/>
      <w:lang w:val="uk-UA"/>
    </w:rPr>
  </w:style>
  <w:style w:type="character" w:customStyle="1" w:styleId="a9">
    <w:name w:val="Верхній колонтитул Знак"/>
    <w:link w:val="a8"/>
    <w:rPr>
      <w:lang w:val="uk-UA"/>
    </w:rPr>
  </w:style>
  <w:style w:type="character" w:styleId="af7">
    <w:name w:val="page number"/>
  </w:style>
  <w:style w:type="character" w:customStyle="1" w:styleId="a4">
    <w:name w:val="Без інтервалів Знак"/>
    <w:link w:val="a3"/>
    <w:rPr>
      <w:rFonts w:ascii="Calibri" w:hAnsi="Calibri"/>
      <w:sz w:val="22"/>
      <w:szCs w:val="22"/>
      <w:lang w:val="ru-RU"/>
    </w:rPr>
  </w:style>
  <w:style w:type="character" w:customStyle="1" w:styleId="ab">
    <w:name w:val="Основний текст з відступом Знак"/>
    <w:link w:val="aa"/>
    <w:rPr>
      <w:sz w:val="28"/>
      <w:szCs w:val="28"/>
      <w:lang w:val="uk-UA"/>
    </w:rPr>
  </w:style>
  <w:style w:type="character" w:customStyle="1" w:styleId="ad">
    <w:name w:val="Текст у виносці Знак"/>
    <w:link w:val="ac"/>
    <w:rPr>
      <w:rFonts w:ascii="Segoe UI" w:hAnsi="Segoe UI"/>
      <w:sz w:val="18"/>
      <w:szCs w:val="18"/>
      <w:lang w:val="ru-RU"/>
    </w:rPr>
  </w:style>
  <w:style w:type="character" w:customStyle="1" w:styleId="af">
    <w:name w:val="Нижній колонтитул Знак"/>
    <w:link w:val="ae"/>
    <w:rPr>
      <w:rFonts w:ascii="Calibri" w:hAnsi="Calibri"/>
      <w:sz w:val="22"/>
      <w:szCs w:val="22"/>
      <w:lang w:val="ru-RU"/>
    </w:rPr>
  </w:style>
  <w:style w:type="character" w:styleId="af8">
    <w:name w:val="footnote reference"/>
    <w:semiHidden/>
    <w:rPr>
      <w:vertAlign w:val="superscript"/>
    </w:rPr>
  </w:style>
  <w:style w:type="character" w:customStyle="1" w:styleId="af1">
    <w:name w:val="Текст виноски Знак"/>
    <w:link w:val="af0"/>
    <w:semiHidden/>
    <w:rPr>
      <w:sz w:val="20"/>
      <w:szCs w:val="20"/>
    </w:rPr>
  </w:style>
  <w:style w:type="character" w:styleId="af9">
    <w:name w:val="endnote reference"/>
    <w:semiHidden/>
    <w:rPr>
      <w:vertAlign w:val="superscript"/>
    </w:rPr>
  </w:style>
  <w:style w:type="character" w:customStyle="1" w:styleId="af3">
    <w:name w:val="Текст кінцевої виноски Знак"/>
    <w:link w:val="af2"/>
    <w:semiHidden/>
    <w:rPr>
      <w:sz w:val="20"/>
      <w:szCs w:val="20"/>
    </w:rPr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67BE1-6498-480B-8369-9041BDF2B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7053</Words>
  <Characters>4021</Characters>
  <Application>Microsoft Office Word</Application>
  <DocSecurity>0</DocSecurity>
  <Lines>33</Lines>
  <Paragraphs>22</Paragraphs>
  <ScaleCrop>false</ScaleCrop>
  <Company>RePack by SPecialiST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d18-Koval</dc:creator>
  <cp:lastModifiedBy>Ірина Василик</cp:lastModifiedBy>
  <cp:revision>2</cp:revision>
  <cp:lastPrinted>2026-09-01T08:01:00Z</cp:lastPrinted>
  <dcterms:created xsi:type="dcterms:W3CDTF">2026-09-03T06:55:00Z</dcterms:created>
  <dcterms:modified xsi:type="dcterms:W3CDTF">2026-09-03T06:55:00Z</dcterms:modified>
</cp:coreProperties>
</file>