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3"/>
        <w:shd w:val="clear" w:fill="FFFFFF"/>
        <w:spacing w:lineRule="atLeast" w:line="360" w:before="0" w:after="0" w:beforeAutospacing="0" w:afterAutospacing="0"/>
        <w:jc w:val="center"/>
        <w:rPr>
          <w:b w:val="1"/>
          <w:color w:val="000000" w:themeColor="text1"/>
        </w:rPr>
      </w:pPr>
      <w:r>
        <w:rPr>
          <w:b w:val="1"/>
          <w:bCs w:val="1"/>
          <w:color w:val="000000" w:themeColor="text1"/>
          <w:sz w:val="28"/>
          <w:szCs w:val="28"/>
        </w:rPr>
        <w:t>ЗВЕРНЕННЯ</w:t>
      </w:r>
    </w:p>
    <w:p>
      <w:pPr>
        <w:jc w:val="center"/>
        <w:rPr>
          <w:rFonts w:ascii="Times New Roman" w:hAnsi="Times New Roman"/>
          <w:b w:val="1"/>
          <w:color w:val="000000" w:themeColor="text1"/>
          <w:lang w:val="uk-UA"/>
        </w:rPr>
      </w:pPr>
      <w:r>
        <w:rPr>
          <w:rFonts w:ascii="Times New Roman" w:hAnsi="Times New Roman"/>
          <w:b w:val="1"/>
          <w:color w:val="000000" w:themeColor="text1"/>
          <w:sz w:val="28"/>
          <w:szCs w:val="28"/>
          <w:lang w:val="uk-UA"/>
        </w:rPr>
        <w:t>Тернопільської міської ради</w:t>
      </w:r>
      <w:r>
        <w:rPr>
          <w:rFonts w:ascii="Times New Roman" w:hAnsi="Times New Roman"/>
          <w:b w:val="1"/>
          <w:bCs w:val="1"/>
          <w:color w:val="000000" w:themeColor="text1"/>
          <w:sz w:val="28"/>
          <w:szCs w:val="28"/>
          <w:lang w:val="uk-UA"/>
        </w:rPr>
        <w:t xml:space="preserve"> до Кабінету Міністрів України щодо повного фінансування з державного бюджету оплати праці педагогів та соціальних працівників</w:t>
      </w:r>
    </w:p>
    <w:p>
      <w:pPr>
        <w:pStyle w:val="P3"/>
        <w:shd w:val="clear" w:fill="FFFFFF"/>
        <w:spacing w:lineRule="atLeast" w:line="360" w:before="0" w:after="360" w:beforeAutospacing="0" w:afterAutospacing="0"/>
        <w:rPr>
          <w:rFonts w:ascii="Arial" w:hAnsi="Arial"/>
          <w:color w:val="565656"/>
        </w:rPr>
      </w:pPr>
      <w:r>
        <w:rPr>
          <w:rFonts w:ascii="Arial" w:hAnsi="Arial"/>
          <w:color w:val="565656"/>
        </w:rPr>
        <w:t> 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 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№1749 «Деякі питання оплати праці педагогічних і науково-педагогічних працівників» і постановою Кабінету Міністрів України від 26 грудня 2025 року №1750 «Деякі питання оплати праці працівників надавачів соціальних та реабілітаційних послуг», не передбачивши для їх реалізації коштів з Державного бюджету України.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 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        Підвищення посадових окладів працівників надавачів соціальних та реабілітаційних послуг у 2,5 рази, як це передбачено постановою №1750, згідно з інформацією Міністерства фінансів України потребує у 2026 році додаткових видатків у обсязі близько 28 млрд гривень. Для бюджету Тернопільської міської територіальної громади </w:t>
      </w:r>
      <w:r>
        <w:rPr>
          <w:color w:val="000000" w:themeColor="text1"/>
          <w:sz w:val="28"/>
          <w:szCs w:val="28"/>
          <w:lang w:val="ru-RU"/>
        </w:rPr>
        <w:t xml:space="preserve">на реалізацію вищевказаної постанови </w:t>
      </w:r>
      <w:r>
        <w:rPr>
          <w:color w:val="000000" w:themeColor="text1"/>
          <w:sz w:val="28"/>
          <w:szCs w:val="28"/>
        </w:rPr>
        <w:t>створюється додаткове фінансове навантаження у обсязі 14,9 млн. гривень.</w:t>
      </w:r>
    </w:p>
    <w:p>
      <w:pPr>
        <w:pStyle w:val="P3"/>
        <w:shd w:val="clear" w:fill="FFFFFF"/>
        <w:spacing w:lineRule="atLeast" w:line="360" w:before="0" w:after="0" w:beforeAutospacing="0" w:afterAutospacing="0"/>
        <w:ind w:firstLine="708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Підвищення посадових окладів педагогічних працівників, зокрема закладів дошкільної та позашкільної освіти, на 40 відсотків відповідно до постанови №1749  згідно з інформацією Міністерства фінансів України, потребує у 2026 році додаткового фінансування в обсязі близько 14 млрд гривень.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Для бюджету Тернопільської міської територіальної громади</w:t>
      </w:r>
      <w:r>
        <w:rPr>
          <w:color w:val="000000" w:themeColor="text1"/>
          <w:sz w:val="28"/>
          <w:szCs w:val="28"/>
          <w:lang w:val="ru-RU"/>
        </w:rPr>
        <w:t xml:space="preserve"> на реалізацію вищевказаної постанови</w:t>
      </w:r>
      <w:r>
        <w:rPr>
          <w:color w:val="000000" w:themeColor="text1"/>
          <w:sz w:val="28"/>
          <w:szCs w:val="28"/>
        </w:rPr>
        <w:t xml:space="preserve"> створюється додаткове фінансове навантаження у обсязі  114,2 млн. гривень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        Тобто, щодо забезпечення оплати праці педагогічних працівників та працівників надавачів соціальних та реабілітаційних послуг, які  утримуються за рахунок місцевого бюджету,  в повному обсязі, для бюджету Тернопільської міської територіальної громади створюється додаткове фінансове навантаження у обсязі 129,1млн. гривень.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того, освітня субвенція з державного бюджету на виплату заробітної плати педагогічним працівникам  при потребі  на 8 місяців 2026 року  614,2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мл</w:t>
      </w:r>
      <w:r>
        <w:rPr>
          <w:rFonts w:ascii="Times New Roman" w:hAnsi="Times New Roman"/>
          <w:sz w:val="28"/>
          <w:szCs w:val="28"/>
          <w:lang w:val="uk-UA"/>
        </w:rPr>
        <w:t>н.гривень передбачена в сумі 561,0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млн.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гривень, що потребує додаткового фінансування з державного бюджету у обсязі 53,2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млн.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гривень.</w:t>
      </w:r>
    </w:p>
    <w:p>
      <w:pPr>
        <w:widowControl w:val="1"/>
        <w:spacing w:lineRule="auto" w:line="240" w:after="0"/>
        <w:ind w:firstLine="709" w:left="0" w:right="0"/>
        <w:bidi w:val="0"/>
        <w:jc w:val="both"/>
        <w:rPr>
          <w:rFonts w:ascii="Times New Roman" w:hAnsi="Times New Roman"/>
          <w:smallCaps w:val="0"/>
          <w:sz w:val="28"/>
          <w:szCs w:val="28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Загал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ьна потреба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для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бюджету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mallCaps w:val="0"/>
          <w:color w:val="000000" w:themeColor="dark1"/>
          <w:sz w:val="28"/>
          <w:szCs w:val="22"/>
          <w:cs w:val="0"/>
          <w:spacing w:val="0"/>
          <w:w w:val="100"/>
          <w:position w:val="0"/>
          <w:snapToGrid w:val="1"/>
        </w:rPr>
        <w:t>Тернопільської міської територіальної громади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szCs w:val="28"/>
          <w:u w:val="none"/>
          <w:shd w:val="clear" w:color="auto" w:fill="auto"/>
          <w:vertAlign w:val="baseline"/>
          <w:lang/>
        </w:rPr>
        <w:t xml:space="preserve">в додаткових коштах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szCs w:val="28"/>
          <w:u w:val="none"/>
          <w:shd w:val="clear" w:color="auto" w:fill="auto"/>
          <w:vertAlign w:val="baseline"/>
          <w:lang/>
        </w:rPr>
        <w:t xml:space="preserve">становить  </w:t>
      </w:r>
      <w:r>
        <w:rPr>
          <w:rFonts w:ascii="Times New Roman" w:hAnsi="Times New Roman"/>
          <w:smallCaps w:val="0"/>
          <w:sz w:val="28"/>
          <w:szCs w:val="28"/>
          <w:cs w:val="0"/>
          <w:spacing w:val="0"/>
          <w:w w:val="100"/>
          <w:position w:val="0"/>
          <w:snapToGrid w:val="1"/>
          <w:lang w:val="uk-UA"/>
        </w:rPr>
        <w:t>1</w:t>
      </w:r>
      <w:r>
        <w:rPr>
          <w:rFonts w:ascii="Times New Roman" w:hAnsi="Times New Roman"/>
          <w:smallCaps w:val="0"/>
          <w:sz w:val="28"/>
          <w:szCs w:val="28"/>
          <w:cs w:val="0"/>
          <w:spacing w:val="0"/>
          <w:w w:val="100"/>
          <w:position w:val="0"/>
          <w:snapToGrid w:val="1"/>
          <w:lang w:val="uk-UA"/>
        </w:rPr>
        <w:t>82,3 млн. гривень</w:t>
      </w:r>
      <w:r>
        <w:rPr>
          <w:rFonts w:ascii="Times New Roman" w:hAnsi="Times New Roman"/>
          <w:smallCaps w:val="0"/>
          <w:sz w:val="28"/>
          <w:szCs w:val="28"/>
          <w:cs w:val="0"/>
          <w:spacing w:val="0"/>
          <w:w w:val="100"/>
          <w:position w:val="0"/>
          <w:snapToGrid w:val="1"/>
          <w:lang w:val="uk-UA"/>
        </w:rPr>
        <w:t>.</w:t>
      </w:r>
    </w:p>
    <w:p>
      <w:pPr>
        <w:widowControl w:val="1"/>
        <w:spacing w:lineRule="auto" w:line="240" w:after="0"/>
        <w:ind w:firstLine="709" w:left="0" w:right="0"/>
        <w:bidi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Без виділення додаткових коштів з Державного бюджету України зазначені вище постанови можуть призвести до таких негативних наслідків:</w:t>
      </w:r>
    </w:p>
    <w:p>
      <w:pPr>
        <w:pStyle w:val="P3"/>
        <w:shd w:val="clear" w:fill="FFFFFF"/>
        <w:spacing w:lineRule="auto" w:line="240" w:before="0" w:after="0" w:beforeAutospacing="0" w:afterAutospacing="0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скорочення чисельності працівникі</w:t>
      </w:r>
      <w:r>
        <w:rPr>
          <w:color w:val="000000" w:themeColor="text1"/>
          <w:sz w:val="28"/>
          <w:szCs w:val="28"/>
        </w:rPr>
        <w:t>в;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збільшення навантаження на персонал;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переведення працівників на неповний робочий час;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створення нерівних умов оплати праці між працівниками різних галузей;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погіршення якості освітніх та соціальних послуг.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 Відповідно до ст.142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 З огляду на викладене та з метою реального підвищення рівня оплати праці педагогічних та соціальних працівників, а також недопущення негативних соціально-економічних наслідків, просимо: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 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України;</w:t>
      </w:r>
    </w:p>
    <w:p>
      <w:pPr>
        <w:pStyle w:val="P3"/>
        <w:shd w:val="clear" w:fill="FFFFFF"/>
        <w:spacing w:lineRule="atLeast" w:line="360" w:before="0" w:after="0" w:beforeAutospacing="0" w:afterAutospacing="0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забезпечити збільшення освітньої субвенції з державного бюджету.</w:t>
      </w:r>
    </w:p>
    <w:p>
      <w:pPr>
        <w:pStyle w:val="P3"/>
        <w:shd w:val="clear" w:fill="FFFFFF"/>
        <w:spacing w:lineRule="atLeast" w:line="360" w:before="0" w:after="360"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t> </w:t>
        <w:tab/>
      </w:r>
      <w:r>
        <w:rPr>
          <w:color w:val="000000" w:themeColor="text1"/>
          <w:sz w:val="28"/>
          <w:szCs w:val="28"/>
        </w:rPr>
        <w:t>Прийнято на пленарному засіданні п’ятдесят п’ятої сесії Тернопільської міської ради 20.02.2026.</w:t>
      </w:r>
    </w:p>
    <w:p>
      <w:pPr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Міський голова</w:t>
        <w:tab/>
        <w:tab/>
        <w:tab/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                             Сергій НАДАЛ</w:t>
      </w:r>
    </w:p>
    <w:p>
      <w:pPr>
        <w:rPr>
          <w:color w:val="000000" w:themeColor="text1"/>
          <w:sz w:val="28"/>
          <w:szCs w:val="28"/>
        </w:rPr>
      </w:pPr>
    </w:p>
    <w:sectPr>
      <w:type w:val="nextPage"/>
      <w:pgSz w:w="11906" w:h="16838" w:code="0"/>
      <w:pgMar w:left="1417" w:right="850" w:top="850" w:bottom="1985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rFonts w:ascii="Calibri" w:hAnsi="Calibri"/>
      <w:lang w:val="ru-RU" w:eastAsia="ru-RU"/>
    </w:rPr>
  </w:style>
  <w:style w:type="paragraph" w:styleId="P1">
    <w:name w:val="rvps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3">
    <w:name w:val="No Spacing"/>
    <w:basedOn w:val="P0"/>
    <w:qFormat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rvts23"/>
    <w:rPr/>
  </w:style>
  <w:style w:type="character" w:styleId="C4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 w:eastAsia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  <w:style w:type="numbering" w:styleId="N1">
    <w:name w:val="Нет списка1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Company>SPecialiST RePack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2026-02-11T08:48:00Z</dcterms:created>
  <cp:lastModifiedBy>askod</cp:lastModifiedBy>
  <cp:lastPrinted>2026-02-11T08:47:00Z</cp:lastPrinted>
  <dcterms:modified xsi:type="dcterms:W3CDTF">2026-02-19T14:49:32Z</dcterms:modified>
  <cp:revision>5</cp:revision>
</cp:coreProperties>
</file>