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pStyle w:val="P3"/>
        <w:tabs>
          <w:tab w:val="left" w:pos="4536" w:leader="none"/>
        </w:tabs>
        <w:spacing w:before="0" w:after="0" w:beforeAutospacing="0" w:afterAutospacing="0"/>
        <w:jc w:val="both"/>
        <w:rPr>
          <w:rStyle w:val="C5"/>
          <w:b w:val="0"/>
          <w:bCs w:val="0"/>
          <w:color w:val="252525"/>
          <w:sz w:val="28"/>
          <w:szCs w:val="28"/>
        </w:rPr>
      </w:pPr>
      <w:r>
        <w:rPr>
          <w:rStyle w:val="C5"/>
          <w:color w:val="252525"/>
          <w:sz w:val="28"/>
          <w:szCs w:val="28"/>
        </w:rPr>
        <w:tab/>
        <w:tab/>
        <w:tab/>
        <w:t xml:space="preserve">                               </w:t>
      </w:r>
      <w:r>
        <w:rPr>
          <w:rStyle w:val="C5"/>
          <w:b w:val="0"/>
          <w:bCs w:val="0"/>
          <w:color w:val="252525"/>
          <w:sz w:val="28"/>
          <w:szCs w:val="28"/>
        </w:rPr>
        <w:t xml:space="preserve">Додаток </w:t>
      </w:r>
    </w:p>
    <w:p>
      <w:pPr>
        <w:pStyle w:val="P3"/>
        <w:tabs>
          <w:tab w:val="left" w:pos="4536" w:leader="none"/>
        </w:tabs>
        <w:spacing w:before="0" w:after="0" w:beforeAutospacing="0" w:afterAutospacing="0"/>
        <w:jc w:val="both"/>
        <w:rPr>
          <w:rStyle w:val="C5"/>
          <w:b w:val="0"/>
          <w:bCs w:val="0"/>
          <w:color w:val="252525"/>
          <w:sz w:val="28"/>
          <w:szCs w:val="28"/>
        </w:rPr>
      </w:pPr>
      <w:r>
        <w:rPr>
          <w:rStyle w:val="C5"/>
          <w:b w:val="0"/>
          <w:bCs w:val="0"/>
          <w:color w:val="252525"/>
          <w:sz w:val="28"/>
          <w:szCs w:val="28"/>
        </w:rPr>
        <w:tab/>
        <w:tab/>
        <w:tab/>
        <w:t xml:space="preserve"> </w:t>
      </w:r>
    </w:p>
    <w:p>
      <w:pPr>
        <w:pStyle w:val="P3"/>
        <w:tabs>
          <w:tab w:val="left" w:pos="4536" w:leader="none"/>
        </w:tabs>
        <w:spacing w:before="0" w:after="0" w:beforeAutospacing="0" w:afterAutospacing="0"/>
        <w:jc w:val="both"/>
        <w:rPr>
          <w:rStyle w:val="C5"/>
          <w:b w:val="0"/>
          <w:bCs w:val="0"/>
          <w:color w:val="252525"/>
          <w:sz w:val="28"/>
          <w:szCs w:val="28"/>
        </w:rPr>
      </w:pPr>
      <w:r>
        <w:rPr>
          <w:rStyle w:val="C5"/>
          <w:b w:val="0"/>
          <w:bCs w:val="0"/>
          <w:color w:val="252525"/>
          <w:sz w:val="28"/>
          <w:szCs w:val="28"/>
        </w:rPr>
        <w:tab/>
        <w:tab/>
        <w:tab/>
      </w:r>
    </w:p>
    <w:p>
      <w:pPr>
        <w:pStyle w:val="P3"/>
        <w:spacing w:before="0" w:after="0" w:beforeAutospacing="0" w:afterAutospacing="0"/>
        <w:jc w:val="center"/>
        <w:rPr>
          <w:rStyle w:val="C5"/>
          <w:b w:val="0"/>
          <w:bCs w:val="0"/>
          <w:color w:val="252525"/>
          <w:sz w:val="28"/>
          <w:szCs w:val="28"/>
        </w:rPr>
      </w:pPr>
      <w:r>
        <w:rPr>
          <w:rStyle w:val="C5"/>
          <w:b w:val="0"/>
          <w:bCs w:val="0"/>
          <w:color w:val="252525"/>
          <w:sz w:val="28"/>
          <w:szCs w:val="28"/>
        </w:rPr>
        <w:t>«Положення</w:t>
      </w:r>
      <w:r>
        <w:rPr>
          <w:color w:val="252525"/>
          <w:sz w:val="28"/>
          <w:szCs w:val="28"/>
        </w:rPr>
        <w:br w:type="textWrapping"/>
      </w:r>
      <w:r>
        <w:rPr>
          <w:color w:val="252525"/>
          <w:sz w:val="28"/>
          <w:szCs w:val="28"/>
        </w:rPr>
        <w:t>п</w:t>
      </w:r>
      <w:r>
        <w:rPr>
          <w:rStyle w:val="C5"/>
          <w:b w:val="0"/>
          <w:bCs w:val="0"/>
          <w:color w:val="252525"/>
          <w:sz w:val="28"/>
          <w:szCs w:val="28"/>
        </w:rPr>
        <w:t>ро облік і використання безхазяйного майна та відумерлої спадщини Тернопільською міською територіальною громадою»</w:t>
      </w:r>
    </w:p>
    <w:p>
      <w:pPr>
        <w:pStyle w:val="P3"/>
        <w:spacing w:before="0" w:after="0" w:beforeAutospacing="0" w:afterAutospacing="0"/>
        <w:jc w:val="both"/>
        <w:rPr>
          <w:rStyle w:val="C5"/>
          <w:b w:val="0"/>
          <w:bCs w:val="0"/>
          <w:color w:val="252525"/>
          <w:sz w:val="28"/>
          <w:szCs w:val="28"/>
        </w:rPr>
      </w:pPr>
    </w:p>
    <w:p>
      <w:pPr>
        <w:pStyle w:val="P3"/>
        <w:spacing w:before="0" w:after="0" w:beforeAutospacing="0" w:afterAutospacing="0"/>
        <w:jc w:val="center"/>
        <w:rPr>
          <w:rStyle w:val="C5"/>
          <w:b w:val="0"/>
          <w:bCs w:val="0"/>
          <w:color w:val="252525"/>
          <w:sz w:val="28"/>
          <w:szCs w:val="28"/>
        </w:rPr>
      </w:pPr>
      <w:r>
        <w:rPr>
          <w:rStyle w:val="C5"/>
          <w:b w:val="0"/>
          <w:bCs w:val="0"/>
          <w:color w:val="252525"/>
          <w:sz w:val="28"/>
          <w:szCs w:val="28"/>
        </w:rPr>
        <w:t>1. Загальні положення</w:t>
      </w:r>
    </w:p>
    <w:p>
      <w:pPr>
        <w:pStyle w:val="P3"/>
        <w:spacing w:before="0" w:after="0" w:beforeAutospacing="0" w:afterAutospacing="0"/>
        <w:jc w:val="both"/>
        <w:rPr>
          <w:sz w:val="28"/>
          <w:szCs w:val="28"/>
        </w:rPr>
      </w:pPr>
      <w:r>
        <w:rPr>
          <w:color w:val="252525"/>
          <w:sz w:val="28"/>
          <w:szCs w:val="28"/>
        </w:rPr>
        <w:t>1.1.Положення розроблене відповідно до Цивільного кодексу України, законів України «Про місцеве самоврядування в Україні»,</w:t>
      </w:r>
      <w:r>
        <w:rPr>
          <w:color w:val="000000"/>
          <w:sz w:val="28"/>
          <w:szCs w:val="28"/>
        </w:rPr>
        <w:t xml:space="preserve"> </w:t>
      </w:r>
      <w:r>
        <w:rPr>
          <w:color w:val="252525"/>
          <w:sz w:val="28"/>
          <w:szCs w:val="28"/>
        </w:rPr>
        <w:t xml:space="preserve"> «Про державну реєстрацію речових прав на нерухоме майно та їх обтяжень», </w:t>
      </w:r>
      <w:r>
        <w:rPr>
          <w:color w:val="000000"/>
          <w:sz w:val="28"/>
          <w:szCs w:val="28"/>
          <w:lang w:eastAsia="ru-RU"/>
        </w:rPr>
        <w:t>Постанови Кабінету Міністрів України «</w:t>
      </w:r>
      <w:r>
        <w:rPr>
          <w:color w:val="333333"/>
          <w:sz w:val="28"/>
          <w:szCs w:val="28"/>
          <w:shd w:val="clear" w:color="auto" w:fill="FFFFFF"/>
        </w:rPr>
        <w:t>Про державну реєстрацію речових прав на нерухоме майно та їх обтяжень»</w:t>
      </w:r>
      <w:r>
        <w:rPr>
          <w:color w:val="000000"/>
          <w:sz w:val="28"/>
          <w:szCs w:val="28"/>
        </w:rPr>
        <w:t xml:space="preserve">, </w:t>
      </w:r>
      <w:r>
        <w:rPr>
          <w:color w:val="252525"/>
          <w:sz w:val="28"/>
          <w:szCs w:val="28"/>
        </w:rPr>
        <w:t>з метою врегулювання відносин щодо виявлення, взяття на облік, збереження та використання рухомого та нерухомого майна, яке є безхазяйним або відумерлою спадщиною.</w:t>
      </w:r>
    </w:p>
    <w:p>
      <w:pPr>
        <w:pStyle w:val="P3"/>
        <w:spacing w:before="0" w:after="0" w:beforeAutospacing="0" w:afterAutospacing="0"/>
        <w:jc w:val="both"/>
        <w:rPr>
          <w:color w:val="252525"/>
          <w:sz w:val="28"/>
          <w:szCs w:val="28"/>
        </w:rPr>
      </w:pPr>
      <w:r>
        <w:rPr>
          <w:color w:val="252525"/>
          <w:sz w:val="28"/>
          <w:szCs w:val="28"/>
        </w:rPr>
        <w:t>1.2.Для цілей цього Положення застосовуються наступні визначення:</w:t>
      </w:r>
      <w:r>
        <w:rPr>
          <w:color w:val="252525"/>
          <w:sz w:val="28"/>
          <w:szCs w:val="28"/>
        </w:rPr>
        <w:br w:type="textWrapping"/>
      </w:r>
      <w:r>
        <w:rPr>
          <w:color w:val="252525"/>
          <w:sz w:val="28"/>
          <w:szCs w:val="28"/>
        </w:rPr>
        <w:t xml:space="preserve">- безхазяйне майно – це майно, яке не має власника або власник якого невідомий; </w:t>
      </w:r>
      <w:r>
        <w:rPr>
          <w:color w:val="252525"/>
          <w:sz w:val="28"/>
          <w:szCs w:val="28"/>
        </w:rPr>
        <w:br w:type="textWrapping"/>
      </w:r>
      <w:r>
        <w:rPr>
          <w:color w:val="252525"/>
          <w:sz w:val="28"/>
          <w:szCs w:val="28"/>
        </w:rPr>
        <w:t>- відумерла спадщина – майно, власник якого помер, а спадкоємці за заповітом і за законом відсутні чи усунуті від права спадкування або не прийняли спадщину чи відмовилися від її прийняття;</w:t>
      </w:r>
    </w:p>
    <w:p>
      <w:pPr>
        <w:pStyle w:val="P3"/>
        <w:spacing w:before="0" w:after="0" w:beforeAutospacing="0" w:afterAutospacing="0"/>
        <w:jc w:val="both"/>
        <w:rPr>
          <w:color w:val="252525"/>
          <w:sz w:val="28"/>
          <w:szCs w:val="28"/>
        </w:rPr>
      </w:pPr>
      <w:bookmarkStart w:id="0" w:name="_Hlk198032616"/>
      <w:r>
        <w:rPr>
          <w:color w:val="252525"/>
          <w:sz w:val="28"/>
          <w:szCs w:val="28"/>
        </w:rPr>
        <w:t xml:space="preserve">- уповноважений орган щодо </w:t>
      </w:r>
      <w:bookmarkEnd w:id="0"/>
      <w:r>
        <w:rPr>
          <w:color w:val="252525"/>
          <w:sz w:val="28"/>
          <w:szCs w:val="28"/>
        </w:rPr>
        <w:t>безхазяйного майна – у</w:t>
      </w:r>
      <w:r>
        <w:rPr>
          <w:sz w:val="28"/>
          <w:szCs w:val="28"/>
        </w:rPr>
        <w:t xml:space="preserve">правління обліку та контролю за використанням комунального майна Тернопільської </w:t>
      </w:r>
      <w:r>
        <w:rPr>
          <w:color w:val="252525"/>
          <w:sz w:val="28"/>
          <w:szCs w:val="28"/>
        </w:rPr>
        <w:t>міської ради;</w:t>
      </w:r>
    </w:p>
    <w:p>
      <w:pPr>
        <w:pStyle w:val="P3"/>
        <w:spacing w:before="0" w:after="0" w:beforeAutospacing="0" w:afterAutospacing="0"/>
        <w:jc w:val="both"/>
        <w:rPr>
          <w:color w:val="252525"/>
          <w:sz w:val="28"/>
          <w:szCs w:val="28"/>
        </w:rPr>
      </w:pPr>
      <w:r>
        <w:rPr>
          <w:color w:val="252525"/>
          <w:sz w:val="28"/>
          <w:szCs w:val="28"/>
        </w:rPr>
        <w:t xml:space="preserve">- уповноважений орган щодо відумерлої спадщини – управління правового забезпечення </w:t>
      </w:r>
      <w:r>
        <w:rPr>
          <w:sz w:val="28"/>
          <w:szCs w:val="28"/>
        </w:rPr>
        <w:t xml:space="preserve">Тернопільської </w:t>
      </w:r>
      <w:r>
        <w:rPr>
          <w:color w:val="252525"/>
          <w:sz w:val="28"/>
          <w:szCs w:val="28"/>
        </w:rPr>
        <w:t>міської ради;</w:t>
      </w:r>
    </w:p>
    <w:p>
      <w:pPr>
        <w:pStyle w:val="P3"/>
        <w:spacing w:before="0" w:after="0" w:beforeAutospacing="0" w:afterAutospacing="0"/>
        <w:jc w:val="both"/>
        <w:rPr>
          <w:color w:val="252525"/>
          <w:sz w:val="28"/>
          <w:szCs w:val="28"/>
        </w:rPr>
      </w:pPr>
      <w:r>
        <w:rPr>
          <w:color w:val="252525"/>
          <w:sz w:val="28"/>
          <w:szCs w:val="28"/>
        </w:rPr>
        <w:t>- нерухоме майно – будинки, гаражі, інші будівлі та споруди, переміщення яких є неможливим без знецінення і зміни їх призначення та земельні ділянки;</w:t>
      </w:r>
      <w:r>
        <w:rPr>
          <w:color w:val="252525"/>
          <w:sz w:val="28"/>
          <w:szCs w:val="28"/>
        </w:rPr>
        <w:br w:type="textWrapping"/>
      </w:r>
      <w:r>
        <w:rPr>
          <w:color w:val="252525"/>
          <w:sz w:val="28"/>
          <w:szCs w:val="28"/>
        </w:rPr>
        <w:t>- рухоме майно – матеріальні обʼєкти, які можуть бути переміщеними без заподіяння їм шкоди. До рухомого майна належить майно у матеріальній формі, яке не є нерухомістю (стаціонарні малі архітектурні форми, спеціальні конструкції зовнішньої реклами, тощо).</w:t>
      </w:r>
    </w:p>
    <w:p>
      <w:pPr>
        <w:pStyle w:val="P3"/>
        <w:spacing w:before="0" w:after="0" w:beforeAutospacing="0" w:afterAutospacing="0"/>
        <w:jc w:val="both"/>
        <w:rPr>
          <w:color w:val="252525"/>
          <w:sz w:val="28"/>
          <w:szCs w:val="28"/>
        </w:rPr>
      </w:pPr>
      <w:r>
        <w:rPr>
          <w:color w:val="252525"/>
          <w:sz w:val="28"/>
          <w:szCs w:val="28"/>
        </w:rPr>
        <w:t>1.3.Дія цього Положення поширюється на нерухоме майно, право на яке підлягає державній реєстрації, що не має власника або власник якого невідомий та майно, власник якого помер, а спадкоємці за заповітом і за законом відсутні чи усунуті від права спадкування або не прийняли спадщину чи відмовилися від її прийняття.</w:t>
      </w:r>
    </w:p>
    <w:p>
      <w:pPr>
        <w:pStyle w:val="P3"/>
        <w:spacing w:before="0" w:after="0" w:beforeAutospacing="0" w:afterAutospacing="0"/>
        <w:jc w:val="both"/>
        <w:rPr>
          <w:color w:val="252525"/>
          <w:sz w:val="28"/>
          <w:szCs w:val="28"/>
        </w:rPr>
      </w:pPr>
      <w:r>
        <w:rPr>
          <w:color w:val="252525"/>
          <w:sz w:val="28"/>
          <w:szCs w:val="28"/>
        </w:rPr>
        <w:t>1.4.Не може бути визнано безхазяйним майно</w:t>
      </w:r>
      <w:r>
        <w:rPr>
          <w:sz w:val="28"/>
          <w:szCs w:val="28"/>
        </w:rPr>
        <w:t xml:space="preserve"> власник якого відомий, але невідомо, де він знаходиться, а також майно, яким користуються члени сім’ї, родичі власника чи яким управляють особи за дорученням власника. </w:t>
      </w:r>
    </w:p>
    <w:p>
      <w:pPr>
        <w:pStyle w:val="P3"/>
        <w:spacing w:before="0" w:after="0" w:beforeAutospacing="0" w:afterAutospacing="0"/>
        <w:jc w:val="both"/>
        <w:rPr>
          <w:color w:val="252525"/>
          <w:sz w:val="28"/>
          <w:szCs w:val="28"/>
        </w:rPr>
      </w:pPr>
      <w:r>
        <w:rPr>
          <w:sz w:val="28"/>
          <w:szCs w:val="28"/>
        </w:rPr>
        <w:t>1.5.</w:t>
      </w:r>
      <w:r>
        <w:rPr>
          <w:color w:val="252525"/>
          <w:sz w:val="28"/>
          <w:szCs w:val="28"/>
        </w:rPr>
        <w:t>Майно, яке фактично прийняте спадкоємцями, але право власності на яке не оформлене, відумерлою спадщиною не визнається.</w:t>
      </w:r>
    </w:p>
    <w:p>
      <w:pPr>
        <w:pStyle w:val="P3"/>
        <w:spacing w:before="0" w:after="0" w:beforeAutospacing="0" w:afterAutospacing="0"/>
        <w:jc w:val="both"/>
        <w:rPr>
          <w:color w:val="252525"/>
          <w:sz w:val="28"/>
          <w:szCs w:val="28"/>
        </w:rPr>
      </w:pPr>
    </w:p>
    <w:p>
      <w:pPr>
        <w:pStyle w:val="P3"/>
        <w:spacing w:before="0" w:after="0" w:beforeAutospacing="0" w:afterAutospacing="0"/>
        <w:ind w:firstLine="708"/>
        <w:jc w:val="both"/>
        <w:rPr>
          <w:color w:val="252525"/>
          <w:sz w:val="28"/>
          <w:szCs w:val="28"/>
        </w:rPr>
      </w:pPr>
    </w:p>
    <w:p>
      <w:pPr>
        <w:pStyle w:val="P3"/>
        <w:spacing w:before="0" w:after="0" w:beforeAutospacing="0" w:afterAutospacing="0"/>
        <w:ind w:firstLine="708"/>
        <w:jc w:val="both"/>
        <w:rPr>
          <w:color w:val="252525"/>
          <w:sz w:val="28"/>
          <w:szCs w:val="28"/>
        </w:rPr>
      </w:pPr>
    </w:p>
    <w:p>
      <w:pPr>
        <w:pStyle w:val="P3"/>
        <w:spacing w:before="0" w:after="0" w:beforeAutospacing="0" w:afterAutospacing="0"/>
        <w:ind w:firstLine="708"/>
        <w:jc w:val="both"/>
        <w:rPr>
          <w:color w:val="252525"/>
          <w:sz w:val="28"/>
          <w:szCs w:val="28"/>
        </w:rPr>
      </w:pPr>
    </w:p>
    <w:p>
      <w:pPr>
        <w:pStyle w:val="P3"/>
        <w:spacing w:before="0" w:after="0" w:beforeAutospacing="0" w:afterAutospacing="0"/>
        <w:ind w:firstLine="708"/>
        <w:jc w:val="both"/>
        <w:rPr>
          <w:color w:val="252525"/>
          <w:sz w:val="28"/>
          <w:szCs w:val="28"/>
        </w:rPr>
      </w:pPr>
      <w:r>
        <w:rPr>
          <w:color w:val="252525"/>
          <w:sz w:val="28"/>
          <w:szCs w:val="28"/>
        </w:rPr>
        <w:t>2. Виявлення безхазяйного нерухомого майна та відумерлої спадщини</w:t>
      </w:r>
    </w:p>
    <w:p>
      <w:pPr>
        <w:pStyle w:val="P3"/>
        <w:spacing w:before="0" w:after="0" w:beforeAutospacing="0" w:afterAutospacing="0"/>
        <w:jc w:val="both"/>
        <w:rPr>
          <w:color w:val="252525"/>
          <w:sz w:val="28"/>
          <w:szCs w:val="28"/>
        </w:rPr>
      </w:pPr>
      <w:r>
        <w:rPr>
          <w:color w:val="252525"/>
          <w:sz w:val="28"/>
          <w:szCs w:val="28"/>
        </w:rPr>
        <w:t xml:space="preserve">2.1.Юридичні чи фізичні особи, яким стало відомо про нерухоме майно, що не має власника або власник якого невідомий чи яке ніким не успадковане, зобов’язані повідомити про таке майно Тернопільську </w:t>
      </w:r>
      <w:r>
        <w:rPr>
          <w:smallCaps w:val="0"/>
          <w:color w:val="252525"/>
          <w:sz w:val="28"/>
          <w:szCs w:val="22"/>
          <w:cs w:val="0"/>
          <w:spacing w:val="0"/>
          <w:w w:val="100"/>
          <w:position w:val="0"/>
          <w:snapToGrid w:val="1"/>
        </w:rPr>
        <w:t xml:space="preserve">міську </w:t>
      </w:r>
      <w:r>
        <w:rPr>
          <w:color w:val="252525"/>
          <w:sz w:val="28"/>
          <w:szCs w:val="28"/>
        </w:rPr>
        <w:t>раду чи уповноважений орган.</w:t>
      </w:r>
    </w:p>
    <w:p>
      <w:pPr>
        <w:pStyle w:val="P3"/>
        <w:spacing w:before="0" w:after="0" w:beforeAutospacing="0" w:afterAutospacing="0"/>
        <w:jc w:val="both"/>
        <w:rPr>
          <w:color w:val="252525"/>
          <w:sz w:val="28"/>
          <w:szCs w:val="28"/>
        </w:rPr>
      </w:pPr>
      <w:r>
        <w:rPr>
          <w:color w:val="252525"/>
          <w:sz w:val="28"/>
          <w:szCs w:val="28"/>
        </w:rPr>
        <w:t xml:space="preserve"> 2.2.Юридичні особи та суб’єкти підприємницької діяльності, що здійснюють діяльність  по обслуговуванню комунального житлового фонду, житлово-будівельні кооперативи, об’єднання співвласників багатоквартирних будинків зобов’язані відповідно до своїх повноважень вживати заходи щодо виявлення об’єктів, які утримуються безгосподарно та направляти до уповноваженого органу перелік таких об’єктів із зазначенням адреси (місцезнаходження), прізвища, імені, по батькові попереднього власника, його дати народження та смерті (якщо такі відомості відомі у випадку виявлення майна, що містить ознаки відумерлої спадщини), інших суттєвих обставин.</w:t>
      </w:r>
    </w:p>
    <w:p>
      <w:pPr>
        <w:pStyle w:val="P3"/>
        <w:spacing w:before="0" w:after="0" w:beforeAutospacing="0" w:afterAutospacing="0"/>
        <w:jc w:val="both"/>
        <w:rPr>
          <w:color w:val="252525"/>
          <w:sz w:val="28"/>
          <w:szCs w:val="28"/>
        </w:rPr>
      </w:pPr>
      <w:r>
        <w:rPr>
          <w:color w:val="252525"/>
          <w:sz w:val="28"/>
          <w:szCs w:val="28"/>
        </w:rPr>
        <w:t xml:space="preserve">2.3.Після одержання повідомлення про наявність безхазяйного майна чи відумерлої спадщини </w:t>
      </w:r>
      <w:bookmarkStart w:id="1" w:name="_Hlk202776895"/>
      <w:r>
        <w:rPr>
          <w:color w:val="252525"/>
          <w:sz w:val="28"/>
          <w:szCs w:val="28"/>
        </w:rPr>
        <w:t xml:space="preserve">уповноважений орган </w:t>
      </w:r>
      <w:bookmarkEnd w:id="1"/>
      <w:r>
        <w:rPr>
          <w:color w:val="252525"/>
          <w:sz w:val="28"/>
          <w:szCs w:val="28"/>
        </w:rPr>
        <w:t xml:space="preserve">здійснює всебічний та об’єктивний аналіз отриманої інформації для з’ясування наявності підстав вважати нерухоме майно безхазяйним чи відумерлим та  звертається до органу державної реєстрації прав за місцезнаходження майна з заявою про взяття цього майна на облік у порядку передбаченому законодавством.  </w:t>
      </w:r>
    </w:p>
    <w:p>
      <w:pPr>
        <w:pStyle w:val="P3"/>
        <w:spacing w:before="0" w:after="0" w:beforeAutospacing="0" w:afterAutospacing="0"/>
        <w:ind w:firstLine="708"/>
        <w:jc w:val="both"/>
        <w:rPr>
          <w:color w:val="252525"/>
          <w:sz w:val="28"/>
          <w:szCs w:val="28"/>
        </w:rPr>
      </w:pPr>
      <w:r>
        <w:rPr>
          <w:color w:val="252525"/>
          <w:sz w:val="28"/>
          <w:szCs w:val="28"/>
        </w:rPr>
        <w:t xml:space="preserve">З цією метою </w:t>
      </w:r>
      <w:bookmarkStart w:id="2" w:name="_Hlk227750344"/>
      <w:r>
        <w:rPr>
          <w:color w:val="252525"/>
          <w:sz w:val="28"/>
          <w:szCs w:val="28"/>
        </w:rPr>
        <w:t>уповноважений орган отримує інформацію про зареєстровані права та їх обтяження, що містяться у Державному реєстрі речових прав на нерухоме майно, стосовно відповідного нерухомого майна та земельної ділянки, на якій воно розташоване.</w:t>
      </w:r>
    </w:p>
    <w:p>
      <w:pPr>
        <w:pStyle w:val="P3"/>
        <w:spacing w:before="0" w:after="0" w:beforeAutospacing="0" w:afterAutospacing="0"/>
        <w:ind w:left="720"/>
        <w:jc w:val="both"/>
        <w:rPr>
          <w:color w:val="252525"/>
          <w:sz w:val="28"/>
          <w:szCs w:val="28"/>
        </w:rPr>
      </w:pPr>
      <w:bookmarkEnd w:id="2"/>
      <w:r>
        <w:rPr>
          <w:color w:val="252525"/>
          <w:sz w:val="28"/>
          <w:szCs w:val="28"/>
        </w:rPr>
        <w:t xml:space="preserve">У разі необхідності,  уповноважений орган звертається до:</w:t>
      </w:r>
    </w:p>
    <w:p>
      <w:pPr>
        <w:pStyle w:val="P3"/>
        <w:numPr>
          <w:ilvl w:val="0"/>
          <w:numId w:val="1"/>
        </w:numPr>
        <w:spacing w:before="0" w:after="0" w:beforeAutospacing="0" w:afterAutospacing="0"/>
        <w:ind w:firstLine="0" w:left="0"/>
        <w:jc w:val="both"/>
        <w:rPr>
          <w:color w:val="252525"/>
          <w:sz w:val="28"/>
          <w:szCs w:val="28"/>
        </w:rPr>
      </w:pPr>
      <w:bookmarkStart w:id="3" w:name="_Hlk227749951"/>
      <w:r>
        <w:rPr>
          <w:color w:val="252525"/>
          <w:sz w:val="28"/>
          <w:szCs w:val="28"/>
        </w:rPr>
        <w:t>відповідного бюро технічної інвентаризації із запитом про отримання інформації щодо проведення державної реєстрації речових прав та їх обтяжень на відповідне майно у період до 1 січня 2013 року;</w:t>
      </w:r>
    </w:p>
    <w:p>
      <w:pPr>
        <w:pStyle w:val="P3"/>
        <w:numPr>
          <w:ilvl w:val="0"/>
          <w:numId w:val="1"/>
        </w:numPr>
        <w:spacing w:before="0" w:after="0" w:beforeAutospacing="0" w:afterAutospacing="0"/>
        <w:ind w:firstLine="0" w:left="0"/>
        <w:jc w:val="both"/>
        <w:rPr>
          <w:color w:val="252525"/>
          <w:sz w:val="28"/>
          <w:szCs w:val="28"/>
        </w:rPr>
      </w:pPr>
      <w:bookmarkEnd w:id="3"/>
      <w:r>
        <w:rPr>
          <w:color w:val="252525"/>
          <w:sz w:val="28"/>
          <w:szCs w:val="28"/>
        </w:rPr>
        <w:t>відповідних територіальних органів – щодо зареєстрованих до 1 січня 2013 року прав на земельні ділянки, на яких розташоване нерухоме майно;</w:t>
      </w:r>
    </w:p>
    <w:p>
      <w:pPr>
        <w:pStyle w:val="P3"/>
        <w:numPr>
          <w:ilvl w:val="0"/>
          <w:numId w:val="1"/>
        </w:numPr>
        <w:spacing w:before="0" w:after="0" w:beforeAutospacing="0" w:afterAutospacing="0"/>
        <w:ind w:firstLine="0" w:left="0"/>
        <w:jc w:val="both"/>
        <w:rPr>
          <w:color w:val="252525"/>
          <w:sz w:val="28"/>
          <w:szCs w:val="28"/>
        </w:rPr>
      </w:pPr>
      <w:r>
        <w:rPr>
          <w:color w:val="252525"/>
          <w:sz w:val="28"/>
          <w:szCs w:val="28"/>
        </w:rPr>
        <w:t xml:space="preserve">регіонального відділення Фонду державного майна України – щодо інформації про наявність / відсутність відомостей про об’єкт нерухомого майна  у Єдиному реєстрі об’єктів державної власності;</w:t>
      </w:r>
    </w:p>
    <w:p>
      <w:pPr>
        <w:pStyle w:val="P3"/>
        <w:numPr>
          <w:ilvl w:val="0"/>
          <w:numId w:val="1"/>
        </w:numPr>
        <w:spacing w:before="0" w:after="0" w:beforeAutospacing="0" w:afterAutospacing="0"/>
        <w:ind w:firstLine="0" w:left="0"/>
        <w:jc w:val="both"/>
        <w:rPr>
          <w:color w:val="252525"/>
          <w:sz w:val="28"/>
          <w:szCs w:val="28"/>
        </w:rPr>
      </w:pPr>
      <w:r>
        <w:rPr>
          <w:color w:val="252525"/>
          <w:sz w:val="28"/>
          <w:szCs w:val="28"/>
        </w:rPr>
        <w:t xml:space="preserve">інших органів, фізичних та юридичних осіб, незалежно від форми власності та підпорядкування, зокрема об’єднань співвласників, управителів багатоквартирних будинків, органів самоорганізації населення та ін, щодо отримання інформації необхідної для визнання майна безхазяйним чи спадщини відумерлою. </w:t>
      </w:r>
    </w:p>
    <w:p>
      <w:pPr>
        <w:pStyle w:val="P3"/>
        <w:spacing w:before="0" w:after="0" w:beforeAutospacing="0" w:afterAutospacing="0"/>
        <w:ind w:firstLine="708"/>
        <w:jc w:val="both"/>
        <w:rPr>
          <w:color w:val="252525"/>
          <w:sz w:val="28"/>
          <w:szCs w:val="28"/>
        </w:rPr>
      </w:pPr>
      <w:r>
        <w:rPr>
          <w:color w:val="252525"/>
          <w:sz w:val="28"/>
          <w:szCs w:val="28"/>
        </w:rPr>
        <w:t>З метою встановлення можливих власників, спадкоємців чи правонаступників нерухомого майна, що може бути визнане безхазяйним майном чи відумерлою спадщиною, уповноважений орган використовує дані відкритих електронних реєстрів до яких у встановленому законодавством порядку отримано доступ.</w:t>
      </w:r>
    </w:p>
    <w:p>
      <w:pPr>
        <w:pStyle w:val="P3"/>
        <w:spacing w:before="0" w:after="0" w:beforeAutospacing="0" w:afterAutospacing="0"/>
        <w:jc w:val="both"/>
        <w:rPr>
          <w:color w:val="252525"/>
          <w:sz w:val="28"/>
          <w:szCs w:val="28"/>
        </w:rPr>
      </w:pPr>
      <w:r>
        <w:rPr>
          <w:color w:val="252525"/>
          <w:sz w:val="28"/>
          <w:szCs w:val="28"/>
        </w:rPr>
        <w:t xml:space="preserve">2.4.У ході здійснення підготовчих заходів по прийняттю на облік безхазяйного нерухомого майна чи відумерлої спадщини уповноважений орган організовує комісійне обстеження виявленого майна із залученням представників  відповідних служб, у процесі якого вирішуються питання:</w:t>
      </w:r>
    </w:p>
    <w:p>
      <w:pPr>
        <w:pStyle w:val="P3"/>
        <w:spacing w:before="0" w:after="0" w:beforeAutospacing="0" w:afterAutospacing="0"/>
        <w:jc w:val="both"/>
        <w:rPr>
          <w:color w:val="252525"/>
          <w:sz w:val="28"/>
          <w:szCs w:val="28"/>
        </w:rPr>
      </w:pPr>
      <w:r>
        <w:rPr>
          <w:color w:val="252525"/>
          <w:sz w:val="28"/>
          <w:szCs w:val="28"/>
        </w:rPr>
        <w:t>- технічного стану об'єкта;</w:t>
      </w:r>
    </w:p>
    <w:p>
      <w:pPr>
        <w:pStyle w:val="P3"/>
        <w:spacing w:before="0" w:after="0" w:beforeAutospacing="0" w:afterAutospacing="0"/>
        <w:jc w:val="both"/>
        <w:rPr>
          <w:color w:val="252525"/>
          <w:sz w:val="28"/>
          <w:szCs w:val="28"/>
        </w:rPr>
      </w:pPr>
      <w:r>
        <w:rPr>
          <w:color w:val="252525"/>
          <w:sz w:val="28"/>
          <w:szCs w:val="28"/>
        </w:rPr>
        <w:t>- можливості використання об'єкта згідно із його функціональним призначенням; для об'єктів житлового фонду – придатність для проживання;</w:t>
      </w:r>
      <w:r>
        <w:rPr>
          <w:color w:val="252525"/>
          <w:sz w:val="28"/>
          <w:szCs w:val="28"/>
        </w:rPr>
        <w:br w:type="textWrapping"/>
      </w:r>
      <w:r>
        <w:rPr>
          <w:color w:val="252525"/>
          <w:sz w:val="28"/>
          <w:szCs w:val="28"/>
        </w:rPr>
        <w:t>- пропозицій щодо подальшого використання об'єкта;</w:t>
      </w:r>
    </w:p>
    <w:p>
      <w:pPr>
        <w:pStyle w:val="P3"/>
        <w:spacing w:before="0" w:after="0" w:beforeAutospacing="0" w:afterAutospacing="0"/>
        <w:jc w:val="both"/>
        <w:rPr>
          <w:color w:val="252525"/>
          <w:sz w:val="28"/>
          <w:szCs w:val="28"/>
        </w:rPr>
      </w:pPr>
      <w:r>
        <w:rPr>
          <w:color w:val="252525"/>
          <w:sz w:val="28"/>
          <w:szCs w:val="28"/>
        </w:rPr>
        <w:t>- у разі необхідності в 30-ти денний термін проводить технічну інвентаризацію, виготовляє інвентарну справу;</w:t>
      </w:r>
    </w:p>
    <w:p>
      <w:pPr>
        <w:pStyle w:val="P3"/>
        <w:spacing w:before="0" w:after="0" w:beforeAutospacing="0" w:afterAutospacing="0"/>
        <w:jc w:val="both"/>
        <w:rPr>
          <w:color w:val="252525"/>
          <w:sz w:val="28"/>
          <w:szCs w:val="28"/>
        </w:rPr>
      </w:pPr>
      <w:r>
        <w:rPr>
          <w:color w:val="252525"/>
          <w:sz w:val="28"/>
          <w:szCs w:val="28"/>
        </w:rPr>
        <w:t xml:space="preserve"> - при необхідності, управління з питань містобудування та архітектури Тернопільської міської ради присвоює безхазяйному об'єкту поштову адресу (адресний номер).</w:t>
      </w:r>
    </w:p>
    <w:p>
      <w:pPr>
        <w:pStyle w:val="P3"/>
        <w:spacing w:before="0" w:after="0" w:beforeAutospacing="0" w:afterAutospacing="0"/>
        <w:jc w:val="both"/>
        <w:rPr>
          <w:color w:val="252525"/>
          <w:sz w:val="28"/>
          <w:szCs w:val="28"/>
        </w:rPr>
      </w:pPr>
      <w:r>
        <w:rPr>
          <w:color w:val="252525"/>
          <w:sz w:val="28"/>
          <w:szCs w:val="28"/>
        </w:rPr>
        <w:t xml:space="preserve">          Перелік документів необхідний для присвоєння поштової адреси (адресного номера):</w:t>
      </w:r>
    </w:p>
    <w:p>
      <w:pPr>
        <w:pStyle w:val="P3"/>
        <w:spacing w:before="0" w:after="0" w:beforeAutospacing="0" w:afterAutospacing="0"/>
        <w:jc w:val="both"/>
        <w:rPr>
          <w:color w:val="252525"/>
          <w:sz w:val="28"/>
          <w:szCs w:val="28"/>
        </w:rPr>
      </w:pPr>
      <w:r>
        <w:rPr>
          <w:color w:val="252525"/>
          <w:sz w:val="28"/>
          <w:szCs w:val="28"/>
        </w:rPr>
        <w:t>- заява уповноваженого органу щодо присвоєння адресного номеру обʼєкту нерухомості;</w:t>
      </w:r>
    </w:p>
    <w:p>
      <w:pPr>
        <w:pStyle w:val="P3"/>
        <w:spacing w:before="0" w:after="0" w:beforeAutospacing="0" w:afterAutospacing="0"/>
        <w:jc w:val="both"/>
        <w:rPr>
          <w:color w:val="252525"/>
          <w:sz w:val="28"/>
          <w:szCs w:val="28"/>
        </w:rPr>
      </w:pPr>
      <w:r>
        <w:rPr>
          <w:color w:val="252525"/>
          <w:sz w:val="28"/>
          <w:szCs w:val="28"/>
        </w:rPr>
        <w:t>- інвентаризаційна справа на об’єкт;</w:t>
      </w:r>
    </w:p>
    <w:p>
      <w:pPr>
        <w:pStyle w:val="P3"/>
        <w:spacing w:before="0" w:after="0" w:beforeAutospacing="0" w:afterAutospacing="0"/>
        <w:jc w:val="both"/>
        <w:rPr>
          <w:color w:val="252525"/>
          <w:sz w:val="28"/>
          <w:szCs w:val="28"/>
        </w:rPr>
      </w:pPr>
      <w:r>
        <w:rPr>
          <w:color w:val="252525"/>
          <w:sz w:val="28"/>
          <w:szCs w:val="28"/>
        </w:rPr>
        <w:t>- довідка (пропозиція) щодо присвоєння номера обʼєкту.</w:t>
      </w:r>
    </w:p>
    <w:p>
      <w:pPr>
        <w:pStyle w:val="P3"/>
        <w:spacing w:before="0" w:after="0" w:beforeAutospacing="0" w:afterAutospacing="0"/>
        <w:ind w:firstLine="708"/>
        <w:jc w:val="both"/>
        <w:rPr>
          <w:color w:val="252525"/>
          <w:sz w:val="28"/>
          <w:szCs w:val="28"/>
        </w:rPr>
      </w:pPr>
      <w:r>
        <w:rPr>
          <w:color w:val="252525"/>
          <w:sz w:val="28"/>
          <w:szCs w:val="28"/>
        </w:rPr>
        <w:t>Надання пропозицій щодо присвоєння адресних номерів на обʼєкти безхазяйного майна здійснюється в 10-ти денний термін на підставі запиту уповноваженого органу до юридичних осіб, що обслуговують житловий фонд.</w:t>
      </w:r>
    </w:p>
    <w:p>
      <w:pPr>
        <w:pStyle w:val="P3"/>
        <w:spacing w:before="0" w:after="0" w:beforeAutospacing="0" w:afterAutospacing="0"/>
        <w:jc w:val="both"/>
        <w:rPr>
          <w:color w:val="252525"/>
          <w:sz w:val="28"/>
          <w:szCs w:val="28"/>
        </w:rPr>
      </w:pPr>
      <w:r>
        <w:rPr>
          <w:color w:val="252525"/>
          <w:sz w:val="28"/>
          <w:szCs w:val="28"/>
        </w:rPr>
        <w:t>2.5.Комісійне обстеження завершується складанням акта обстеження об'єкта із зазначенням:</w:t>
      </w:r>
    </w:p>
    <w:p>
      <w:pPr>
        <w:pStyle w:val="P3"/>
        <w:spacing w:before="0" w:after="0" w:beforeAutospacing="0" w:afterAutospacing="0"/>
        <w:jc w:val="both"/>
        <w:rPr>
          <w:color w:val="252525"/>
          <w:sz w:val="28"/>
          <w:szCs w:val="28"/>
        </w:rPr>
      </w:pPr>
      <w:r>
        <w:rPr>
          <w:color w:val="252525"/>
          <w:sz w:val="28"/>
          <w:szCs w:val="28"/>
        </w:rPr>
        <w:t xml:space="preserve">- місцезнаходження нерухомого майна, в тому числі наявність присвоєної адреси (якщо адреса відсутня, місцезнаходження визначається схематично із зазначенням адрес об’єктів нерухомого майна, що розташовані поруч, або кадастрових номерів земельних ділянок), </w:t>
      </w:r>
    </w:p>
    <w:p>
      <w:pPr>
        <w:pStyle w:val="P3"/>
        <w:spacing w:before="0" w:after="0" w:beforeAutospacing="0" w:afterAutospacing="0"/>
        <w:jc w:val="both"/>
        <w:rPr>
          <w:color w:val="252525"/>
          <w:sz w:val="28"/>
          <w:szCs w:val="28"/>
        </w:rPr>
      </w:pPr>
      <w:r>
        <w:rPr>
          <w:color w:val="252525"/>
          <w:sz w:val="28"/>
          <w:szCs w:val="28"/>
        </w:rPr>
        <w:t>- опис нерухомого майна, відомості про його технічний стан та інша інформація.</w:t>
      </w:r>
      <w:r>
        <w:rPr>
          <w:color w:val="252525"/>
          <w:sz w:val="28"/>
          <w:szCs w:val="28"/>
        </w:rPr>
        <w:br w:type="textWrapping"/>
      </w:r>
      <w:r>
        <w:rPr>
          <w:color w:val="252525"/>
          <w:sz w:val="28"/>
          <w:szCs w:val="28"/>
        </w:rPr>
        <w:t xml:space="preserve">2.6. Якщо у ході комісійного обстеження об'єкта житлового фонду буде встановлено його непридатність для проживання, комісія може надати пропозиції щодо використання такого будинку (приміщення) як нежитлового. </w:t>
      </w:r>
      <w:r>
        <w:rPr>
          <w:color w:val="252525"/>
          <w:sz w:val="28"/>
          <w:szCs w:val="28"/>
        </w:rPr>
        <w:br w:type="textWrapping"/>
      </w:r>
    </w:p>
    <w:p>
      <w:pPr>
        <w:pStyle w:val="P3"/>
        <w:spacing w:before="0" w:after="0" w:beforeAutospacing="0" w:afterAutospacing="0"/>
        <w:ind w:firstLine="708"/>
        <w:jc w:val="center"/>
        <w:rPr>
          <w:color w:val="252525"/>
          <w:sz w:val="28"/>
          <w:szCs w:val="28"/>
        </w:rPr>
      </w:pPr>
      <w:r>
        <w:rPr>
          <w:color w:val="252525"/>
          <w:sz w:val="28"/>
          <w:szCs w:val="28"/>
        </w:rPr>
        <w:t>3. Облік безхазяйного нерухомого майна</w:t>
      </w:r>
    </w:p>
    <w:p>
      <w:pPr>
        <w:pStyle w:val="P3"/>
        <w:spacing w:before="0" w:after="0" w:beforeAutospacing="0" w:afterAutospacing="0"/>
        <w:jc w:val="both"/>
        <w:rPr>
          <w:sz w:val="28"/>
          <w:szCs w:val="28"/>
        </w:rPr>
      </w:pPr>
      <w:r>
        <w:rPr>
          <w:sz w:val="28"/>
          <w:szCs w:val="28"/>
        </w:rPr>
        <w:t>3.1.Після комісійного обстеження об’єкта</w:t>
      </w:r>
      <w:bookmarkStart w:id="4" w:name="_GoBack"/>
      <w:bookmarkEnd w:id="4"/>
      <w:r>
        <w:rPr>
          <w:sz w:val="28"/>
          <w:szCs w:val="28"/>
        </w:rPr>
        <w:t xml:space="preserve">, за наявності достатніх підстав вважати майно безхазяйним, уповноважений орган направляє до державного реєстратора заяву про взяття безхазяйного нерухомого майна на облік.  3.2.Взяття на облік безхазяйного нерухомого майна державним реєстратором здійснюється у день прийняття відповідної заяви. Датою та часом взяття на облік безхазяйного нерухомого майна вважаються дата та час реєстрації відповідної заяви, за результатом розгляду якої державним реєстратором прийнято рішення щодо взяття на облік безхазяйного нерухомого майна.</w:t>
      </w:r>
    </w:p>
    <w:p>
      <w:pPr>
        <w:pStyle w:val="P3"/>
        <w:spacing w:before="0" w:after="0" w:beforeAutospacing="0" w:afterAutospacing="0"/>
        <w:ind w:firstLine="708"/>
        <w:jc w:val="both"/>
        <w:rPr>
          <w:sz w:val="28"/>
          <w:szCs w:val="28"/>
          <w:lang w:val="ru-RU"/>
        </w:rPr>
      </w:pPr>
      <w:r>
        <w:rPr>
          <w:sz w:val="28"/>
          <w:szCs w:val="28"/>
        </w:rPr>
        <w:t xml:space="preserve">  Якщо за результатом розгляду державним реєстратором поданої заяви про взяття на облік безхазяйного нерухомого майна прийнято рішення про взяття його на облік шляхом внесення відповідних відомостей до спеціального розділу Державного реєстру прав на нерухоме майно, </w:t>
      </w:r>
      <w:r>
        <w:rPr>
          <w:sz w:val="28"/>
          <w:szCs w:val="28"/>
          <w:lang w:val="ru-RU"/>
        </w:rPr>
        <w:t>уповноваженим органом направляється пропозиція до відповідного виконавчого органу міської ради про забезпечення розміщення у друкованих медіа та/або на офіційному вебсайті Тернопільської міської ради оголошення про взяття такого безхазяйного нерухомого майна на облік.</w:t>
      </w:r>
    </w:p>
    <w:p>
      <w:pPr>
        <w:pStyle w:val="P3"/>
        <w:spacing w:before="0" w:after="0" w:beforeAutospacing="0" w:afterAutospacing="0"/>
        <w:ind w:firstLine="708"/>
        <w:jc w:val="both"/>
        <w:rPr>
          <w:sz w:val="28"/>
          <w:szCs w:val="28"/>
        </w:rPr>
      </w:pPr>
      <w:r>
        <w:rPr>
          <w:sz w:val="28"/>
          <w:szCs w:val="28"/>
          <w:lang w:val="ru-RU"/>
        </w:rPr>
        <w:t>В оголошенні про взяття на облік безхазяйного нерухомого майна вказується дата взяття державним реєстратором безхазяйного нерухомого майна на облік та інформація про намір Тернопільської міської ради звернутися до суду з заявою про передачу безхазяйного нерухомого майна у комунальну власність Тернопільської міської територіальної громади, у випадку відсутності щодо такого нерухомого майна відомостей про власників, спадкоємців, правонаступників та підтверджуючих документів про право власності чи правонаступництва щодо нього.</w:t>
      </w:r>
    </w:p>
    <w:p>
      <w:pPr>
        <w:pStyle w:val="P3"/>
        <w:spacing w:before="0" w:after="0" w:beforeAutospacing="0" w:afterAutospacing="0"/>
        <w:jc w:val="both"/>
        <w:rPr>
          <w:color w:val="252525"/>
          <w:sz w:val="28"/>
          <w:szCs w:val="28"/>
        </w:rPr>
      </w:pPr>
      <w:r>
        <w:rPr>
          <w:color w:val="252525"/>
          <w:sz w:val="28"/>
          <w:szCs w:val="28"/>
        </w:rPr>
        <w:t>3.3.У випадку, якщо в строк встановлений в оголошені про взяття на облік безхазяйного нерухомого майна, до Тернопільської міської ради звертається особа з документами, що підтверджують її право власності на це майно, така особа відшкодовує витрати, пов’язані з його утриманням, збереженням, виготовленням на нього відповідної технічної документації, публікації оголошення, тощо.</w:t>
      </w:r>
    </w:p>
    <w:p>
      <w:pPr>
        <w:pStyle w:val="P3"/>
        <w:spacing w:before="0" w:after="0" w:beforeAutospacing="0" w:afterAutospacing="0"/>
        <w:jc w:val="both"/>
        <w:rPr>
          <w:color w:val="252525"/>
          <w:sz w:val="28"/>
          <w:szCs w:val="28"/>
        </w:rPr>
      </w:pPr>
      <w:r>
        <w:rPr>
          <w:color w:val="252525"/>
          <w:sz w:val="28"/>
          <w:szCs w:val="28"/>
        </w:rPr>
        <w:t>3.4.Після спливу одного року з дня взяття на облік безхазяйного майна, уповноважений орган готує заяву до суду про передачу майна у комунальну власність Тернопільської міської територіальної громади.</w:t>
      </w:r>
    </w:p>
    <w:p>
      <w:pPr>
        <w:pStyle w:val="P3"/>
        <w:spacing w:before="0" w:after="0" w:beforeAutospacing="0" w:afterAutospacing="0"/>
        <w:jc w:val="both"/>
        <w:rPr>
          <w:color w:val="252525"/>
          <w:sz w:val="28"/>
          <w:szCs w:val="28"/>
        </w:rPr>
      </w:pPr>
    </w:p>
    <w:p>
      <w:pPr>
        <w:pStyle w:val="P3"/>
        <w:spacing w:before="0" w:after="0" w:beforeAutospacing="0" w:afterAutospacing="0"/>
        <w:ind w:firstLine="708"/>
        <w:jc w:val="center"/>
        <w:rPr>
          <w:color w:val="252525"/>
          <w:sz w:val="28"/>
          <w:szCs w:val="28"/>
        </w:rPr>
      </w:pPr>
      <w:r>
        <w:rPr>
          <w:color w:val="252525"/>
          <w:sz w:val="28"/>
          <w:szCs w:val="28"/>
        </w:rPr>
        <w:t>4. Облік відумерлої спадщини</w:t>
      </w:r>
    </w:p>
    <w:p>
      <w:pPr>
        <w:pStyle w:val="P3"/>
        <w:spacing w:before="0" w:after="0" w:beforeAutospacing="0" w:afterAutospacing="0"/>
        <w:jc w:val="both"/>
        <w:rPr>
          <w:color w:val="252525"/>
          <w:sz w:val="28"/>
          <w:szCs w:val="28"/>
        </w:rPr>
      </w:pPr>
      <w:r>
        <w:rPr>
          <w:color w:val="252525"/>
          <w:sz w:val="28"/>
          <w:szCs w:val="28"/>
        </w:rPr>
        <w:t xml:space="preserve">4.1.Об'єкти відумерлої спадщини беруться на облік уповноваженим органом після надходження інформації про відсутність спадкоємців за заповітом і за законом. Підтвердженням цього може бути заява сусідів,  акт опитування мешканців суміжних квартир (домоволодінь), тощо, інформація виконавчих органів міської ради. </w:t>
      </w:r>
    </w:p>
    <w:p>
      <w:pPr>
        <w:pStyle w:val="P3"/>
        <w:spacing w:before="0" w:after="0" w:beforeAutospacing="0" w:afterAutospacing="0"/>
        <w:ind w:firstLine="708"/>
        <w:jc w:val="both"/>
        <w:rPr>
          <w:color w:val="252525"/>
          <w:sz w:val="28"/>
          <w:szCs w:val="28"/>
        </w:rPr>
      </w:pPr>
      <w:r>
        <w:rPr>
          <w:color w:val="252525"/>
          <w:sz w:val="28"/>
          <w:szCs w:val="28"/>
        </w:rPr>
        <w:t>Якщо буде встановлено, що квартирою (будинком), іншим майном, заволоділи особи без належних правових підстав, така інформація з підтверджуючими документами негайно надається уповноваженому органу та правоохоронним органам.</w:t>
      </w:r>
    </w:p>
    <w:p>
      <w:pPr>
        <w:pStyle w:val="P3"/>
        <w:spacing w:before="0" w:after="0" w:beforeAutospacing="0" w:afterAutospacing="0"/>
        <w:jc w:val="both"/>
        <w:rPr>
          <w:color w:val="252525"/>
          <w:sz w:val="28"/>
          <w:szCs w:val="28"/>
        </w:rPr>
      </w:pPr>
      <w:r>
        <w:rPr>
          <w:color w:val="252525"/>
          <w:sz w:val="28"/>
          <w:szCs w:val="28"/>
        </w:rPr>
        <w:t xml:space="preserve">4.2.Якщо житлові будинки, квартири (або їх частки), інше майно,  утримуються безгосподарно, а їх власники відсутні понад три роки за місцем постійного проживання та відомості про місцеперебування таких осіб відсутні, уповноважений орган може ініціювати визнання фізичних осіб у судовому порядку померлими.</w:t>
      </w:r>
    </w:p>
    <w:p>
      <w:pPr>
        <w:pStyle w:val="P3"/>
        <w:spacing w:before="0" w:after="0" w:beforeAutospacing="0" w:afterAutospacing="0"/>
        <w:jc w:val="both"/>
        <w:rPr>
          <w:color w:val="252525"/>
          <w:sz w:val="28"/>
          <w:szCs w:val="28"/>
        </w:rPr>
      </w:pPr>
      <w:r>
        <w:rPr>
          <w:color w:val="252525"/>
          <w:sz w:val="28"/>
          <w:szCs w:val="28"/>
        </w:rPr>
        <w:t>4.3.Уповноважений орган при наявності інформації про відумерлу спадщину отримує інформацію про зареєстровані права та їх обтяження, що містяться у Державному реєстрі речових прав на нерухоме майно, стосовно відповідного нерухомого майна та земельної ділянки, на якій воно розташоване та звертається до інших органів згідно переліку визначеного у розділі 2 цього Положення.</w:t>
      </w:r>
    </w:p>
    <w:p>
      <w:pPr>
        <w:pStyle w:val="P3"/>
        <w:spacing w:before="0" w:after="0" w:beforeAutospacing="0" w:afterAutospacing="0"/>
        <w:ind w:firstLine="708"/>
        <w:jc w:val="both"/>
        <w:rPr>
          <w:color w:val="252525"/>
          <w:sz w:val="28"/>
          <w:szCs w:val="28"/>
        </w:rPr>
      </w:pPr>
      <w:r>
        <w:rPr>
          <w:color w:val="252525"/>
          <w:sz w:val="28"/>
          <w:szCs w:val="28"/>
        </w:rPr>
        <w:t xml:space="preserve">З метою виявлення спадкоємців чи підтвердження їх відсутності, уповноважений орган звертається  до  відділу державної реєстрації актів цивільного стану, щодо підтвердження факту смерті.</w:t>
      </w:r>
    </w:p>
    <w:p>
      <w:pPr>
        <w:pStyle w:val="P3"/>
        <w:spacing w:before="0" w:after="0" w:beforeAutospacing="0" w:afterAutospacing="0"/>
        <w:jc w:val="both"/>
        <w:rPr>
          <w:color w:val="252525"/>
          <w:sz w:val="28"/>
          <w:szCs w:val="28"/>
        </w:rPr>
      </w:pPr>
      <w:r>
        <w:rPr>
          <w:color w:val="252525"/>
          <w:sz w:val="28"/>
          <w:szCs w:val="28"/>
        </w:rPr>
        <w:t>4.4. Якщо після спливу одного року з часу відкриття спадщини спадкоємці не будуть виявлені, уповноважений орган здійснює правовий аналіз зібраних документів, готує заяву до суду про визнання спадщини відумерлою та про передачу майна у комунальну власність Тернопільської міської територіальної громади.</w:t>
      </w:r>
    </w:p>
    <w:p>
      <w:pPr>
        <w:pStyle w:val="P3"/>
        <w:spacing w:before="0" w:after="0" w:beforeAutospacing="0" w:afterAutospacing="0"/>
        <w:jc w:val="both"/>
        <w:rPr>
          <w:color w:val="252525"/>
          <w:sz w:val="28"/>
          <w:szCs w:val="28"/>
        </w:rPr>
      </w:pPr>
    </w:p>
    <w:p>
      <w:pPr>
        <w:pStyle w:val="P3"/>
        <w:spacing w:before="0" w:after="0" w:beforeAutospacing="0" w:afterAutospacing="0"/>
        <w:ind w:firstLine="708"/>
        <w:jc w:val="center"/>
        <w:rPr>
          <w:color w:val="252525"/>
          <w:sz w:val="28"/>
          <w:szCs w:val="28"/>
        </w:rPr>
      </w:pPr>
      <w:r>
        <w:rPr>
          <w:color w:val="252525"/>
          <w:sz w:val="28"/>
          <w:szCs w:val="28"/>
        </w:rPr>
        <w:t>5.Використання безхазяйного нерухомого майна та об'єктів відумерлої спадщини під час їх перебування на обліку</w:t>
      </w:r>
    </w:p>
    <w:p>
      <w:pPr>
        <w:pStyle w:val="P2"/>
        <w:jc w:val="both"/>
        <w:rPr>
          <w:rFonts w:ascii="Times New Roman" w:hAnsi="Times New Roman"/>
          <w:sz w:val="28"/>
          <w:szCs w:val="28"/>
        </w:rPr>
      </w:pPr>
      <w:r>
        <w:rPr>
          <w:rFonts w:ascii="Times New Roman" w:hAnsi="Times New Roman"/>
          <w:sz w:val="28"/>
          <w:szCs w:val="28"/>
        </w:rPr>
        <w:t xml:space="preserve">5.1.Відповідно до вимог  Цивільного Кодексу України, якщо у складі спадщини є майно,  яке  потребує  утримання, догляду, вчинення інших фактичних чи юридичних дій для підтримання його в належному стані,  нотаріус за поданням уповноваженого органу, у разі відсутності спадкоємців або виконавця заповіту, може укласти  договір на управління спадщиною з іншою особою.</w:t>
      </w:r>
      <w:bookmarkStart w:id="5" w:name="5770"/>
      <w:bookmarkEnd w:id="5"/>
      <w:r>
        <w:rPr>
          <w:rFonts w:ascii="Times New Roman" w:hAnsi="Times New Roman"/>
          <w:sz w:val="28"/>
          <w:szCs w:val="28"/>
        </w:rPr>
        <w:t xml:space="preserve">      Особа,  яка  управляє  спадщиною,  має  право  на вчинення  будь-яких  необхідних  дій,  спрямованих на збереження  спадщини  до з'явлення спадкоємців або до прийняття спадщини.</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sz w:val="28"/>
          <w:szCs w:val="28"/>
        </w:rPr>
        <w:tab/>
        <w:t>Передача майна в управління не тягне за собою перехід права власності на нього.</w:t>
      </w:r>
      <w:r>
        <w:rPr>
          <w:color w:val="252525"/>
          <w:sz w:val="28"/>
          <w:szCs w:val="28"/>
        </w:rPr>
        <w:t xml:space="preserve"> </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5.2.Після взяття на облік безхазяйного майна та відумерлої спадщини, уповноважений орган міської ради, шляхом укладання договорів з обслуговуючими товариствами, забезпечує утримання у належному санітарному стані присадибних ділянок, на яких розміщені житлові будинки, господарські будівлі і споруди.</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p>
    <w:p>
      <w:pPr>
        <w:pStyle w:val="P3"/>
        <w:tabs>
          <w:tab w:val="left" w:pos="6609" w:leader="none"/>
        </w:tabs>
        <w:spacing w:before="0" w:after="0" w:beforeAutospacing="0" w:afterAutospacing="0"/>
        <w:ind w:firstLine="708"/>
        <w:jc w:val="center"/>
        <w:rPr>
          <w:color w:val="252525"/>
          <w:sz w:val="28"/>
          <w:szCs w:val="28"/>
        </w:rPr>
      </w:pPr>
      <w:r>
        <w:rPr>
          <w:color w:val="252525"/>
          <w:sz w:val="28"/>
          <w:szCs w:val="28"/>
        </w:rPr>
        <w:t>6. Реєстрація права комунальної власності</w:t>
      </w:r>
    </w:p>
    <w:p>
      <w:pPr>
        <w:pStyle w:val="P3"/>
        <w:tabs>
          <w:tab w:val="left" w:pos="6609" w:leader="none"/>
        </w:tabs>
        <w:spacing w:before="0" w:after="0" w:beforeAutospacing="0" w:afterAutospacing="0"/>
        <w:jc w:val="both"/>
        <w:rPr>
          <w:color w:val="252525"/>
          <w:sz w:val="28"/>
          <w:szCs w:val="28"/>
        </w:rPr>
      </w:pPr>
      <w:r>
        <w:rPr>
          <w:color w:val="252525"/>
          <w:sz w:val="28"/>
          <w:szCs w:val="28"/>
        </w:rPr>
        <w:t>6.1.Після отримання рішення суду про передачу безхазяйного нерухомого майна чи відумерлої спадщини до комунальної власності уповноважений орган (особа) звертається із заявою про державну реєстрацію права комунальної власності Тернопільської міської територіальної громади.</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6.2.Витрати на державну реєстрацію права комунальної власності, оплату послуг стосовно взяття на облік, проведення технічної інвентаризації та виготовлення технічного паспорта, експертну оцінку об'єкту нерухомого майна здійснюються за рахунок коштів міського бюджету.</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ind w:firstLine="708"/>
        <w:jc w:val="both"/>
        <w:rPr>
          <w:color w:val="252525"/>
          <w:sz w:val="28"/>
          <w:szCs w:val="28"/>
        </w:rPr>
      </w:pP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ind w:firstLine="708"/>
        <w:jc w:val="center"/>
        <w:rPr>
          <w:color w:val="252525"/>
          <w:sz w:val="28"/>
          <w:szCs w:val="28"/>
        </w:rPr>
      </w:pPr>
      <w:r>
        <w:rPr>
          <w:color w:val="252525"/>
          <w:sz w:val="28"/>
          <w:szCs w:val="28"/>
        </w:rPr>
        <w:t>7. Облік рухомого безхазяйного майна</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 xml:space="preserve">7.1.Інформація про рухоме майно (стаціонарні малі архітектурні форми, спеціальні конструкції зовнішньої реклами та інше), від якого відмовився власник або власник якого невідомий, надається  уповноваженому  органу.</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7.2.Уповноважений орган веде облік, розміщує оголошення про виявлене безхазяйне майно у пресі та на сайті міської ради і вживає заходи щодо встановлення власника майна.</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7.3.Рухоме майно переходить у власність територіальної громади відповідно до Цивільного Кодексу України.</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7.4.Підставою набуття права комунальної власності на безхазяйне рухоме майно є рішення суду.</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 xml:space="preserve">            8. Використання майна, переданого до комунальної власності</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8.1.Органи місцевого самоврядування відповідно до Закону України «Про місцеве самоврядування в Україні» здійснюють правомочності щодо володіння, користування і розпорядження майном:</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 з моменту державної реєстрації права комунальної власності на об'єкти нерухомого майна;</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 з моменту набуття чинності рішення суду про прийняття до комунальної власності об’єктів рухомого майна.</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 xml:space="preserve">8.2.Після реєстрації права комунальної власності на об'єкти нерухомого майна виконавчий комітет  міської ради повідомляє особу, з якою укладено договір про збереження об'єкту, який було обліковано як безхазяйний або відумерла спадщина, про його розірвання.</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 xml:space="preserve">8.3.Після державної реєстрації права комунальної власності на об'єкти житлового фонду  виконавчий комітет міської ради вчиняє заходи для подальшого розподілу житла.</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8.4.Відповідно до Закону України «Про житловий фонд соціального призначення» об'єкти житлового фонду, передані за рішенням суду до комунальної власності, можуть використовуватися для формування житлового фонду соціального призначення або надаватися громадянам, які перебувають на квартирному обліку, для поліпшення житлових умов.</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 xml:space="preserve">8.5.Відповідно до Цивільного Кодексу України, якщо згідно рішення суду в комунальну власність Тернопільської міської територіальної громади  передано частину житлового будинку, виконавчий комітет розглядає питання щодо можливості її викупу власниками суміжної частини цього будинку за їх бажанням, за ціною, визначеною у порядку встановленому чинним законодавством.   В окремих випадках  виконавчий комітет відповідно до вимог Житлового Кодексу України розглядає  питання щодо надання їм у використання даної частини будинку.</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jc w:val="both"/>
        <w:rPr>
          <w:color w:val="252525"/>
          <w:sz w:val="28"/>
          <w:szCs w:val="28"/>
        </w:rPr>
      </w:pPr>
      <w:r>
        <w:rPr>
          <w:color w:val="252525"/>
          <w:sz w:val="28"/>
          <w:szCs w:val="28"/>
        </w:rPr>
        <w:t>8.6.Спори щодо передачі безхазяйних об’єктів та відумерлої спадщини до комунальної власності та відчуження цих об’єктів вирішуються згідно із вимогами чинного законодавства у судовому порядку.</w:t>
      </w:r>
    </w:p>
    <w:p>
      <w:pPr>
        <w:pStyle w:val="P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beforeAutospacing="0" w:afterAutospacing="0"/>
        <w:ind w:firstLine="708"/>
        <w:jc w:val="both"/>
        <w:rPr>
          <w:color w:val="252525"/>
          <w:sz w:val="28"/>
          <w:szCs w:val="28"/>
        </w:rPr>
      </w:pPr>
    </w:p>
    <w:p>
      <w:pPr>
        <w:suppressAutoHyphens w:val="1"/>
        <w:spacing w:lineRule="auto" w:line="240" w:after="0" w:beforeAutospacing="0" w:afterAutospacing="0"/>
        <w:jc w:val="center"/>
        <w:rPr>
          <w:rFonts w:ascii="Times New Roman" w:hAnsi="Times New Roman"/>
          <w:color w:val="000000"/>
          <w:sz w:val="28"/>
          <w:szCs w:val="28"/>
          <w:lang w:val="uk-UA" w:eastAsia="zh-CN"/>
        </w:rPr>
      </w:pPr>
      <w:r>
        <w:rPr>
          <w:rFonts w:ascii="Times New Roman" w:hAnsi="Times New Roman"/>
          <w:color w:val="000000"/>
          <w:sz w:val="28"/>
          <w:szCs w:val="28"/>
          <w:lang w:val="uk-UA" w:eastAsia="zh-CN"/>
        </w:rPr>
        <w:t>Міський голова</w:t>
        <w:tab/>
        <w:tab/>
        <w:tab/>
        <w:t xml:space="preserve">                   </w:t>
        <w:tab/>
        <w:tab/>
        <w:t>Сергій НАДАЛ</w:t>
      </w:r>
    </w:p>
    <w:p>
      <w:pPr>
        <w:suppressAutoHyphens w:val="1"/>
        <w:spacing w:lineRule="auto" w:line="240" w:after="0" w:beforeAutospacing="0" w:afterAutospacing="0"/>
        <w:jc w:val="center"/>
        <w:rPr>
          <w:rFonts w:ascii="Times New Roman" w:hAnsi="Times New Roman"/>
          <w:color w:val="000000"/>
          <w:sz w:val="28"/>
          <w:szCs w:val="28"/>
          <w:lang w:val="uk-UA" w:eastAsia="zh-CN"/>
        </w:rPr>
      </w:pPr>
    </w:p>
    <w:p>
      <w:pPr>
        <w:spacing w:lineRule="auto" w:line="240" w:beforeAutospacing="0" w:afterAutospacing="0"/>
        <w:jc w:val="both"/>
        <w:rPr>
          <w:rFonts w:ascii="Times New Roman" w:hAnsi="Times New Roman"/>
          <w:sz w:val="28"/>
          <w:szCs w:val="28"/>
          <w:lang w:val="uk-UA"/>
        </w:rPr>
      </w:pPr>
    </w:p>
    <w:sectPr>
      <w:type w:val="nextPage"/>
      <w:pgSz w:w="11906" w:h="16838" w:code="0"/>
      <w:pgMar w:left="1701" w:right="850" w:top="1134" w:bottom="1134" w:header="708" w:footer="708" w:gutter="0"/>
    </w:sectPr>
  </w:body>
</w:document>
</file>

<file path=word/numbering.xml><?xml version="1.0" encoding="utf-8"?>
<w:numbering xmlns:w="http://schemas.openxmlformats.org/wordprocessingml/2006/main">
  <w:abstractNum w:abstractNumId="0">
    <w:nsid w:val="5A91352C"/>
    <w:multiLevelType w:val="hybridMultilevel"/>
    <w:lvl w:ilvl="0" w:tplc="A094C8EC">
      <w:start w:val="2"/>
      <w:numFmt w:val="bullet"/>
      <w:suff w:val="tab"/>
      <w:lvlText w:val="-"/>
      <w:lvlJc w:val="left"/>
      <w:pPr>
        <w:ind w:hanging="360" w:left="720"/>
      </w:pPr>
      <w:rPr>
        <w:rFonts w:ascii="Times New Roman" w:hAnsi="Times New Roman"/>
      </w:rPr>
    </w:lvl>
    <w:lvl w:ilvl="1" w:tplc="04220003">
      <w:start w:val="1"/>
      <w:numFmt w:val="bullet"/>
      <w:suff w:val="tab"/>
      <w:lvlText w:val="o"/>
      <w:lvlJc w:val="left"/>
      <w:pPr>
        <w:ind w:hanging="360" w:left="1440"/>
      </w:pPr>
      <w:rPr>
        <w:rFonts w:ascii="Courier New" w:hAnsi="Courier New"/>
      </w:rPr>
    </w:lvl>
    <w:lvl w:ilvl="2" w:tplc="04220005">
      <w:start w:val="1"/>
      <w:numFmt w:val="bullet"/>
      <w:suff w:val="tab"/>
      <w:lvlText w:val=""/>
      <w:lvlJc w:val="left"/>
      <w:pPr>
        <w:ind w:hanging="360" w:left="2160"/>
      </w:pPr>
      <w:rPr>
        <w:rFonts w:ascii="Wingdings" w:hAnsi="Wingdings"/>
      </w:rPr>
    </w:lvl>
    <w:lvl w:ilvl="3" w:tplc="04220001">
      <w:start w:val="1"/>
      <w:numFmt w:val="bullet"/>
      <w:suff w:val="tab"/>
      <w:lvlText w:val=""/>
      <w:lvlJc w:val="left"/>
      <w:pPr>
        <w:ind w:hanging="360" w:left="2880"/>
      </w:pPr>
      <w:rPr>
        <w:rFonts w:ascii="Symbol" w:hAnsi="Symbol"/>
      </w:rPr>
    </w:lvl>
    <w:lvl w:ilvl="4" w:tplc="04220003">
      <w:start w:val="1"/>
      <w:numFmt w:val="bullet"/>
      <w:suff w:val="tab"/>
      <w:lvlText w:val="o"/>
      <w:lvlJc w:val="left"/>
      <w:pPr>
        <w:ind w:hanging="360" w:left="3600"/>
      </w:pPr>
      <w:rPr>
        <w:rFonts w:ascii="Courier New" w:hAnsi="Courier New"/>
      </w:rPr>
    </w:lvl>
    <w:lvl w:ilvl="5" w:tplc="04220005">
      <w:start w:val="1"/>
      <w:numFmt w:val="bullet"/>
      <w:suff w:val="tab"/>
      <w:lvlText w:val=""/>
      <w:lvlJc w:val="left"/>
      <w:pPr>
        <w:ind w:hanging="360" w:left="4320"/>
      </w:pPr>
      <w:rPr>
        <w:rFonts w:ascii="Wingdings" w:hAnsi="Wingdings"/>
      </w:rPr>
    </w:lvl>
    <w:lvl w:ilvl="6" w:tplc="04220001">
      <w:start w:val="1"/>
      <w:numFmt w:val="bullet"/>
      <w:suff w:val="tab"/>
      <w:lvlText w:val=""/>
      <w:lvlJc w:val="left"/>
      <w:pPr>
        <w:ind w:hanging="360" w:left="5040"/>
      </w:pPr>
      <w:rPr>
        <w:rFonts w:ascii="Symbol" w:hAnsi="Symbol"/>
      </w:rPr>
    </w:lvl>
    <w:lvl w:ilvl="7" w:tplc="04220003">
      <w:start w:val="1"/>
      <w:numFmt w:val="bullet"/>
      <w:suff w:val="tab"/>
      <w:lvlText w:val="o"/>
      <w:lvlJc w:val="left"/>
      <w:pPr>
        <w:ind w:hanging="360" w:left="5760"/>
      </w:pPr>
      <w:rPr>
        <w:rFonts w:ascii="Courier New" w:hAnsi="Courier New"/>
      </w:rPr>
    </w:lvl>
    <w:lvl w:ilvl="8" w:tplc="04220005">
      <w:start w:val="1"/>
      <w:numFmt w:val="bullet"/>
      <w:suff w:val="tab"/>
      <w:lvlText w:val=""/>
      <w:lvlJc w:val="left"/>
      <w:pPr>
        <w:ind w:hanging="360" w:left="6480"/>
      </w:pPr>
      <w:rPr>
        <w:rFonts w:ascii="Wingdings" w:hAnsi="Wingdings"/>
      </w:rPr>
    </w:lvl>
  </w:abstractNum>
  <w:num w:numId="1">
    <w:abstractNumId w:val="0"/>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uk-UA"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spacing w:lineRule="auto" w:line="276" w:after="200" w:beforeAutospacing="0" w:afterAutospacing="0"/>
    </w:pPr>
    <w:rPr>
      <w:rFonts w:ascii="Calibri" w:hAnsi="Calibri"/>
      <w:lang w:val="ru-RU"/>
    </w:rPr>
  </w:style>
  <w:style w:type="paragraph" w:styleId="P1">
    <w:name w:val="Balloon Text"/>
    <w:basedOn w:val="P0"/>
    <w:link w:val="C3"/>
    <w:semiHidden/>
    <w:pPr>
      <w:spacing w:lineRule="auto" w:line="240" w:after="0" w:beforeAutospacing="0" w:afterAutospacing="0"/>
    </w:pPr>
    <w:rPr>
      <w:rFonts w:ascii="Segoe UI" w:hAnsi="Segoe UI"/>
      <w:sz w:val="18"/>
      <w:szCs w:val="18"/>
      <w:lang w:val="uk-UA"/>
    </w:rPr>
  </w:style>
  <w:style w:type="paragraph" w:styleId="P2">
    <w:name w:val="HTML Preformatted"/>
    <w:basedOn w:val="P0"/>
    <w:link w:val="C4"/>
    <w:semiHidden/>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after="0" w:beforeAutospacing="0" w:afterAutospacing="0"/>
    </w:pPr>
    <w:rPr>
      <w:rFonts w:ascii="Courier New" w:hAnsi="Courier New"/>
      <w:sz w:val="20"/>
      <w:szCs w:val="20"/>
      <w:lang w:val="uk-UA" w:eastAsia="uk-UA"/>
    </w:rPr>
  </w:style>
  <w:style w:type="paragraph" w:styleId="P3">
    <w:name w:val="Normal (Web)"/>
    <w:basedOn w:val="P0"/>
    <w:pPr>
      <w:spacing w:lineRule="auto" w:line="240" w:before="100" w:after="100" w:beforeAutospacing="1" w:afterAutospacing="1"/>
    </w:pPr>
    <w:rPr>
      <w:rFonts w:ascii="Times New Roman" w:hAnsi="Times New Roman"/>
      <w:sz w:val="24"/>
      <w:szCs w:val="24"/>
      <w:lang w:val="uk-UA" w:eastAsia="uk-U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Текст у виносці Знак"/>
    <w:basedOn w:val="C0"/>
    <w:link w:val="P1"/>
    <w:semiHidden/>
    <w:rPr>
      <w:rFonts w:ascii="Segoe UI" w:hAnsi="Segoe UI"/>
      <w:sz w:val="18"/>
      <w:szCs w:val="18"/>
    </w:rPr>
  </w:style>
  <w:style w:type="character" w:styleId="C4">
    <w:name w:val="Стандартний HTML Знак"/>
    <w:basedOn w:val="C0"/>
    <w:link w:val="P2"/>
    <w:semiHidden/>
    <w:rPr>
      <w:rFonts w:ascii="Courier New" w:hAnsi="Courier New"/>
      <w:sz w:val="20"/>
      <w:szCs w:val="20"/>
      <w:lang w:eastAsia="uk-UA"/>
    </w:rPr>
  </w:style>
  <w:style w:type="character" w:styleId="C5">
    <w:name w:val="Strong"/>
    <w:basedOn w:val="C0"/>
    <w:qFormat/>
    <w:rPr>
      <w:b w:val="1"/>
      <w:bCs w:val="1"/>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API/24.2.6.0</Application>
  <AppVersion>24.2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d09-Suharska</dc:creator>
  <dcterms:created xsi:type="dcterms:W3CDTF">2025-05-13T08:03:00Z</dcterms:created>
  <cp:lastModifiedBy>askod</cp:lastModifiedBy>
  <cp:lastPrinted>2026-04-22T12:42:00Z</cp:lastPrinted>
  <dcterms:modified xsi:type="dcterms:W3CDTF">2026-04-24T11:34:41Z</dcterms:modified>
  <cp:revision>112</cp:revision>
</cp:coreProperties>
</file>