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9D8846A" w14:textId="19CC0D5B" w:rsidR="006C7162" w:rsidRDefault="00190D0A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90D0A">
              <w:rPr>
                <w:rFonts w:cs="Times New Roman"/>
                <w:bCs/>
                <w:sz w:val="24"/>
                <w:szCs w:val="24"/>
                <w:lang w:eastAsia="uk-UA"/>
              </w:rPr>
              <w:t>Послуги доступу до мережі «Інтернет» по оптоволоконних каналах PON</w:t>
            </w:r>
          </w:p>
          <w:p w14:paraId="2A47A819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6C7BE47" w14:textId="77777777" w:rsidR="006C7162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0432D6A1" w:rsidR="00D9450C" w:rsidRPr="009130AF" w:rsidRDefault="00104136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104136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ДК 021:2015: </w:t>
            </w:r>
            <w:r w:rsidR="006C7162" w:rsidRPr="006C716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72410000-7: Послуги провайдерів </w:t>
            </w:r>
            <w:r w:rsidR="00E504C2" w:rsidRPr="00E504C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(</w:t>
            </w:r>
            <w:r w:rsidR="006C7162" w:rsidRPr="006C716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72411000-4 — Постачальники Інтернет-послуг</w:t>
            </w:r>
            <w:r w:rsidR="00E504C2" w:rsidRPr="00E504C2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)</w:t>
            </w:r>
            <w:bookmarkEnd w:id="0"/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4BD3ED32" w:rsidR="00516F65" w:rsidRPr="009130AF" w:rsidRDefault="002F42B7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2F42B7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UA-2025-12-23-015518-a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2817607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Послуга  доступу до мережі «Інтернет»  включає: забезпечення безперебійного доступу до Інтернету 24/7 для належного функціонування місцевої автоматизованої системи централізованого оповіщення про загрозу або виникнення надзвичайних ситуацій.</w:t>
            </w:r>
          </w:p>
          <w:p w14:paraId="1B99D16C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Доступ надається через оптоволоконні канали зв'язку, які проведені у 2024-2025  роках.</w:t>
            </w:r>
          </w:p>
          <w:p w14:paraId="7703DEC5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У разі виникнення аварійних ситуацій, усунення їх здійснюється Виконавцем до 24 годин. </w:t>
            </w:r>
          </w:p>
          <w:p w14:paraId="6A8610CB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Віддалене консультування – здійснюється цілодобово.</w:t>
            </w:r>
          </w:p>
          <w:p w14:paraId="7F72C74D" w14:textId="3354BD0F" w:rsidR="002F42B7" w:rsidRDefault="002F42B7" w:rsidP="002F42B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Місце надання послуг - буде повідомлено переможцю під час укладання договору.</w:t>
            </w:r>
          </w:p>
          <w:p w14:paraId="7C053C8D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Здійснити підключення всіх точок з наданням  IP-адрес,  без сплати замовником додаткових коштів.</w:t>
            </w:r>
          </w:p>
          <w:p w14:paraId="6FF0D825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Виконавець приймає звернення (повідомлення) замовника цілодобово, без перерв та вихідних телефоном та на електронну адресу виконавця (телефон та електронна адреса представника з технічних питань має бути вказаний в договорі).</w:t>
            </w:r>
          </w:p>
          <w:p w14:paraId="0880D775" w14:textId="0B8F7740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       Виконавець забезпечує підготовку каналу та підключення без сплати замовником додаткових коштів і потреби купувати додаткове обладнання.</w:t>
            </w:r>
          </w:p>
          <w:p w14:paraId="51D656E7" w14:textId="77777777" w:rsidR="002F42B7" w:rsidRPr="002F42B7" w:rsidRDefault="002F42B7" w:rsidP="002F42B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Факт надання послуг підтверджується шляхом підписання актів наданих послуг, що підписуються сторонами щомісячно.</w:t>
            </w:r>
          </w:p>
          <w:p w14:paraId="59402524" w14:textId="19DE8C79" w:rsidR="001B31F5" w:rsidRPr="001B31F5" w:rsidRDefault="002F42B7" w:rsidP="002F42B7">
            <w:pPr>
              <w:jc w:val="both"/>
              <w:rPr>
                <w:rFonts w:cs="Times New Roman"/>
                <w:sz w:val="24"/>
                <w:szCs w:val="24"/>
              </w:rPr>
            </w:pP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Учасник до ціни послуг включає всі витрати, які можуть бути понесені у зв’язку з виконанням ним договірних зобов’язань, в тому числі податки, збори та всі інші витрати, що мають бути здійснені (понесені) </w:t>
            </w: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Учасником у зв’язку з виконанням Договору.</w:t>
            </w:r>
            <w:r w:rsidRPr="002F42B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1B31F5">
              <w:rPr>
                <w:rFonts w:cs="Times New Roman"/>
                <w:sz w:val="24"/>
                <w:szCs w:val="24"/>
              </w:rPr>
              <w:t>Виконавець повинен надавати Замовнику Послуги, якість яких відповідає вимогам, встановленим чинними в Україні законодавчими та нормативними актами</w:t>
            </w:r>
            <w:r w:rsidR="001B31F5" w:rsidRPr="001B31F5">
              <w:rPr>
                <w:rFonts w:eastAsia="Calibri" w:cs="Times New Roman"/>
                <w:sz w:val="24"/>
                <w:szCs w:val="24"/>
              </w:rPr>
              <w:t xml:space="preserve"> України у сфері телекомунікаці</w:t>
            </w:r>
            <w:r w:rsidR="00820C2A">
              <w:rPr>
                <w:rFonts w:eastAsia="Calibri" w:cs="Times New Roman"/>
                <w:sz w:val="24"/>
                <w:szCs w:val="24"/>
              </w:rPr>
              <w:t>й.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4409A2C9" w14:textId="6174E68C" w:rsidR="00516F65" w:rsidRPr="009130AF" w:rsidRDefault="00485E79" w:rsidP="00B3015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 xml:space="preserve">Розмір бюджетного призначення передбачений </w:t>
            </w:r>
            <w:r w:rsidR="001A7C03" w:rsidRPr="001A7C03">
              <w:rPr>
                <w:sz w:val="24"/>
                <w:szCs w:val="24"/>
              </w:rPr>
              <w:t>по КПКВК 0118110 «Заходи із запобігання та ліквідації надзвичайних ситуацій та наслідків стихійного лиха» на 202</w:t>
            </w:r>
            <w:r w:rsidR="006C5C4E" w:rsidRPr="006C5C4E">
              <w:rPr>
                <w:sz w:val="24"/>
                <w:szCs w:val="24"/>
              </w:rPr>
              <w:t>6</w:t>
            </w:r>
            <w:r w:rsidR="001A7C03" w:rsidRPr="001A7C03">
              <w:rPr>
                <w:sz w:val="24"/>
                <w:szCs w:val="24"/>
              </w:rPr>
              <w:t xml:space="preserve"> рік за КЕКВ 2282 відповідно до  пункту </w:t>
            </w:r>
            <w:r w:rsidR="006C5C4E" w:rsidRPr="006C5C4E">
              <w:rPr>
                <w:sz w:val="24"/>
                <w:szCs w:val="24"/>
              </w:rPr>
              <w:t>1.4. Програми захисту населення і територій Тернопільської міської територіальної громади від надзвичайних ситуацій техногенного та природного характеру на 2026–2028 роки</w:t>
            </w:r>
            <w:r w:rsidR="001A7C03" w:rsidRPr="001A7C03">
              <w:rPr>
                <w:sz w:val="24"/>
                <w:szCs w:val="24"/>
              </w:rPr>
              <w:t>, затвердженої рішенням сесії від 19.12.202</w:t>
            </w:r>
            <w:r w:rsidR="00A72592" w:rsidRPr="00A72592">
              <w:rPr>
                <w:sz w:val="24"/>
                <w:szCs w:val="24"/>
                <w:lang w:val="ru-RU"/>
              </w:rPr>
              <w:t>5</w:t>
            </w:r>
            <w:r w:rsidR="001A7C03" w:rsidRPr="001A7C03">
              <w:rPr>
                <w:sz w:val="24"/>
                <w:szCs w:val="24"/>
              </w:rPr>
              <w:t xml:space="preserve"> № </w:t>
            </w:r>
            <w:r w:rsidR="00A72592" w:rsidRPr="00A72592">
              <w:rPr>
                <w:sz w:val="24"/>
                <w:szCs w:val="24"/>
                <w:lang w:val="ru-RU"/>
              </w:rPr>
              <w:t>8/54/25</w:t>
            </w:r>
            <w:r w:rsidR="001A7C03" w:rsidRPr="001A7C03">
              <w:rPr>
                <w:sz w:val="24"/>
                <w:szCs w:val="24"/>
              </w:rPr>
              <w:t xml:space="preserve">. </w:t>
            </w:r>
            <w:r w:rsidRPr="00485E79">
              <w:rPr>
                <w:sz w:val="24"/>
                <w:szCs w:val="24"/>
              </w:rPr>
              <w:t xml:space="preserve"> А також, здійснення закупівель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0E452C70" w:rsidR="00516F65" w:rsidRPr="009130AF" w:rsidRDefault="00A72592" w:rsidP="000D5F7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A72592">
              <w:rPr>
                <w:sz w:val="24"/>
                <w:szCs w:val="24"/>
                <w:lang w:val="ru-RU"/>
              </w:rPr>
              <w:t>882</w:t>
            </w:r>
            <w:r w:rsidR="008664F2" w:rsidRPr="00820C2A">
              <w:rPr>
                <w:sz w:val="24"/>
                <w:szCs w:val="24"/>
              </w:rPr>
              <w:t>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Вісімдесят вісім</w:t>
            </w:r>
            <w:r w:rsidR="00A17DE0">
              <w:rPr>
                <w:sz w:val="24"/>
                <w:szCs w:val="24"/>
              </w:rPr>
              <w:t xml:space="preserve"> тисяч</w:t>
            </w:r>
            <w:r>
              <w:rPr>
                <w:sz w:val="24"/>
                <w:szCs w:val="24"/>
              </w:rPr>
              <w:t xml:space="preserve"> двісті</w:t>
            </w:r>
            <w:r w:rsidR="00654A6D">
              <w:rPr>
                <w:sz w:val="24"/>
                <w:szCs w:val="24"/>
              </w:rPr>
              <w:t xml:space="preserve"> </w:t>
            </w:r>
            <w:r w:rsidR="002F69EF">
              <w:rPr>
                <w:sz w:val="24"/>
                <w:szCs w:val="24"/>
              </w:rPr>
              <w:t>грив</w:t>
            </w:r>
            <w:r w:rsidR="000D5F76" w:rsidRPr="009130AF">
              <w:rPr>
                <w:sz w:val="24"/>
                <w:szCs w:val="24"/>
              </w:rPr>
              <w:t>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697FC9">
              <w:rPr>
                <w:sz w:val="24"/>
                <w:szCs w:val="24"/>
              </w:rPr>
              <w:t xml:space="preserve"> з ПДВ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6B439821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-листах, в електронній системі закупівель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F7985">
              <w:rPr>
                <w:sz w:val="24"/>
                <w:szCs w:val="24"/>
              </w:rPr>
              <w:t>в електронній системі закупівель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</w:t>
            </w:r>
            <w:r w:rsidR="00911E95">
              <w:rPr>
                <w:sz w:val="24"/>
                <w:szCs w:val="24"/>
              </w:rPr>
              <w:t>,</w:t>
            </w:r>
            <w:r w:rsidRPr="009F7985">
              <w:rPr>
                <w:sz w:val="24"/>
                <w:szCs w:val="24"/>
              </w:rPr>
              <w:t xml:space="preserve"> </w:t>
            </w:r>
            <w:r w:rsidR="00911E95" w:rsidRPr="00952CD5">
              <w:rPr>
                <w:sz w:val="24"/>
                <w:szCs w:val="24"/>
              </w:rPr>
              <w:t xml:space="preserve">а також аналіз інформації, отриманої шляхом проведення ринкових консультацій з метою отримання актуальної інформації тощо.  </w:t>
            </w:r>
            <w:r w:rsidR="00911E95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27409" w14:textId="77777777" w:rsidR="00042DC7" w:rsidRDefault="00042DC7" w:rsidP="003F52D9">
      <w:pPr>
        <w:spacing w:after="0" w:line="240" w:lineRule="auto"/>
      </w:pPr>
      <w:r>
        <w:separator/>
      </w:r>
    </w:p>
  </w:endnote>
  <w:endnote w:type="continuationSeparator" w:id="0">
    <w:p w14:paraId="181AA72E" w14:textId="77777777" w:rsidR="00042DC7" w:rsidRDefault="00042DC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19A2D" w14:textId="77777777" w:rsidR="00042DC7" w:rsidRDefault="00042DC7" w:rsidP="003F52D9">
      <w:pPr>
        <w:spacing w:after="0" w:line="240" w:lineRule="auto"/>
      </w:pPr>
      <w:r>
        <w:separator/>
      </w:r>
    </w:p>
  </w:footnote>
  <w:footnote w:type="continuationSeparator" w:id="0">
    <w:p w14:paraId="75C2F29E" w14:textId="77777777" w:rsidR="00042DC7" w:rsidRDefault="00042DC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8292699">
    <w:abstractNumId w:val="1"/>
  </w:num>
  <w:num w:numId="2" w16cid:durableId="1472212662">
    <w:abstractNumId w:val="4"/>
  </w:num>
  <w:num w:numId="3" w16cid:durableId="603417341">
    <w:abstractNumId w:val="3"/>
  </w:num>
  <w:num w:numId="4" w16cid:durableId="1237396123">
    <w:abstractNumId w:val="2"/>
  </w:num>
  <w:num w:numId="5" w16cid:durableId="181553006">
    <w:abstractNumId w:val="9"/>
  </w:num>
  <w:num w:numId="6" w16cid:durableId="1596478038">
    <w:abstractNumId w:val="7"/>
  </w:num>
  <w:num w:numId="7" w16cid:durableId="998769316">
    <w:abstractNumId w:val="5"/>
  </w:num>
  <w:num w:numId="8" w16cid:durableId="18932302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785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7216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2DC7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0D0A"/>
    <w:rsid w:val="001910D8"/>
    <w:rsid w:val="00192D91"/>
    <w:rsid w:val="001A0622"/>
    <w:rsid w:val="001A27CC"/>
    <w:rsid w:val="001A2ACF"/>
    <w:rsid w:val="001A3338"/>
    <w:rsid w:val="001A67CB"/>
    <w:rsid w:val="001A7034"/>
    <w:rsid w:val="001A7C03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42B7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3D14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52247"/>
    <w:rsid w:val="00652A8E"/>
    <w:rsid w:val="00653F86"/>
    <w:rsid w:val="00654941"/>
    <w:rsid w:val="00654A6D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5C4E"/>
    <w:rsid w:val="006C66A4"/>
    <w:rsid w:val="006C7162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93B5F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4D6D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1E95"/>
    <w:rsid w:val="00912264"/>
    <w:rsid w:val="009130AF"/>
    <w:rsid w:val="00922A3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863E6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E4B7B"/>
    <w:rsid w:val="009F6A44"/>
    <w:rsid w:val="009F7985"/>
    <w:rsid w:val="00A01861"/>
    <w:rsid w:val="00A06DCF"/>
    <w:rsid w:val="00A1292B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72592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4F47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06C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6B0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3394</Words>
  <Characters>1935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151</cp:revision>
  <cp:lastPrinted>2024-12-28T08:21:00Z</cp:lastPrinted>
  <dcterms:created xsi:type="dcterms:W3CDTF">2024-04-30T08:20:00Z</dcterms:created>
  <dcterms:modified xsi:type="dcterms:W3CDTF">2025-12-23T14:31:00Z</dcterms:modified>
</cp:coreProperties>
</file>