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23A68E7F" w:rsidR="00300443" w:rsidRPr="00A44D4E" w:rsidRDefault="00D0652C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rFonts w:eastAsia="SimSun" w:cs="Times New Roman"/>
                <w:sz w:val="24"/>
                <w:szCs w:val="24"/>
                <w:lang w:eastAsia="uk-UA"/>
              </w:rPr>
              <w:t>Б</w:t>
            </w:r>
            <w:r w:rsidR="00CB121F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>і літальні апарати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08A417F5" w14:textId="77777777" w:rsidR="00D0652C" w:rsidRPr="009130AF" w:rsidRDefault="00D0652C" w:rsidP="00D0652C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6B70925C" w14:textId="1A37D7D7" w:rsidR="00D9450C" w:rsidRPr="00A44D4E" w:rsidRDefault="00D0652C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558F4CA9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304EA1" w:rsidRPr="00304EA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UA-2026-02-18-00</w:t>
            </w:r>
            <w:bookmarkStart w:id="1" w:name="_GoBack"/>
            <w:bookmarkEnd w:id="1"/>
            <w:r w:rsidR="00304EA1" w:rsidRPr="00304EA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9694-a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DDE6A65" w:rsidR="00516F65" w:rsidRPr="002E5BEE" w:rsidRDefault="00095EE4" w:rsidP="001D034C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1D034C">
              <w:rPr>
                <w:sz w:val="24"/>
                <w:szCs w:val="24"/>
              </w:rPr>
              <w:t>б</w:t>
            </w:r>
            <w:r w:rsidR="001D034C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 w:rsidR="001D034C">
              <w:rPr>
                <w:rFonts w:eastAsia="SimSun" w:cs="Times New Roman"/>
                <w:sz w:val="24"/>
                <w:szCs w:val="24"/>
                <w:lang w:eastAsia="uk-UA"/>
              </w:rPr>
              <w:t>их літальних апаратів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16DC767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725933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</w:t>
            </w:r>
            <w:r w:rsidR="001539E4" w:rsidRPr="009130AF">
              <w:rPr>
                <w:sz w:val="24"/>
                <w:szCs w:val="24"/>
              </w:rPr>
              <w:lastRenderedPageBreak/>
              <w:t>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FA90E26" w:rsidR="00516F65" w:rsidRPr="009130AF" w:rsidRDefault="00EE73FD" w:rsidP="001C737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3 280 000,00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</w:t>
            </w:r>
            <w:r w:rsidR="0038752D">
              <w:rPr>
                <w:sz w:val="24"/>
                <w:szCs w:val="24"/>
              </w:rPr>
              <w:t xml:space="preserve"> мільйон</w:t>
            </w:r>
            <w:r>
              <w:rPr>
                <w:sz w:val="24"/>
                <w:szCs w:val="24"/>
              </w:rPr>
              <w:t>и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двісті вісімдесят</w:t>
            </w:r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 xml:space="preserve"> </w:t>
            </w:r>
            <w:r w:rsidR="0038752D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 xml:space="preserve">гривень </w:t>
            </w:r>
            <w:r>
              <w:rPr>
                <w:sz w:val="24"/>
                <w:szCs w:val="24"/>
              </w:rPr>
              <w:t>00</w:t>
            </w:r>
            <w:r w:rsidR="000D5F76" w:rsidRPr="009130AF">
              <w:rPr>
                <w:sz w:val="24"/>
                <w:szCs w:val="24"/>
              </w:rPr>
              <w:t xml:space="preserve"> копій</w:t>
            </w:r>
            <w:r w:rsidR="001C7372">
              <w:rPr>
                <w:sz w:val="24"/>
                <w:szCs w:val="24"/>
              </w:rPr>
              <w:t>о</w:t>
            </w:r>
            <w:r w:rsidR="000D5F76" w:rsidRPr="009130AF">
              <w:rPr>
                <w:sz w:val="24"/>
                <w:szCs w:val="24"/>
              </w:rPr>
              <w:t>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EE5370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512E6" w14:textId="77777777" w:rsidR="000F73A3" w:rsidRDefault="000F73A3" w:rsidP="003F52D9">
      <w:pPr>
        <w:spacing w:after="0" w:line="240" w:lineRule="auto"/>
      </w:pPr>
      <w:r>
        <w:separator/>
      </w:r>
    </w:p>
  </w:endnote>
  <w:endnote w:type="continuationSeparator" w:id="0">
    <w:p w14:paraId="3F99199C" w14:textId="77777777" w:rsidR="000F73A3" w:rsidRDefault="000F73A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94653" w14:textId="77777777" w:rsidR="000F73A3" w:rsidRDefault="000F73A3" w:rsidP="003F52D9">
      <w:pPr>
        <w:spacing w:after="0" w:line="240" w:lineRule="auto"/>
      </w:pPr>
      <w:r>
        <w:separator/>
      </w:r>
    </w:p>
  </w:footnote>
  <w:footnote w:type="continuationSeparator" w:id="0">
    <w:p w14:paraId="516C7BFC" w14:textId="77777777" w:rsidR="000F73A3" w:rsidRDefault="000F73A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0F73A3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4EA1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FBA6C-E91E-4849-9EEC-BE670022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2929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113</cp:revision>
  <cp:lastPrinted>2023-05-30T12:51:00Z</cp:lastPrinted>
  <dcterms:created xsi:type="dcterms:W3CDTF">2024-04-30T08:20:00Z</dcterms:created>
  <dcterms:modified xsi:type="dcterms:W3CDTF">2026-02-18T14:50:00Z</dcterms:modified>
</cp:coreProperties>
</file>