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2D9D152" w:rsidR="00516F65" w:rsidRPr="00107F59" w:rsidRDefault="006F726C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F726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UA-2026-05-15-010278-a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B35E3C4" w:rsidR="00516F65" w:rsidRPr="009130AF" w:rsidRDefault="006F726C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F726C">
              <w:rPr>
                <w:sz w:val="24"/>
                <w:szCs w:val="24"/>
              </w:rPr>
              <w:t>145 000,00 грн. з ПДВ ( сто сорок п’ять тисяч    гривень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63CC" w14:textId="77777777" w:rsidR="003237DB" w:rsidRDefault="003237DB" w:rsidP="003F52D9">
      <w:pPr>
        <w:spacing w:after="0" w:line="240" w:lineRule="auto"/>
      </w:pPr>
      <w:r>
        <w:separator/>
      </w:r>
    </w:p>
  </w:endnote>
  <w:endnote w:type="continuationSeparator" w:id="0">
    <w:p w14:paraId="6BB709BC" w14:textId="77777777" w:rsidR="003237DB" w:rsidRDefault="003237D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27DD" w14:textId="77777777" w:rsidR="003237DB" w:rsidRDefault="003237DB" w:rsidP="003F52D9">
      <w:pPr>
        <w:spacing w:after="0" w:line="240" w:lineRule="auto"/>
      </w:pPr>
      <w:r>
        <w:separator/>
      </w:r>
    </w:p>
  </w:footnote>
  <w:footnote w:type="continuationSeparator" w:id="0">
    <w:p w14:paraId="46FA4078" w14:textId="77777777" w:rsidR="003237DB" w:rsidRDefault="003237D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0F15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DD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2FCE"/>
    <w:rsid w:val="003135E4"/>
    <w:rsid w:val="00313A9A"/>
    <w:rsid w:val="0031465F"/>
    <w:rsid w:val="00320E9B"/>
    <w:rsid w:val="00321C60"/>
    <w:rsid w:val="003237DB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0A5C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6F726C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6E85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51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90C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180E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5D72"/>
    <w:rsid w:val="00CF6BE3"/>
    <w:rsid w:val="00D01058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35A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2898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18</cp:revision>
  <cp:lastPrinted>2025-09-19T08:15:00Z</cp:lastPrinted>
  <dcterms:created xsi:type="dcterms:W3CDTF">2025-09-19T08:29:00Z</dcterms:created>
  <dcterms:modified xsi:type="dcterms:W3CDTF">2026-05-15T12:24:00Z</dcterms:modified>
</cp:coreProperties>
</file>