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UA-2026-01-05-002881-a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Олія рафінована соняшникова для харчування дітей у закладах дошкільної освіти і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021:2015:15420000-8 — Рафіновані олії та жири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1 290 000,00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1FA3705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12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2026-01-05T13:08:55Z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