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 xml:space="preserve"> культури і мистецтв ТМР</w:t>
            </w:r>
          </w:p>
          <w:p w14:paraId="00D4C93D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46001, м. Тернопіль, </w:t>
            </w:r>
            <w:r>
              <w:rPr>
                <w:bCs/>
                <w:sz w:val="24"/>
                <w:szCs w:val="24"/>
                <w:lang w:val="uk-UA"/>
              </w:rPr>
              <w:t>бульв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. Т.Шевченка,1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код ЄДРПОУ 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02230572</w:t>
            </w:r>
          </w:p>
          <w:p w14:paraId="1FA45834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71CCD4EA">
            <w:pPr>
              <w:pStyle w:val="7"/>
              <w:spacing w:before="0" w:beforeAutospacing="0" w:after="0" w:afterAutospacing="0"/>
              <w:ind w:right="-1"/>
              <w:jc w:val="both"/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</w:pPr>
            <w:bookmarkStart w:id="0" w:name="_Hlk165279619"/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uk-UA" w:eastAsia="ru-RU"/>
              </w:rPr>
              <w:t>П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>ослуги рухомого (мобільного) зв'язку</w:t>
            </w:r>
          </w:p>
          <w:p w14:paraId="5A10FB49">
            <w:pPr>
              <w:pStyle w:val="7"/>
              <w:spacing w:before="0" w:beforeAutospacing="0" w:after="0" w:afterAutospacing="0"/>
              <w:ind w:right="-1"/>
              <w:jc w:val="center"/>
              <w:rPr>
                <w:sz w:val="32"/>
                <w:szCs w:val="32"/>
                <w:lang w:eastAsia="ru-RU"/>
              </w:rPr>
            </w:pPr>
          </w:p>
          <w:p w14:paraId="244A370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</w:pPr>
          </w:p>
          <w:p w14:paraId="46523EA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</w:pPr>
          </w:p>
          <w:p w14:paraId="67422CE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Код за ДК 021:2015:</w:t>
            </w:r>
          </w:p>
          <w:p w14:paraId="482648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hint="default" w:eastAsia="Times New Roman"/>
                <w:iCs/>
                <w:sz w:val="24"/>
                <w:szCs w:val="24"/>
                <w:lang w:val="en-US" w:eastAsia="uk-UA"/>
              </w:rPr>
              <w:t>64210000-1</w:t>
            </w:r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>Послуги телефонного зв’язку та передачі даних</w:t>
            </w: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UA-2026-01-14-004664-a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/>
            <w:vAlign w:val="top"/>
          </w:tcPr>
          <w:p w14:paraId="59402524">
            <w:pPr>
              <w:pStyle w:val="7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 w:bidi="ar-SA"/>
              </w:rPr>
            </w:pPr>
            <w:r>
              <w:rPr>
                <w:bCs/>
              </w:rPr>
              <w:t xml:space="preserve">Закупівля </w:t>
            </w:r>
            <w:r>
              <w:rPr>
                <w:bCs/>
                <w:lang w:val="uk-UA"/>
              </w:rPr>
              <w:t>п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>ослуги рухомого (мобільного) зв'язку</w:t>
            </w:r>
            <w:r>
              <w:t xml:space="preserve"> </w:t>
            </w:r>
            <w:r>
              <w:rPr>
                <w:bCs/>
              </w:rPr>
              <w:t xml:space="preserve">здійснюється для роботи працівників </w:t>
            </w:r>
            <w:r>
              <w:rPr>
                <w:bCs/>
                <w:lang w:val="uk-UA"/>
              </w:rPr>
              <w:t>Управління</w:t>
            </w:r>
            <w:r>
              <w:rPr>
                <w:rFonts w:hint="default"/>
                <w:bCs/>
                <w:lang w:val="uk-UA"/>
              </w:rPr>
              <w:t xml:space="preserve"> культури і мистецтв ТМР.</w:t>
            </w:r>
            <w:r>
              <w:t xml:space="preserve"> Учасник повинен надавати замовнику послуги цілодобово відповідно до вимог Закону України «Про електронні комунікації», Правил надання та отримання електронних комунікаційних послуг, затверджених постановою від 25 червня 2025 року № 761 та надавати цілодобову підтримку в режимі 24/7/365. Учасник повинен забезпечити надання послуг належної якості на всій території України. Учасник повинен надати безоплатний доступ до мережі зв’язку загального користування для викликів екстрених служб: пожежної охорони, поліції, швидкої допомоги, аварійної служби газу, служби екстреної допомоги населенню за телефонами, відповідно 101, 102, 103, 104, 112.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  <w:shd w:val="clear"/>
            <w:vAlign w:val="top"/>
          </w:tcPr>
          <w:p w14:paraId="4409A2C9">
            <w:pPr>
              <w:spacing w:after="0" w:line="240" w:lineRule="atLeast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val="uk-UA" w:eastAsia="en-US" w:bidi="ar-SA"/>
              </w:rPr>
            </w:pPr>
            <w:r>
              <w:rPr>
                <w:sz w:val="24"/>
                <w:szCs w:val="24"/>
              </w:rPr>
              <w:t xml:space="preserve">Розмір бюджетного призначення передбачений по КПКВК </w:t>
            </w:r>
            <w:r>
              <w:rPr>
                <w:rFonts w:hint="default"/>
                <w:sz w:val="24"/>
                <w:szCs w:val="24"/>
                <w:lang w:val="uk-UA"/>
              </w:rPr>
              <w:t>1010160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на 2026 рік за КЕКВ 2240.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10800</w:t>
            </w:r>
            <w:r>
              <w:rPr>
                <w:sz w:val="24"/>
                <w:szCs w:val="24"/>
              </w:rPr>
              <w:t>,00 грн. (</w:t>
            </w:r>
            <w:r>
              <w:rPr>
                <w:sz w:val="24"/>
                <w:szCs w:val="24"/>
                <w:lang w:val="uk-UA"/>
              </w:rPr>
              <w:t>десять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тисяч </w:t>
            </w:r>
            <w:r>
              <w:rPr>
                <w:sz w:val="24"/>
                <w:szCs w:val="24"/>
                <w:lang w:val="uk-UA"/>
              </w:rPr>
              <w:t>вісімсот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гривень 00 копійок) (</w:t>
            </w:r>
            <w:r>
              <w:rPr>
                <w:sz w:val="24"/>
                <w:szCs w:val="24"/>
                <w:lang w:val="uk-UA"/>
              </w:rPr>
              <w:t>з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4"/>
                <w:szCs w:val="24"/>
              </w:rPr>
              <w:t xml:space="preserve">, а саме аналіз </w:t>
            </w:r>
            <w:r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"Prozorro")</w:t>
            </w:r>
            <w:r>
              <w:rPr>
                <w:sz w:val="24"/>
                <w:szCs w:val="24"/>
              </w:rPr>
              <w:t>, аналіз на підставі закупівельних цін попередніх закупівель в електронній системі закупівель «</w:t>
            </w:r>
            <w:r>
              <w:rPr>
                <w:sz w:val="24"/>
                <w:szCs w:val="24"/>
                <w:shd w:val="clear" w:color="auto" w:fill="FFFFFF"/>
              </w:rPr>
              <w:t>Prozorro</w:t>
            </w:r>
            <w:r>
              <w:rPr>
                <w:sz w:val="24"/>
                <w:szCs w:val="24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1E655F29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5D1C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B7A6A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5E1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D5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  <w:rsid w:val="46A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і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і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у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3020</Words>
  <Characters>1722</Characters>
  <Lines>14</Lines>
  <Paragraphs>9</Paragraphs>
  <TotalTime>5</TotalTime>
  <ScaleCrop>false</ScaleCrop>
  <LinksUpToDate>false</LinksUpToDate>
  <CharactersWithSpaces>4733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2025-11-21T08:59:00Z</cp:lastPrinted>
  <dcterms:modified xsi:type="dcterms:W3CDTF">2026-01-16T09:25:41Z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B7EF51BD8BAD455C9B66816F06BEB098_12</vt:lpwstr>
  </property>
</Properties>
</file>