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ACB8F7A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Цифрове фортепіано та аранжувальна станція</w:t>
            </w: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Код за ДК 021:2015: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37310000-4 музичні інструменти</w:t>
            </w:r>
          </w:p>
          <w:p w14:paraId="48264825">
            <w:pPr>
              <w:shd w:val="clear" w:color="auto" w:fill="FFFFFF"/>
              <w:spacing w:after="0" w:line="240" w:lineRule="auto"/>
              <w:ind w:left="39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UA-2026-06-01-008110-a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музичних інструментів для Тернопільської музичної школи  № 1 ім. В.Барвінського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1011080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«Надання спеціалізованої освіти мистецькими школами»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143 000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сто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сорок три</w:t>
            </w:r>
            <w:r>
              <w:rPr>
                <w:sz w:val="22"/>
                <w:szCs w:val="22"/>
              </w:rPr>
              <w:t xml:space="preserve"> тисяч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</w:rPr>
              <w:t xml:space="preserve"> гривень 00 копійок)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з ПДВ.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03D76399"/>
    <w:rsid w:val="0B6D489B"/>
    <w:rsid w:val="1D1F446A"/>
    <w:rsid w:val="1ED65640"/>
    <w:rsid w:val="42C43A50"/>
    <w:rsid w:val="4323524F"/>
    <w:rsid w:val="47B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  <w:style w:type="table" w:customStyle="1" w:styleId="15">
    <w:name w:val="_Style 24"/>
    <w:basedOn w:val="16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">
    <w:name w:val="Table Normal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3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2026-06-02T07:32:40Z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