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4EB195B" w14:textId="4DB1CF01" w:rsidR="00046A7D" w:rsidRPr="009E2EF3" w:rsidRDefault="00B94C0D" w:rsidP="00046A7D">
            <w:pPr>
              <w:widowControl w:val="0"/>
              <w:spacing w:after="60"/>
              <w:ind w:right="113"/>
              <w:contextualSpacing/>
              <w:jc w:val="both"/>
              <w:rPr>
                <w:bCs/>
                <w:kern w:val="32"/>
                <w:sz w:val="24"/>
                <w:szCs w:val="24"/>
              </w:rPr>
            </w:pPr>
            <w:r w:rsidRPr="008B3526">
              <w:rPr>
                <w:rFonts w:cs="Times New Roman"/>
                <w:bCs/>
                <w:spacing w:val="-5"/>
                <w:sz w:val="24"/>
                <w:szCs w:val="24"/>
              </w:rPr>
              <w:t xml:space="preserve"> </w:t>
            </w:r>
            <w:r w:rsidR="00F46831" w:rsidRPr="00BB233D">
              <w:rPr>
                <w:bCs/>
                <w:sz w:val="24"/>
                <w:szCs w:val="24"/>
              </w:rPr>
              <w:t>«Послуги з благоустрою населених пунктів –</w:t>
            </w:r>
            <w:r w:rsidR="00F46831" w:rsidRPr="00BB233D">
              <w:rPr>
                <w:sz w:val="24"/>
                <w:szCs w:val="24"/>
              </w:rPr>
              <w:t xml:space="preserve"> </w:t>
            </w:r>
            <w:r w:rsidR="00F46831" w:rsidRPr="00BB233D">
              <w:rPr>
                <w:bCs/>
                <w:sz w:val="24"/>
                <w:szCs w:val="24"/>
              </w:rPr>
              <w:t xml:space="preserve"> експлуатаційне утримання, поточний ремонт мостів та шляхопроводів в м. Тернополі</w:t>
            </w:r>
            <w:r w:rsidR="00F46831">
              <w:rPr>
                <w:bCs/>
                <w:sz w:val="24"/>
                <w:szCs w:val="24"/>
                <w:lang w:val="en-US"/>
              </w:rPr>
              <w:t xml:space="preserve"> </w:t>
            </w:r>
            <w:r w:rsidR="00F46831">
              <w:rPr>
                <w:bCs/>
                <w:sz w:val="24"/>
                <w:szCs w:val="24"/>
              </w:rPr>
              <w:t>на 2026 рік</w:t>
            </w:r>
            <w:r w:rsidR="00F46831" w:rsidRPr="00BB233D">
              <w:rPr>
                <w:bCs/>
                <w:sz w:val="24"/>
                <w:szCs w:val="24"/>
              </w:rPr>
              <w:t>» ( ДК 021:2015: 63712310-9 - Послуги з експлуатації мостів)</w:t>
            </w:r>
          </w:p>
          <w:p w14:paraId="6A03CC94" w14:textId="4DA242D7" w:rsidR="00857350" w:rsidRPr="008B3526" w:rsidRDefault="00857350" w:rsidP="00857350">
            <w:pPr>
              <w:shd w:val="clear" w:color="auto" w:fill="FFFFFF"/>
              <w:spacing w:after="0" w:line="240" w:lineRule="auto"/>
              <w:jc w:val="both"/>
              <w:textAlignment w:val="baseline"/>
              <w:rPr>
                <w:rFonts w:eastAsia="Times New Roman" w:cs="Times New Roman"/>
                <w:sz w:val="24"/>
                <w:szCs w:val="24"/>
                <w:lang w:val="en-US"/>
              </w:rPr>
            </w:pP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7E1544BB" w:rsidR="00857350" w:rsidRPr="00F46831" w:rsidRDefault="00F46831" w:rsidP="00B94C0D">
            <w:pPr>
              <w:spacing w:line="240" w:lineRule="atLeast"/>
              <w:rPr>
                <w:rFonts w:cs="Times New Roman"/>
                <w:color w:val="6D6D6D"/>
                <w:sz w:val="24"/>
                <w:szCs w:val="24"/>
                <w:lang w:val="en-US"/>
              </w:rPr>
            </w:pPr>
            <w:r w:rsidRPr="00F46831">
              <w:rPr>
                <w:rStyle w:val="js-apiid"/>
                <w:rFonts w:cs="Times New Roman"/>
                <w:color w:val="000000"/>
                <w:sz w:val="24"/>
                <w:szCs w:val="24"/>
                <w:bdr w:val="none" w:sz="0" w:space="0" w:color="auto" w:frame="1"/>
              </w:rPr>
              <w:t>UA-2026-03-18-006315-a</w:t>
            </w:r>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3A430DF7"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B3526" w:rsidRPr="006958D8">
              <w:rPr>
                <w:spacing w:val="-3"/>
                <w:sz w:val="22"/>
              </w:rPr>
              <w:t xml:space="preserve">Згідно </w:t>
            </w:r>
            <w:r w:rsidR="008B3526" w:rsidRPr="006958D8">
              <w:rPr>
                <w:sz w:val="22"/>
              </w:rPr>
              <w:t>листа відділу експлуатації інженерно-транспортних споруд</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4B639FD0" w:rsidR="00857350" w:rsidRPr="00B94C0D" w:rsidRDefault="00F46831" w:rsidP="00046A7D">
            <w:pPr>
              <w:spacing w:after="0" w:line="240" w:lineRule="auto"/>
              <w:jc w:val="both"/>
              <w:textAlignment w:val="baseline"/>
              <w:rPr>
                <w:rFonts w:eastAsia="Times New Roman" w:cs="Times New Roman"/>
                <w:sz w:val="24"/>
                <w:szCs w:val="24"/>
                <w:lang w:val="en-US"/>
              </w:rPr>
            </w:pPr>
            <w:r>
              <w:rPr>
                <w:rFonts w:cs="Times New Roman"/>
                <w:color w:val="000000"/>
                <w:sz w:val="24"/>
                <w:szCs w:val="24"/>
                <w:bdr w:val="none" w:sz="0" w:space="0" w:color="auto" w:frame="1"/>
                <w:shd w:val="clear" w:color="auto" w:fill="FDFEFD"/>
              </w:rPr>
              <w:t>9 162 458</w:t>
            </w:r>
            <w:r w:rsidR="008B3526">
              <w:rPr>
                <w:rFonts w:cs="Times New Roman"/>
                <w:color w:val="000000"/>
                <w:sz w:val="24"/>
                <w:szCs w:val="24"/>
                <w:bdr w:val="none" w:sz="0" w:space="0" w:color="auto" w:frame="1"/>
                <w:shd w:val="clear" w:color="auto" w:fill="FDFEFD"/>
              </w:rPr>
              <w:t>,00</w:t>
            </w:r>
            <w:r w:rsidR="00B94C0D" w:rsidRPr="00B94C0D">
              <w:rPr>
                <w:rFonts w:cs="Times New Roman"/>
                <w:color w:val="000000"/>
                <w:sz w:val="24"/>
                <w:szCs w:val="24"/>
                <w:shd w:val="clear" w:color="auto" w:fill="FDFEFD"/>
              </w:rPr>
              <w:t> </w:t>
            </w:r>
            <w:r w:rsidR="00857350" w:rsidRPr="00B94C0D">
              <w:rPr>
                <w:rFonts w:eastAsia="Times New Roman" w:cs="Times New Roman"/>
                <w:sz w:val="24"/>
                <w:szCs w:val="24"/>
              </w:rPr>
              <w:t>грн. (з ПДВ).</w:t>
            </w:r>
            <w:r w:rsidR="00857350" w:rsidRPr="00B94C0D">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59322D3F" w:rsidR="00857350" w:rsidRPr="00857350" w:rsidRDefault="00B94C0D" w:rsidP="00F46831">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Відкриті торги з особливостями, відповідно до Постанови Кабінету Міністрів України № 1178 від 12.10.2022 року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16E102F6" w14:textId="77884682" w:rsidR="009C66D7" w:rsidRPr="00F46831" w:rsidRDefault="00857350" w:rsidP="00F46831">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bookmarkStart w:id="0" w:name="_GoBack"/>
      <w:bookmarkEnd w:id="0"/>
    </w:p>
    <w:sectPr w:rsidR="009C66D7" w:rsidRPr="00F46831"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5755" w14:textId="77777777" w:rsidR="003F3908" w:rsidRDefault="003F3908" w:rsidP="003F52D9">
      <w:pPr>
        <w:spacing w:after="0" w:line="240" w:lineRule="auto"/>
      </w:pPr>
      <w:r>
        <w:separator/>
      </w:r>
    </w:p>
  </w:endnote>
  <w:endnote w:type="continuationSeparator" w:id="0">
    <w:p w14:paraId="6AAC6A6B" w14:textId="77777777" w:rsidR="003F3908" w:rsidRDefault="003F3908"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3C212" w14:textId="77777777" w:rsidR="003F3908" w:rsidRDefault="003F3908" w:rsidP="003F52D9">
      <w:pPr>
        <w:spacing w:after="0" w:line="240" w:lineRule="auto"/>
      </w:pPr>
      <w:r>
        <w:separator/>
      </w:r>
    </w:p>
  </w:footnote>
  <w:footnote w:type="continuationSeparator" w:id="0">
    <w:p w14:paraId="28EA10AC" w14:textId="77777777" w:rsidR="003F3908" w:rsidRDefault="003F3908"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A7D"/>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53D04"/>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3908"/>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831"/>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5206">
      <w:bodyDiv w:val="1"/>
      <w:marLeft w:val="0"/>
      <w:marRight w:val="0"/>
      <w:marTop w:val="0"/>
      <w:marBottom w:val="0"/>
      <w:divBdr>
        <w:top w:val="none" w:sz="0" w:space="0" w:color="auto"/>
        <w:left w:val="none" w:sz="0" w:space="0" w:color="auto"/>
        <w:bottom w:val="none" w:sz="0" w:space="0" w:color="auto"/>
        <w:right w:val="none" w:sz="0" w:space="0" w:color="auto"/>
      </w:divBdr>
    </w:div>
    <w:div w:id="446579756">
      <w:bodyDiv w:val="1"/>
      <w:marLeft w:val="0"/>
      <w:marRight w:val="0"/>
      <w:marTop w:val="0"/>
      <w:marBottom w:val="0"/>
      <w:divBdr>
        <w:top w:val="none" w:sz="0" w:space="0" w:color="auto"/>
        <w:left w:val="none" w:sz="0" w:space="0" w:color="auto"/>
        <w:bottom w:val="none" w:sz="0" w:space="0" w:color="auto"/>
        <w:right w:val="none" w:sz="0" w:space="0" w:color="auto"/>
      </w:divBdr>
    </w:div>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2CFB8-51F8-4DE8-B954-250E2F56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433</Words>
  <Characters>2473</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138</cp:revision>
  <cp:lastPrinted>2023-05-30T12:51:00Z</cp:lastPrinted>
  <dcterms:created xsi:type="dcterms:W3CDTF">2024-04-30T08:20:00Z</dcterms:created>
  <dcterms:modified xsi:type="dcterms:W3CDTF">2026-03-18T10:21:00Z</dcterms:modified>
</cp:coreProperties>
</file>