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9D11B8" w:rsidRDefault="00857350" w:rsidP="00857350">
      <w:pPr>
        <w:spacing w:after="0" w:line="240" w:lineRule="auto"/>
        <w:jc w:val="center"/>
        <w:textAlignment w:val="baseline"/>
        <w:rPr>
          <w:rFonts w:eastAsia="Times New Roman" w:cs="Times New Roman"/>
          <w:sz w:val="24"/>
          <w:szCs w:val="24"/>
          <w:lang w:val="en-US"/>
        </w:rPr>
      </w:pPr>
      <w:r w:rsidRPr="009D11B8">
        <w:rPr>
          <w:rFonts w:eastAsia="Times New Roman" w:cs="Times New Roman"/>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9D11B8">
        <w:rPr>
          <w:rFonts w:eastAsia="Times New Roman" w:cs="Times New Roman"/>
          <w:sz w:val="24"/>
          <w:szCs w:val="24"/>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9D11B8"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1.</w:t>
            </w:r>
            <w:r w:rsidRPr="009D11B8">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D11B8">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5F781D4E" w:rsidR="00857350" w:rsidRPr="009D11B8" w:rsidRDefault="00B94C0D"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 xml:space="preserve"> </w:t>
            </w:r>
            <w:r w:rsidR="00857350" w:rsidRPr="009D11B8">
              <w:rPr>
                <w:rFonts w:eastAsia="Times New Roman" w:cs="Times New Roman"/>
                <w:sz w:val="24"/>
                <w:szCs w:val="24"/>
              </w:rPr>
              <w:t>Управління житлово-комунального господарства, благоустрою та екології Тернопільської міської ради. м. Тернопіль, вул. Миколая Коперника,1. 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00857350" w:rsidRPr="009D11B8">
              <w:rPr>
                <w:rFonts w:eastAsia="Times New Roman" w:cs="Times New Roman"/>
                <w:sz w:val="24"/>
                <w:szCs w:val="24"/>
                <w:lang w:val="en-US"/>
              </w:rPr>
              <w:t> </w:t>
            </w:r>
          </w:p>
        </w:tc>
      </w:tr>
      <w:tr w:rsidR="00857350" w:rsidRPr="009D11B8"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2.</w:t>
            </w:r>
            <w:r w:rsidRPr="009D11B8">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9D11B8">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E2B956E" w14:textId="64FA0038" w:rsidR="009D11B8" w:rsidRPr="009D11B8" w:rsidRDefault="00B94C0D" w:rsidP="009D11B8">
            <w:pPr>
              <w:widowControl w:val="0"/>
              <w:spacing w:after="60"/>
              <w:ind w:right="113" w:hanging="2"/>
              <w:contextualSpacing/>
              <w:jc w:val="center"/>
              <w:rPr>
                <w:rFonts w:cs="Times New Roman"/>
                <w:bCs/>
                <w:kern w:val="32"/>
                <w:sz w:val="24"/>
                <w:szCs w:val="24"/>
              </w:rPr>
            </w:pPr>
            <w:r w:rsidRPr="009D11B8">
              <w:rPr>
                <w:rFonts w:cs="Times New Roman"/>
                <w:bCs/>
                <w:spacing w:val="-5"/>
                <w:sz w:val="24"/>
                <w:szCs w:val="24"/>
              </w:rPr>
              <w:t xml:space="preserve"> </w:t>
            </w:r>
            <w:r w:rsidR="009D11B8" w:rsidRPr="009D11B8">
              <w:rPr>
                <w:rFonts w:cs="Times New Roman"/>
                <w:bCs/>
                <w:sz w:val="24"/>
                <w:szCs w:val="24"/>
              </w:rPr>
              <w:t>Електрична енергія для потреб адмінприміщення та інші</w:t>
            </w:r>
            <w:r w:rsidR="009D11B8" w:rsidRPr="009D11B8">
              <w:rPr>
                <w:rFonts w:cs="Times New Roman"/>
                <w:sz w:val="24"/>
                <w:szCs w:val="24"/>
              </w:rPr>
              <w:t xml:space="preserve"> </w:t>
            </w:r>
            <w:r w:rsidR="009D11B8" w:rsidRPr="009D11B8">
              <w:rPr>
                <w:rFonts w:cs="Times New Roman"/>
                <w:sz w:val="24"/>
                <w:szCs w:val="24"/>
              </w:rPr>
              <w:t xml:space="preserve">(ДК 021:2015 код </w:t>
            </w:r>
            <w:r w:rsidR="009D11B8" w:rsidRPr="009D11B8">
              <w:rPr>
                <w:rFonts w:cs="Times New Roman"/>
                <w:color w:val="000000"/>
                <w:sz w:val="24"/>
                <w:szCs w:val="24"/>
              </w:rPr>
              <w:t>09310000-5 - Електрична енергія</w:t>
            </w:r>
            <w:r w:rsidR="009D11B8" w:rsidRPr="009D11B8">
              <w:rPr>
                <w:rFonts w:cs="Times New Roman"/>
                <w:sz w:val="24"/>
                <w:szCs w:val="24"/>
              </w:rPr>
              <w:t>).</w:t>
            </w:r>
          </w:p>
          <w:p w14:paraId="49109260" w14:textId="77777777" w:rsidR="009D11B8" w:rsidRPr="009D11B8" w:rsidRDefault="009D11B8" w:rsidP="009D11B8">
            <w:pPr>
              <w:spacing w:before="240" w:after="0" w:line="240" w:lineRule="auto"/>
              <w:rPr>
                <w:rFonts w:eastAsia="Times New Roman" w:cs="Times New Roman"/>
                <w:sz w:val="24"/>
                <w:szCs w:val="24"/>
              </w:rPr>
            </w:pPr>
            <w:r w:rsidRPr="009D11B8">
              <w:rPr>
                <w:rFonts w:eastAsia="Times New Roman" w:cs="Times New Roman"/>
                <w:color w:val="000000"/>
                <w:sz w:val="24"/>
                <w:szCs w:val="24"/>
              </w:rPr>
              <w:t> </w:t>
            </w:r>
          </w:p>
          <w:p w14:paraId="2C711D36" w14:textId="1E37CFCC" w:rsidR="009D11B8" w:rsidRPr="009D11B8" w:rsidRDefault="009D11B8" w:rsidP="009D11B8">
            <w:pPr>
              <w:spacing w:line="300" w:lineRule="atLeast"/>
              <w:textAlignment w:val="baseline"/>
              <w:rPr>
                <w:rFonts w:cs="Times New Roman"/>
                <w:sz w:val="24"/>
                <w:szCs w:val="24"/>
                <w:shd w:val="clear" w:color="auto" w:fill="FDFEFD"/>
              </w:rPr>
            </w:pPr>
          </w:p>
          <w:p w14:paraId="64EB195B" w14:textId="59AF12CD" w:rsidR="00046A7D" w:rsidRPr="009D11B8" w:rsidRDefault="00046A7D" w:rsidP="00046A7D">
            <w:pPr>
              <w:widowControl w:val="0"/>
              <w:spacing w:after="60"/>
              <w:ind w:right="113"/>
              <w:contextualSpacing/>
              <w:jc w:val="both"/>
              <w:rPr>
                <w:rFonts w:cs="Times New Roman"/>
                <w:bCs/>
                <w:kern w:val="32"/>
                <w:sz w:val="24"/>
                <w:szCs w:val="24"/>
              </w:rPr>
            </w:pPr>
          </w:p>
          <w:p w14:paraId="6A03CC94" w14:textId="4DA242D7" w:rsidR="00857350" w:rsidRPr="009D11B8" w:rsidRDefault="00857350" w:rsidP="00857350">
            <w:pPr>
              <w:shd w:val="clear" w:color="auto" w:fill="FFFFFF"/>
              <w:spacing w:after="0" w:line="240" w:lineRule="auto"/>
              <w:jc w:val="both"/>
              <w:textAlignment w:val="baseline"/>
              <w:rPr>
                <w:rFonts w:eastAsia="Times New Roman" w:cs="Times New Roman"/>
                <w:sz w:val="24"/>
                <w:szCs w:val="24"/>
                <w:lang w:val="en-US"/>
              </w:rPr>
            </w:pPr>
          </w:p>
        </w:tc>
      </w:tr>
      <w:tr w:rsidR="00857350" w:rsidRPr="009D11B8" w14:paraId="152D3FDB"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3.</w:t>
            </w:r>
            <w:r w:rsidRPr="009D11B8">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Ідентифікатор закупівлі: </w:t>
            </w:r>
            <w:r w:rsidRPr="009D11B8">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0DA63A3" w14:textId="7EA48C96" w:rsidR="00857350" w:rsidRPr="009D11B8" w:rsidRDefault="009D11B8" w:rsidP="00B94C0D">
            <w:pPr>
              <w:spacing w:line="240" w:lineRule="atLeast"/>
              <w:rPr>
                <w:rFonts w:cs="Times New Roman"/>
                <w:color w:val="6D6D6D"/>
                <w:sz w:val="24"/>
                <w:szCs w:val="24"/>
                <w:lang w:val="en-US"/>
              </w:rPr>
            </w:pPr>
            <w:hyperlink r:id="rId8" w:tgtFrame="_blank" w:tooltip="Оголошення на порталі Уповноваженого органу" w:history="1">
              <w:r w:rsidRPr="009D11B8">
                <w:rPr>
                  <w:rStyle w:val="js-apiid"/>
                  <w:rFonts w:cs="Times New Roman"/>
                  <w:color w:val="000000"/>
                  <w:sz w:val="24"/>
                  <w:szCs w:val="24"/>
                  <w:bdr w:val="none" w:sz="0" w:space="0" w:color="auto" w:frame="1"/>
                </w:rPr>
                <w:t>UA-2026-03-27-011350-a</w:t>
              </w:r>
            </w:hyperlink>
          </w:p>
        </w:tc>
      </w:tr>
      <w:tr w:rsidR="00857350" w:rsidRPr="009D11B8" w14:paraId="36EAF5B9"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4.</w:t>
            </w:r>
            <w:r w:rsidRPr="009D11B8">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Обґрунтування технічних та якісних характеристик предмета закупівлі.</w:t>
            </w:r>
            <w:r w:rsidRPr="009D11B8">
              <w:rPr>
                <w:rFonts w:eastAsia="Times New Roman" w:cs="Times New Roman"/>
                <w:sz w:val="24"/>
                <w:szCs w:val="24"/>
                <w:lang w:val="en-US"/>
              </w:rPr>
              <w:t> </w:t>
            </w:r>
          </w:p>
          <w:p w14:paraId="353BE6BE"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60FCAFB" w14:textId="6A5939D0" w:rsidR="00857350" w:rsidRPr="009D11B8" w:rsidRDefault="00B94C0D"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 xml:space="preserve"> </w:t>
            </w:r>
            <w:r w:rsidR="009D11B8" w:rsidRPr="009D11B8">
              <w:rPr>
                <w:rFonts w:cs="Times New Roman"/>
                <w:spacing w:val="-3"/>
                <w:sz w:val="24"/>
                <w:szCs w:val="24"/>
              </w:rPr>
              <w:t xml:space="preserve">Згідно </w:t>
            </w:r>
            <w:r w:rsidR="009D11B8" w:rsidRPr="009D11B8">
              <w:rPr>
                <w:rFonts w:cs="Times New Roman"/>
                <w:sz w:val="24"/>
                <w:szCs w:val="24"/>
              </w:rPr>
              <w:t>лис</w:t>
            </w:r>
            <w:bookmarkStart w:id="0" w:name="_GoBack"/>
            <w:bookmarkEnd w:id="0"/>
            <w:r w:rsidR="009D11B8" w:rsidRPr="009D11B8">
              <w:rPr>
                <w:rFonts w:cs="Times New Roman"/>
                <w:sz w:val="24"/>
                <w:szCs w:val="24"/>
              </w:rPr>
              <w:t>та фінансово-бухгалтерського відділу</w:t>
            </w:r>
          </w:p>
        </w:tc>
      </w:tr>
      <w:tr w:rsidR="00857350" w:rsidRPr="009D11B8"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4.1.</w:t>
            </w:r>
            <w:r w:rsidRPr="009D11B8">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Обґрунтування розміру бюджетного призначення.</w:t>
            </w:r>
            <w:r w:rsidRPr="009D11B8">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0C9D4512" w:rsidR="00857350" w:rsidRPr="009D11B8" w:rsidRDefault="00B94C0D"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 xml:space="preserve"> </w:t>
            </w:r>
            <w:r w:rsidR="00857350" w:rsidRPr="009D11B8">
              <w:rPr>
                <w:rFonts w:eastAsia="Times New Roman" w:cs="Times New Roman"/>
                <w:sz w:val="24"/>
                <w:szCs w:val="24"/>
              </w:rPr>
              <w:t>Розмір бюджетного призначення передбачений по КПКВК 1216030 «Організація благоустрою населених пунктів» на 2026 рік за КЕКВ 2240.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00857350" w:rsidRPr="009D11B8">
              <w:rPr>
                <w:rFonts w:eastAsia="Times New Roman" w:cs="Times New Roman"/>
                <w:sz w:val="24"/>
                <w:szCs w:val="24"/>
                <w:lang w:val="en-US"/>
              </w:rPr>
              <w:t> </w:t>
            </w:r>
          </w:p>
        </w:tc>
      </w:tr>
      <w:tr w:rsidR="00857350" w:rsidRPr="009D11B8"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4.2.</w:t>
            </w:r>
            <w:r w:rsidRPr="009D11B8">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Очікувана вартість предмета закупівлі.</w:t>
            </w:r>
            <w:r w:rsidRPr="009D11B8">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10097157" w:rsidR="00857350" w:rsidRPr="009D11B8" w:rsidRDefault="00B94C0D" w:rsidP="009D11B8">
            <w:pPr>
              <w:spacing w:after="0" w:line="240" w:lineRule="auto"/>
              <w:jc w:val="both"/>
              <w:textAlignment w:val="baseline"/>
              <w:rPr>
                <w:rFonts w:eastAsia="Times New Roman" w:cs="Times New Roman"/>
                <w:sz w:val="24"/>
                <w:szCs w:val="24"/>
                <w:lang w:val="en-US"/>
              </w:rPr>
            </w:pPr>
            <w:r w:rsidRPr="009D11B8">
              <w:rPr>
                <w:rFonts w:cs="Times New Roman"/>
                <w:color w:val="000000"/>
                <w:sz w:val="24"/>
                <w:szCs w:val="24"/>
                <w:bdr w:val="none" w:sz="0" w:space="0" w:color="auto" w:frame="1"/>
                <w:shd w:val="clear" w:color="auto" w:fill="FDFEFD"/>
              </w:rPr>
              <w:t xml:space="preserve"> </w:t>
            </w:r>
            <w:r w:rsidR="009D11B8" w:rsidRPr="009D11B8">
              <w:rPr>
                <w:rFonts w:cs="Times New Roman"/>
                <w:color w:val="000000"/>
                <w:sz w:val="24"/>
                <w:szCs w:val="24"/>
                <w:bdr w:val="none" w:sz="0" w:space="0" w:color="auto" w:frame="1"/>
                <w:shd w:val="clear" w:color="auto" w:fill="FDFEFD"/>
              </w:rPr>
              <w:t>570 019</w:t>
            </w:r>
            <w:r w:rsidR="008B3526" w:rsidRPr="009D11B8">
              <w:rPr>
                <w:rFonts w:cs="Times New Roman"/>
                <w:color w:val="000000"/>
                <w:sz w:val="24"/>
                <w:szCs w:val="24"/>
                <w:bdr w:val="none" w:sz="0" w:space="0" w:color="auto" w:frame="1"/>
                <w:shd w:val="clear" w:color="auto" w:fill="FDFEFD"/>
              </w:rPr>
              <w:t>,00</w:t>
            </w:r>
            <w:r w:rsidRPr="009D11B8">
              <w:rPr>
                <w:rFonts w:cs="Times New Roman"/>
                <w:color w:val="000000"/>
                <w:sz w:val="24"/>
                <w:szCs w:val="24"/>
                <w:shd w:val="clear" w:color="auto" w:fill="FDFEFD"/>
              </w:rPr>
              <w:t> </w:t>
            </w:r>
            <w:r w:rsidR="00857350" w:rsidRPr="009D11B8">
              <w:rPr>
                <w:rFonts w:eastAsia="Times New Roman" w:cs="Times New Roman"/>
                <w:sz w:val="24"/>
                <w:szCs w:val="24"/>
              </w:rPr>
              <w:t>грн. (з ПДВ).</w:t>
            </w:r>
            <w:r w:rsidR="00857350" w:rsidRPr="009D11B8">
              <w:rPr>
                <w:rFonts w:eastAsia="Times New Roman" w:cs="Times New Roman"/>
                <w:sz w:val="24"/>
                <w:szCs w:val="24"/>
                <w:lang w:val="en-US"/>
              </w:rPr>
              <w:t> </w:t>
            </w:r>
          </w:p>
        </w:tc>
      </w:tr>
      <w:tr w:rsidR="00857350" w:rsidRPr="009D11B8"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4.3</w:t>
            </w:r>
            <w:r w:rsidRPr="009D11B8">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Обґрунтування очікуваної вартості предмета закупівлі.</w:t>
            </w:r>
            <w:r w:rsidRPr="009D11B8">
              <w:rPr>
                <w:rFonts w:eastAsia="Times New Roman" w:cs="Times New Roman"/>
                <w:sz w:val="24"/>
                <w:szCs w:val="24"/>
                <w:lang w:val="en-US"/>
              </w:rPr>
              <w:t> </w:t>
            </w:r>
          </w:p>
          <w:p w14:paraId="5FC92C0A"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2F9E5018" w:rsidR="00857350" w:rsidRPr="009D11B8" w:rsidRDefault="00B94C0D" w:rsidP="00CC2824">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 xml:space="preserve"> </w:t>
            </w:r>
            <w:r w:rsidR="00857350" w:rsidRPr="009D11B8">
              <w:rPr>
                <w:rFonts w:eastAsia="Times New Roman" w:cs="Times New Roman"/>
                <w:sz w:val="24"/>
                <w:szCs w:val="24"/>
              </w:rPr>
              <w:t>Визначення очікуваної вартості предмета закупівлі здійснювалося із врахуванням рекомендацій Примірної методики </w:t>
            </w:r>
            <w:r w:rsidR="00857350" w:rsidRPr="009D11B8">
              <w:rPr>
                <w:rFonts w:eastAsia="Times New Roman" w:cs="Times New Roman"/>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00CC2824" w:rsidRPr="009D11B8">
              <w:rPr>
                <w:rFonts w:eastAsia="Times New Roman" w:cs="Times New Roman"/>
                <w:sz w:val="24"/>
                <w:szCs w:val="24"/>
              </w:rPr>
              <w:t>.</w:t>
            </w:r>
          </w:p>
        </w:tc>
      </w:tr>
      <w:tr w:rsidR="00857350" w:rsidRPr="009D11B8"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5.</w:t>
            </w:r>
            <w:r w:rsidRPr="009D11B8">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Процедура закупівлі.</w:t>
            </w:r>
            <w:r w:rsidRPr="009D11B8">
              <w:rPr>
                <w:rFonts w:eastAsia="Times New Roman" w:cs="Times New Roman"/>
                <w:sz w:val="24"/>
                <w:szCs w:val="24"/>
                <w:lang w:val="en-US"/>
              </w:rPr>
              <w:t> </w:t>
            </w:r>
          </w:p>
          <w:p w14:paraId="2BFE8140" w14:textId="77777777" w:rsidR="00857350" w:rsidRPr="009D11B8" w:rsidRDefault="00857350"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5DB890F1" w:rsidR="00857350" w:rsidRPr="009D11B8" w:rsidRDefault="00B94C0D" w:rsidP="00857350">
            <w:pPr>
              <w:spacing w:after="0" w:line="240" w:lineRule="auto"/>
              <w:jc w:val="both"/>
              <w:textAlignment w:val="baseline"/>
              <w:rPr>
                <w:rFonts w:eastAsia="Times New Roman" w:cs="Times New Roman"/>
                <w:sz w:val="24"/>
                <w:szCs w:val="24"/>
                <w:lang w:val="en-US"/>
              </w:rPr>
            </w:pPr>
            <w:r w:rsidRPr="009D11B8">
              <w:rPr>
                <w:rFonts w:eastAsia="Times New Roman" w:cs="Times New Roman"/>
                <w:sz w:val="24"/>
                <w:szCs w:val="24"/>
              </w:rPr>
              <w:t xml:space="preserve"> </w:t>
            </w:r>
            <w:r w:rsidR="00857350" w:rsidRPr="009D11B8">
              <w:rPr>
                <w:rFonts w:eastAsia="Times New Roman" w:cs="Times New Roman"/>
                <w:sz w:val="24"/>
                <w:szCs w:val="24"/>
              </w:rPr>
              <w:t>Відкриті торги з особливостями,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w:t>
            </w:r>
            <w:r w:rsidR="00857350" w:rsidRPr="009D11B8">
              <w:rPr>
                <w:rFonts w:eastAsia="Times New Roman" w:cs="Times New Roman"/>
                <w:sz w:val="24"/>
                <w:szCs w:val="24"/>
                <w:lang w:val="en-US"/>
              </w:rPr>
              <w:t> </w:t>
            </w:r>
          </w:p>
        </w:tc>
      </w:tr>
    </w:tbl>
    <w:p w14:paraId="2A3AE963" w14:textId="77777777" w:rsidR="00857350" w:rsidRPr="009D11B8" w:rsidRDefault="00857350" w:rsidP="00857350">
      <w:pPr>
        <w:spacing w:after="0" w:line="240" w:lineRule="auto"/>
        <w:textAlignment w:val="baseline"/>
        <w:rPr>
          <w:rFonts w:eastAsia="Times New Roman" w:cs="Times New Roman"/>
          <w:sz w:val="24"/>
          <w:szCs w:val="24"/>
          <w:lang w:val="en-US"/>
        </w:rPr>
      </w:pPr>
      <w:r w:rsidRPr="009D11B8">
        <w:rPr>
          <w:rFonts w:eastAsia="Times New Roman" w:cs="Times New Roman"/>
          <w:sz w:val="24"/>
          <w:szCs w:val="24"/>
          <w:lang w:val="en-US"/>
        </w:rPr>
        <w:t> </w:t>
      </w:r>
    </w:p>
    <w:p w14:paraId="16E102F6" w14:textId="49F3F33D" w:rsidR="009C66D7" w:rsidRPr="009D11B8" w:rsidRDefault="009C66D7" w:rsidP="009D11B8">
      <w:pPr>
        <w:spacing w:after="0" w:line="240" w:lineRule="auto"/>
        <w:textAlignment w:val="baseline"/>
        <w:rPr>
          <w:rFonts w:eastAsia="Times New Roman" w:cs="Times New Roman"/>
          <w:sz w:val="24"/>
          <w:szCs w:val="24"/>
          <w:lang w:val="en-US"/>
        </w:rPr>
      </w:pPr>
    </w:p>
    <w:sectPr w:rsidR="009C66D7" w:rsidRPr="009D11B8"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EF43" w14:textId="77777777" w:rsidR="005C361F" w:rsidRDefault="005C361F" w:rsidP="003F52D9">
      <w:pPr>
        <w:spacing w:after="0" w:line="240" w:lineRule="auto"/>
      </w:pPr>
      <w:r>
        <w:separator/>
      </w:r>
    </w:p>
  </w:endnote>
  <w:endnote w:type="continuationSeparator" w:id="0">
    <w:p w14:paraId="6BD4B2E0" w14:textId="77777777" w:rsidR="005C361F" w:rsidRDefault="005C361F"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ADFE4" w14:textId="77777777" w:rsidR="005C361F" w:rsidRDefault="005C361F" w:rsidP="003F52D9">
      <w:pPr>
        <w:spacing w:after="0" w:line="240" w:lineRule="auto"/>
      </w:pPr>
      <w:r>
        <w:separator/>
      </w:r>
    </w:p>
  </w:footnote>
  <w:footnote w:type="continuationSeparator" w:id="0">
    <w:p w14:paraId="39FC4CC2" w14:textId="77777777" w:rsidR="005C361F" w:rsidRDefault="005C361F"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A7D"/>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12F3"/>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0D23"/>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53D04"/>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588C"/>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361F"/>
    <w:rsid w:val="005C523F"/>
    <w:rsid w:val="005C6FD8"/>
    <w:rsid w:val="005C7F49"/>
    <w:rsid w:val="005D344D"/>
    <w:rsid w:val="005D619B"/>
    <w:rsid w:val="005E5376"/>
    <w:rsid w:val="005E72D3"/>
    <w:rsid w:val="005F4880"/>
    <w:rsid w:val="005F643F"/>
    <w:rsid w:val="005F7C5E"/>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34AA5"/>
    <w:rsid w:val="00840CDD"/>
    <w:rsid w:val="00841324"/>
    <w:rsid w:val="00842466"/>
    <w:rsid w:val="00844620"/>
    <w:rsid w:val="00847708"/>
    <w:rsid w:val="00852A5E"/>
    <w:rsid w:val="00852F74"/>
    <w:rsid w:val="0085426A"/>
    <w:rsid w:val="008557FD"/>
    <w:rsid w:val="00857350"/>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3526"/>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11B8"/>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4C0D"/>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3A15"/>
    <w:rsid w:val="00CC0224"/>
    <w:rsid w:val="00CC1446"/>
    <w:rsid w:val="00CC2420"/>
    <w:rsid w:val="00CC2824"/>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 w:type="character" w:customStyle="1" w:styleId="js-apiid">
    <w:name w:val="js-apiid"/>
    <w:basedOn w:val="a0"/>
    <w:rsid w:val="00B9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5206">
      <w:bodyDiv w:val="1"/>
      <w:marLeft w:val="0"/>
      <w:marRight w:val="0"/>
      <w:marTop w:val="0"/>
      <w:marBottom w:val="0"/>
      <w:divBdr>
        <w:top w:val="none" w:sz="0" w:space="0" w:color="auto"/>
        <w:left w:val="none" w:sz="0" w:space="0" w:color="auto"/>
        <w:bottom w:val="none" w:sz="0" w:space="0" w:color="auto"/>
        <w:right w:val="none" w:sz="0" w:space="0" w:color="auto"/>
      </w:divBdr>
    </w:div>
    <w:div w:id="762527464">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63285733">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3-27-011350-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E584B-F691-44B5-ADC4-16B1FCF4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437</Words>
  <Characters>2496</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141</cp:revision>
  <cp:lastPrinted>2023-05-30T12:51:00Z</cp:lastPrinted>
  <dcterms:created xsi:type="dcterms:W3CDTF">2024-04-30T08:20:00Z</dcterms:created>
  <dcterms:modified xsi:type="dcterms:W3CDTF">2026-03-27T15:28:00Z</dcterms:modified>
</cp:coreProperties>
</file>