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BF" w:rsidRDefault="005D0AF5">
      <w:pPr>
        <w:spacing w:after="0" w:line="240" w:lineRule="auto"/>
        <w:ind w:right="-143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Додаток                                     </w:t>
      </w:r>
    </w:p>
    <w:p w:rsidR="00CB43BF" w:rsidRDefault="00CB43BF">
      <w:pPr>
        <w:spacing w:after="0" w:line="240" w:lineRule="auto"/>
        <w:ind w:left="-851" w:right="-143" w:firstLine="540"/>
        <w:jc w:val="both"/>
        <w:rPr>
          <w:rFonts w:ascii="Times New Roman" w:hAnsi="Times New Roman"/>
          <w:sz w:val="24"/>
          <w:szCs w:val="24"/>
        </w:rPr>
      </w:pPr>
    </w:p>
    <w:p w:rsidR="005D0AF5" w:rsidRDefault="005D0AF5" w:rsidP="005D0AF5">
      <w:pPr>
        <w:spacing w:after="0" w:line="240" w:lineRule="auto"/>
        <w:ind w:right="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ПОРЯДОК</w:t>
      </w:r>
    </w:p>
    <w:p w:rsidR="005D0AF5" w:rsidRDefault="005D0AF5" w:rsidP="005D0AF5">
      <w:pPr>
        <w:spacing w:after="0" w:line="240" w:lineRule="auto"/>
        <w:ind w:left="-851" w:right="-143" w:firstLine="540"/>
        <w:jc w:val="both"/>
        <w:rPr>
          <w:rFonts w:ascii="Times New Roman" w:hAnsi="Times New Roman"/>
          <w:sz w:val="24"/>
          <w:szCs w:val="24"/>
        </w:rPr>
      </w:pPr>
    </w:p>
    <w:p w:rsidR="005D0AF5" w:rsidRDefault="005D0AF5" w:rsidP="005D0AF5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відрахування до бюджету громади частини чистого прибутку (доходу) комунальними унітарними  підприємствами та їх об’єднаннями, що належать до комунальної власності Тернопільської міської територіальної громади</w:t>
      </w:r>
    </w:p>
    <w:p w:rsidR="005D0AF5" w:rsidRDefault="005D0AF5" w:rsidP="005D0AF5">
      <w:pPr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5D0AF5" w:rsidRDefault="005D0AF5" w:rsidP="005D0AF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 Згідно з цим Порядком комунальні унітарні підприємства та їх об’єднання, що належать до комунальної власності міської територіальної громади, здійснюють відрахування до  бюджету громади частини чистого прибутку (доходу) за результатами  щоквартальної фінансово-господарської діяльності ( перший квартал,  перше півріччя, три квартали, рік).</w:t>
      </w:r>
    </w:p>
    <w:p w:rsidR="005D0AF5" w:rsidRDefault="005D0AF5" w:rsidP="005D0AF5">
      <w:pPr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2.Відрахування частини чистого прибутку (доходу) здійснюється у розмірі, встановленому рішенням Тернопільської міської ради про бюджет громади на поточний рік. </w:t>
      </w:r>
    </w:p>
    <w:p w:rsidR="005D0AF5" w:rsidRDefault="005D0AF5" w:rsidP="005D0AF5">
      <w:pPr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3.Частина чистого прибутку (доходу), що підлягає сплаті до бюджету громади, визначається комунальними унітарними підприємствами та їх об’єднаннями  самостійно відповідно до Положення (стандарту) бухгалтерського </w:t>
      </w:r>
      <w:r>
        <w:rPr>
          <w:rFonts w:ascii="Times New Roman" w:hAnsi="Times New Roman"/>
          <w:sz w:val="24"/>
        </w:rPr>
        <w:t xml:space="preserve">обліку </w:t>
      </w:r>
      <w:r>
        <w:rPr>
          <w:rFonts w:ascii="Times New Roman" w:hAnsi="Times New Roman"/>
          <w:sz w:val="24"/>
          <w:szCs w:val="24"/>
        </w:rPr>
        <w:t xml:space="preserve">та розміру відрахувань частини прибутку (доходу), зазначеного у пункті 2 цього Порядку. </w:t>
      </w:r>
    </w:p>
    <w:p w:rsidR="005D0AF5" w:rsidRDefault="005D0AF5" w:rsidP="005D0AF5">
      <w:pPr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4.Розрахунок частини чистого прибутку (доходу) складається наростаючим підсумком та подається в Головне управління ДПС у Тернопільській області протягом 40 календарних днів, що настають за останнім календарним днем звітного кварталу, 60 календарних днів -  звітного року.</w:t>
      </w:r>
    </w:p>
    <w:p w:rsidR="005D0AF5" w:rsidRDefault="005D0AF5" w:rsidP="005D0AF5">
      <w:pPr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B02E3">
        <w:rPr>
          <w:rFonts w:ascii="Times New Roman" w:hAnsi="Times New Roman"/>
          <w:sz w:val="24"/>
          <w:szCs w:val="24"/>
        </w:rPr>
        <w:t>Частина чистого прибутку (доходу) сплачується до загального фонду бюджету громади</w:t>
      </w:r>
      <w:r>
        <w:rPr>
          <w:rFonts w:ascii="Times New Roman" w:hAnsi="Times New Roman"/>
          <w:sz w:val="24"/>
          <w:szCs w:val="24"/>
        </w:rPr>
        <w:t xml:space="preserve">   відповідно до статті  57 Податкового кодексу України  протягом 10  календарних днів після подання  граничного строку  розрахунку частини чистого прибутку на рахунок, відкритий в органах Державної казначейської служби за КБК 21010302</w:t>
      </w:r>
      <w:r>
        <w:rPr>
          <w:rFonts w:ascii="Arial" w:hAnsi="Arial"/>
          <w:color w:val="000000"/>
          <w:shd w:val="clear" w:color="auto" w:fill="FFFFFF"/>
        </w:rPr>
        <w:t xml:space="preserve"> «</w:t>
      </w:r>
      <w:r>
        <w:rPr>
          <w:rFonts w:ascii="Times New Roman" w:hAnsi="Times New Roman"/>
          <w:sz w:val="24"/>
          <w:szCs w:val="24"/>
        </w:rPr>
        <w:t>Частина чистого прибутку (доходу) комунальних унітарних підприємств та їх об’єднань, що вилучається до відповідного місцевого бюджету (комунальної власності об’єднаної територіальної громади, району у місті, міста районного значення, села, селища та їх об’єднань)».</w:t>
      </w:r>
    </w:p>
    <w:p w:rsidR="005D0AF5" w:rsidRDefault="005D0AF5" w:rsidP="005D0AF5">
      <w:pPr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804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Інформація про сплату частини чистого прибутку (доходу) подається  до фінансового управління Тернопільської міської ради.</w:t>
      </w:r>
    </w:p>
    <w:p w:rsidR="005D0AF5" w:rsidRDefault="005D0AF5" w:rsidP="005D0AF5">
      <w:pPr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Контроль за своєчасністю, достовірністю, повнотою нарахувань та сплати частини чистого прибутку (доходу) до бюджету громади комунальними унітарними підприємствами  здійснюється Головним управлінням ДПС у Тернопільській області. </w:t>
      </w:r>
    </w:p>
    <w:p w:rsidR="00CB43BF" w:rsidRDefault="00CB43BF">
      <w:pPr>
        <w:spacing w:after="0" w:line="240" w:lineRule="auto"/>
        <w:ind w:left="-851" w:right="-143"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B43BF" w:rsidRDefault="005D0AF5">
      <w:pPr>
        <w:spacing w:after="0" w:line="240" w:lineRule="auto"/>
        <w:ind w:left="-851" w:right="-14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Міський голова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Сергій НАДАЛ</w:t>
      </w:r>
    </w:p>
    <w:p w:rsidR="00CB43BF" w:rsidRDefault="00CB43BF"/>
    <w:sectPr w:rsidR="00CB43BF">
      <w:pgSz w:w="12240" w:h="15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BF"/>
    <w:rsid w:val="005D0AF5"/>
    <w:rsid w:val="00CB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9B5C2-6C7A-49E8-8591-1719FF33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МФУ</dc:creator>
  <cp:lastModifiedBy>МФУ</cp:lastModifiedBy>
  <cp:revision>5</cp:revision>
  <dcterms:created xsi:type="dcterms:W3CDTF">2025-12-03T12:16:00Z</dcterms:created>
  <dcterms:modified xsi:type="dcterms:W3CDTF">2025-12-15T09:49:00Z</dcterms:modified>
</cp:coreProperties>
</file>