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0B10" w:rsidRDefault="003E31C7">
      <w:pPr>
        <w:pStyle w:val="ab"/>
        <w:spacing w:before="0" w:beforeAutospacing="0" w:after="0" w:afterAutospacing="0"/>
        <w:rPr>
          <w:color w:val="000000"/>
          <w:sz w:val="27"/>
          <w:szCs w:val="27"/>
        </w:rPr>
      </w:pPr>
      <w:r>
        <w:rPr>
          <w:color w:val="000000"/>
        </w:rPr>
        <w:tab/>
      </w:r>
      <w:r>
        <w:rPr>
          <w:color w:val="000000"/>
        </w:rPr>
        <w:tab/>
        <w:t xml:space="preserve">                                                                           Додаток</w:t>
      </w:r>
    </w:p>
    <w:p w:rsidR="006A0B10" w:rsidRDefault="003E31C7">
      <w:pPr>
        <w:pStyle w:val="ab"/>
        <w:spacing w:before="0" w:beforeAutospacing="0" w:after="0" w:afterAutospacing="0"/>
        <w:rPr>
          <w:color w:val="000000"/>
          <w:sz w:val="27"/>
          <w:szCs w:val="27"/>
        </w:rPr>
      </w:pPr>
      <w:r>
        <w:rPr>
          <w:color w:val="000000"/>
        </w:rPr>
        <w:t xml:space="preserve">                                                                                                  до рішення виконавчого комітету</w:t>
      </w:r>
    </w:p>
    <w:p w:rsidR="006A0B10" w:rsidRDefault="003E31C7">
      <w:pPr>
        <w:pStyle w:val="ab"/>
        <w:spacing w:before="0" w:beforeAutospacing="0" w:after="0" w:afterAutospacing="0"/>
        <w:ind w:left="1620" w:hanging="912"/>
        <w:jc w:val="center"/>
        <w:rPr>
          <w:color w:val="000000"/>
          <w:sz w:val="28"/>
          <w:szCs w:val="28"/>
        </w:rPr>
      </w:pPr>
      <w:r>
        <w:rPr>
          <w:color w:val="000000"/>
        </w:rPr>
        <w:t> </w:t>
      </w:r>
      <w:r>
        <w:rPr>
          <w:color w:val="000000"/>
          <w:sz w:val="28"/>
          <w:szCs w:val="28"/>
        </w:rPr>
        <w:t> </w:t>
      </w:r>
    </w:p>
    <w:p w:rsidR="006A0B10" w:rsidRDefault="003E31C7">
      <w:pPr>
        <w:pStyle w:val="ab"/>
        <w:spacing w:before="0" w:beforeAutospacing="0" w:after="0" w:afterAutospacing="0"/>
        <w:jc w:val="center"/>
        <w:rPr>
          <w:color w:val="000000"/>
          <w:sz w:val="27"/>
          <w:szCs w:val="27"/>
        </w:rPr>
      </w:pPr>
      <w:r>
        <w:rPr>
          <w:color w:val="000000"/>
          <w:sz w:val="28"/>
          <w:szCs w:val="28"/>
        </w:rPr>
        <w:t>ВИСНОВОК</w:t>
      </w:r>
    </w:p>
    <w:p w:rsidR="006A0B10" w:rsidRDefault="003E31C7">
      <w:pPr>
        <w:pStyle w:val="ab"/>
        <w:spacing w:before="0" w:beforeAutospacing="0" w:after="0" w:afterAutospacing="0"/>
        <w:ind w:right="-185"/>
        <w:jc w:val="center"/>
        <w:rPr>
          <w:color w:val="000000"/>
          <w:sz w:val="28"/>
          <w:szCs w:val="28"/>
        </w:rPr>
      </w:pPr>
      <w:r>
        <w:rPr>
          <w:color w:val="000000"/>
          <w:sz w:val="28"/>
          <w:szCs w:val="28"/>
        </w:rPr>
        <w:t>органу опіки та піклування щодо</w:t>
      </w:r>
      <w:r>
        <w:t xml:space="preserve"> </w:t>
      </w:r>
      <w:r>
        <w:rPr>
          <w:color w:val="000000"/>
          <w:sz w:val="28"/>
          <w:szCs w:val="28"/>
        </w:rPr>
        <w:t xml:space="preserve">доцільності визначення місця </w:t>
      </w:r>
    </w:p>
    <w:p w:rsidR="006A0B10" w:rsidRDefault="003E31C7">
      <w:pPr>
        <w:pStyle w:val="ab"/>
        <w:spacing w:before="0" w:beforeAutospacing="0" w:after="0" w:afterAutospacing="0"/>
        <w:ind w:right="-185"/>
        <w:jc w:val="center"/>
        <w:rPr>
          <w:color w:val="000000"/>
          <w:sz w:val="28"/>
          <w:szCs w:val="28"/>
        </w:rPr>
      </w:pPr>
      <w:r>
        <w:rPr>
          <w:color w:val="000000"/>
          <w:sz w:val="28"/>
          <w:szCs w:val="28"/>
        </w:rPr>
        <w:t>проживання дитини з матір’ю та щодо недоцільності визначення способу участі батька у вихованні дитини шляхом спілкування із дитиною</w:t>
      </w:r>
    </w:p>
    <w:p w:rsidR="006A0B10" w:rsidRDefault="003E31C7">
      <w:pPr>
        <w:pStyle w:val="ab"/>
        <w:spacing w:before="0" w:beforeAutospacing="0" w:after="0" w:afterAutospacing="0"/>
        <w:ind w:right="-185"/>
        <w:jc w:val="center"/>
        <w:rPr>
          <w:color w:val="000000"/>
          <w:sz w:val="28"/>
          <w:szCs w:val="28"/>
        </w:rPr>
      </w:pPr>
      <w:r>
        <w:rPr>
          <w:color w:val="000000"/>
          <w:sz w:val="28"/>
          <w:szCs w:val="28"/>
        </w:rPr>
        <w:t>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Органом опіки та піклування розглянуто позовну заяву та матеріали цивільної справи № 607/8075/25, які надійшли із Тернопільського міськрайонного суду Тернопільської області, за позовом </w:t>
      </w:r>
      <w:r w:rsidR="008C3E52">
        <w:rPr>
          <w:color w:val="000000"/>
          <w:sz w:val="28"/>
          <w:szCs w:val="28"/>
        </w:rPr>
        <w:t>…</w:t>
      </w:r>
      <w:r>
        <w:rPr>
          <w:color w:val="000000"/>
          <w:sz w:val="28"/>
          <w:szCs w:val="28"/>
        </w:rPr>
        <w:t xml:space="preserve"> до </w:t>
      </w:r>
      <w:r w:rsidR="008C3E52">
        <w:rPr>
          <w:color w:val="000000"/>
          <w:sz w:val="28"/>
          <w:szCs w:val="28"/>
        </w:rPr>
        <w:t>…</w:t>
      </w:r>
      <w:r>
        <w:rPr>
          <w:color w:val="000000"/>
          <w:sz w:val="28"/>
          <w:szCs w:val="28"/>
        </w:rPr>
        <w:t xml:space="preserve">, третя особа Управління сім’ї, молодіжної політики та захисту дітей Тернопільської міської ради про стягнення аліментів на утримання малолітньої дитини та визначення місця проживання малолітньої дитини </w:t>
      </w:r>
      <w:r w:rsidR="008C3E52">
        <w:rPr>
          <w:color w:val="000000"/>
          <w:sz w:val="28"/>
          <w:szCs w:val="28"/>
        </w:rPr>
        <w:t>…</w:t>
      </w:r>
      <w:r>
        <w:rPr>
          <w:color w:val="000000"/>
          <w:sz w:val="28"/>
          <w:szCs w:val="28"/>
        </w:rPr>
        <w:t xml:space="preserve">, 16.03.2024 року народження, разом із матір’ю </w:t>
      </w:r>
      <w:r w:rsidR="008C3E52">
        <w:rPr>
          <w:color w:val="000000"/>
          <w:sz w:val="28"/>
          <w:szCs w:val="28"/>
        </w:rPr>
        <w:t>…</w:t>
      </w:r>
      <w:r>
        <w:rPr>
          <w:color w:val="000000"/>
          <w:sz w:val="28"/>
          <w:szCs w:val="28"/>
        </w:rPr>
        <w:t xml:space="preserve">, а також зустрічним позовом </w:t>
      </w:r>
      <w:r w:rsidR="008C3E52">
        <w:rPr>
          <w:color w:val="000000"/>
          <w:sz w:val="28"/>
          <w:szCs w:val="28"/>
        </w:rPr>
        <w:t>…</w:t>
      </w:r>
      <w:r>
        <w:rPr>
          <w:color w:val="000000"/>
          <w:sz w:val="28"/>
          <w:szCs w:val="28"/>
        </w:rPr>
        <w:t xml:space="preserve"> до </w:t>
      </w:r>
      <w:r w:rsidR="008C3E52">
        <w:rPr>
          <w:color w:val="000000"/>
          <w:sz w:val="28"/>
          <w:szCs w:val="28"/>
        </w:rPr>
        <w:t>…</w:t>
      </w:r>
      <w:r>
        <w:rPr>
          <w:color w:val="000000"/>
          <w:sz w:val="28"/>
          <w:szCs w:val="28"/>
        </w:rPr>
        <w:t xml:space="preserve">, третя особа Управління сім’ї, молодіжної політики та захисту дітей Тернопільської міської ради про визначення способу участі батька </w:t>
      </w:r>
      <w:r w:rsidR="008C3E52">
        <w:rPr>
          <w:color w:val="000000"/>
          <w:sz w:val="28"/>
          <w:szCs w:val="28"/>
        </w:rPr>
        <w:t>…</w:t>
      </w:r>
      <w:r>
        <w:rPr>
          <w:color w:val="000000"/>
          <w:sz w:val="28"/>
          <w:szCs w:val="28"/>
        </w:rPr>
        <w:t xml:space="preserve"> у вихованні малолітньої дитини </w:t>
      </w:r>
      <w:r w:rsidR="008C3E52">
        <w:rPr>
          <w:color w:val="000000"/>
          <w:sz w:val="28"/>
          <w:szCs w:val="28"/>
        </w:rPr>
        <w:t>…</w:t>
      </w:r>
      <w:r>
        <w:rPr>
          <w:color w:val="000000"/>
          <w:sz w:val="28"/>
          <w:szCs w:val="28"/>
        </w:rPr>
        <w:t xml:space="preserve">, 16.03.2024 року народження, шляхом спілкування із дитиною з використання технічних засобів зв’язку в режимі відеоконференції у продовж пів години двічі на тиждень кожної середи та суботи.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На засідання комісії з питань захисту прав дитини з’явилися мати дитини, </w:t>
      </w:r>
      <w:r w:rsidR="008C3E52">
        <w:rPr>
          <w:color w:val="000000"/>
          <w:sz w:val="28"/>
          <w:szCs w:val="28"/>
        </w:rPr>
        <w:t>…</w:t>
      </w:r>
      <w:r>
        <w:rPr>
          <w:color w:val="000000"/>
          <w:sz w:val="28"/>
          <w:szCs w:val="28"/>
        </w:rPr>
        <w:t xml:space="preserve">, та її представник – адвокат </w:t>
      </w:r>
      <w:r w:rsidR="008C3E52">
        <w:rPr>
          <w:color w:val="000000"/>
          <w:sz w:val="28"/>
          <w:szCs w:val="28"/>
        </w:rPr>
        <w:t>…</w:t>
      </w:r>
      <w:r>
        <w:rPr>
          <w:color w:val="000000"/>
          <w:sz w:val="28"/>
          <w:szCs w:val="28"/>
        </w:rPr>
        <w:t xml:space="preserve">. Мати повідомила, що познайомилась із </w:t>
      </w:r>
      <w:r w:rsidR="008C3E52">
        <w:rPr>
          <w:color w:val="000000"/>
          <w:sz w:val="28"/>
          <w:szCs w:val="28"/>
        </w:rPr>
        <w:t>…</w:t>
      </w:r>
      <w:r>
        <w:rPr>
          <w:color w:val="000000"/>
          <w:sz w:val="28"/>
          <w:szCs w:val="28"/>
        </w:rPr>
        <w:t xml:space="preserve"> у Польщі, там у них народилася дитина. Однак після народження дочки, а саме з квітня 2024 року, у них почалися конфлікти. </w:t>
      </w:r>
      <w:r w:rsidR="008C3E52">
        <w:rPr>
          <w:color w:val="000000"/>
          <w:sz w:val="28"/>
          <w:szCs w:val="28"/>
        </w:rPr>
        <w:t>…</w:t>
      </w:r>
      <w:r>
        <w:rPr>
          <w:color w:val="000000"/>
          <w:sz w:val="28"/>
          <w:szCs w:val="28"/>
        </w:rPr>
        <w:t xml:space="preserve">. поводився агресивно, зловживав алкогольними напоями, виганяв матір з дому та вчиняв насильство щодо її старшого сина від першого шлюбу. При чергових сварках, відповідач неодноразово погрожував позивачці, що викраде дитину до своєї матері і вивезе в російську федерацію або до родичів на тимчасово окуповану території України (в Луганську область). </w:t>
      </w:r>
      <w:r w:rsidR="008C3E52">
        <w:rPr>
          <w:color w:val="000000"/>
          <w:sz w:val="28"/>
          <w:szCs w:val="28"/>
        </w:rPr>
        <w:t>…</w:t>
      </w:r>
      <w:r>
        <w:rPr>
          <w:color w:val="000000"/>
          <w:sz w:val="28"/>
          <w:szCs w:val="28"/>
        </w:rPr>
        <w:t xml:space="preserve">. надзвичайно серйозно сприймає погрози, оскільки вважає, що вони мають високу ступінь реалізації, у зв’язку з тим, що відповідач має паспорти як громадянина України, так і російської федерації і може вільно туди виїжджати. Тому мати вважає, що визначення місця проживання дитини саме з нею буде відповідати якнайкращим інтересам дитини.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Також </w:t>
      </w:r>
      <w:r w:rsidR="008C3E52">
        <w:rPr>
          <w:color w:val="000000"/>
          <w:sz w:val="28"/>
          <w:szCs w:val="28"/>
        </w:rPr>
        <w:t>…</w:t>
      </w:r>
      <w:r>
        <w:rPr>
          <w:color w:val="000000"/>
          <w:sz w:val="28"/>
          <w:szCs w:val="28"/>
        </w:rPr>
        <w:t xml:space="preserve"> повідомила, що не має змоги зареєструвати у встановленому порядку місце проживання дочки та отримати РНОКПП дитини для того, щоб укласти декларацію із сімейним лікарем-педіатром, через те, що батько відсутній. Мати вказала, що батько не бере участі в забезпеченні, утриманні дитини та не надає матеріальної допомоги.</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Мати вказала, що не заперечує щодо спілкування батька із дочкою на території України. Щодо </w:t>
      </w:r>
      <w:r>
        <w:rPr>
          <w:color w:val="000000"/>
          <w:sz w:val="28"/>
          <w:szCs w:val="22"/>
        </w:rPr>
        <w:t>в</w:t>
      </w:r>
      <w:r>
        <w:rPr>
          <w:color w:val="000000"/>
          <w:sz w:val="28"/>
          <w:szCs w:val="28"/>
        </w:rPr>
        <w:t xml:space="preserve">становлення графіку побачень, вказаного у зустрічній позовній заяві, а саме надання можливості батьку спілкуватися з </w:t>
      </w:r>
      <w:r>
        <w:rPr>
          <w:color w:val="000000"/>
          <w:sz w:val="28"/>
          <w:szCs w:val="28"/>
        </w:rPr>
        <w:lastRenderedPageBreak/>
        <w:t xml:space="preserve">дитиною двічі на тиждень по 30 хвилин в режимі відеоконференції, </w:t>
      </w:r>
      <w:r w:rsidR="008C3E52">
        <w:rPr>
          <w:color w:val="000000"/>
          <w:sz w:val="28"/>
          <w:szCs w:val="28"/>
        </w:rPr>
        <w:t>…</w:t>
      </w:r>
      <w:r>
        <w:rPr>
          <w:color w:val="000000"/>
          <w:sz w:val="28"/>
          <w:szCs w:val="28"/>
        </w:rPr>
        <w:t xml:space="preserve"> вважає неможливим, оскільки донька не розуміє його (російської) мови та нереально змусити дитину, якій ще немає двох років сидіти 30 хвилин перед екраном телефона, дивлячись на фактично чужу дитину, яку вона не пам’ятає. Мати вважає, що інтересам дитини буде відповідати особисте, «живе» спілкування дитини з батьком в Україні та його щоденна присутність у житті дочки.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Батько дитини, </w:t>
      </w:r>
      <w:r w:rsidR="008C3E52">
        <w:rPr>
          <w:color w:val="000000"/>
          <w:sz w:val="28"/>
          <w:szCs w:val="28"/>
        </w:rPr>
        <w:t>…</w:t>
      </w:r>
      <w:r>
        <w:rPr>
          <w:color w:val="000000"/>
          <w:sz w:val="28"/>
          <w:szCs w:val="28"/>
        </w:rPr>
        <w:t xml:space="preserve">, на засідання комісії питань захисту прав дитини не з’явися. Під час телефонної розмови представник батька – адвокат </w:t>
      </w:r>
      <w:r w:rsidR="008C3E52">
        <w:rPr>
          <w:color w:val="000000"/>
          <w:sz w:val="28"/>
          <w:szCs w:val="28"/>
        </w:rPr>
        <w:t>…</w:t>
      </w:r>
      <w:r>
        <w:rPr>
          <w:color w:val="000000"/>
          <w:sz w:val="28"/>
          <w:szCs w:val="28"/>
        </w:rPr>
        <w:t xml:space="preserve"> повідомив, що батько не має змоги бути присутнім на засіданні комісії, у зв’язку із тим, що перебуває за кордоном. Представник вказав, що батько не має можливості сплачувати аліменти на утримання дочки, оскільки у нього відсутні відповідні реквізити для оплати. Також адвокат вказав, що </w:t>
      </w:r>
      <w:r w:rsidR="008C3E52">
        <w:rPr>
          <w:color w:val="000000"/>
          <w:sz w:val="28"/>
          <w:szCs w:val="28"/>
        </w:rPr>
        <w:t>…</w:t>
      </w:r>
      <w:r>
        <w:rPr>
          <w:color w:val="000000"/>
          <w:sz w:val="28"/>
          <w:szCs w:val="28"/>
        </w:rPr>
        <w:t xml:space="preserve"> не може приїхати в Україну до закінчення воєнного стану за для того, щоб бачитись з дочкою. Мати заблокувала його у всіх месенджерах та уникає будь-якого спілкування із батьком дитини. Тому представник вважає, що </w:t>
      </w:r>
      <w:r w:rsidR="008C3E52">
        <w:rPr>
          <w:color w:val="000000"/>
          <w:sz w:val="28"/>
          <w:szCs w:val="28"/>
        </w:rPr>
        <w:t>…</w:t>
      </w:r>
      <w:r>
        <w:rPr>
          <w:color w:val="000000"/>
          <w:sz w:val="28"/>
          <w:szCs w:val="28"/>
        </w:rPr>
        <w:t xml:space="preserve">. чинить перешкоди </w:t>
      </w:r>
      <w:r w:rsidR="008C3E52">
        <w:rPr>
          <w:color w:val="000000"/>
          <w:sz w:val="28"/>
          <w:szCs w:val="28"/>
        </w:rPr>
        <w:t>…</w:t>
      </w:r>
      <w:r>
        <w:rPr>
          <w:color w:val="000000"/>
          <w:sz w:val="28"/>
          <w:szCs w:val="28"/>
        </w:rPr>
        <w:t>. у спілкуванні з дочкою.</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Щодо визначення місця проживання дитини з матір’ю, представник зазначив, що батько не заперечує щодо задоволення такої вимоги.</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Встановлено, що 16.03.2024 у м. Ченстохова (Польща) народилася </w:t>
      </w:r>
      <w:r w:rsidR="008C3E52">
        <w:rPr>
          <w:color w:val="000000"/>
          <w:sz w:val="28"/>
          <w:szCs w:val="28"/>
        </w:rPr>
        <w:t>…</w:t>
      </w:r>
      <w:r>
        <w:rPr>
          <w:color w:val="000000"/>
          <w:sz w:val="28"/>
          <w:szCs w:val="28"/>
        </w:rPr>
        <w:t xml:space="preserve">, батьками якої є </w:t>
      </w:r>
      <w:r w:rsidR="008C3E52">
        <w:rPr>
          <w:color w:val="000000"/>
          <w:sz w:val="28"/>
          <w:szCs w:val="28"/>
        </w:rPr>
        <w:t>…</w:t>
      </w:r>
      <w:r>
        <w:rPr>
          <w:color w:val="000000"/>
          <w:sz w:val="28"/>
          <w:szCs w:val="28"/>
        </w:rPr>
        <w:t xml:space="preserve"> (05.10.1980 року народження, місце народження м. Луганськ) та </w:t>
      </w:r>
      <w:r w:rsidR="008C3E52">
        <w:rPr>
          <w:color w:val="000000"/>
          <w:sz w:val="28"/>
          <w:szCs w:val="28"/>
        </w:rPr>
        <w:t>…</w:t>
      </w:r>
      <w:r>
        <w:rPr>
          <w:color w:val="000000"/>
          <w:sz w:val="28"/>
          <w:szCs w:val="28"/>
        </w:rPr>
        <w:t xml:space="preserve"> (08.04.1981 року народження, місце народження м. Тернопіль). Вказане підтверджується Повним витягом свідоцтва про народження від 12.04.2024, перекладеним з польської мови на українську мову.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Відповідно до довідки № 61317/19-563-613 про реєстрацію особи громадянином України, виданої 17.04.2024 Генеральним консульством України в Кракові, </w:t>
      </w:r>
      <w:r w:rsidR="008C3E52">
        <w:rPr>
          <w:color w:val="000000"/>
          <w:sz w:val="28"/>
          <w:szCs w:val="28"/>
        </w:rPr>
        <w:t>…</w:t>
      </w:r>
      <w:r>
        <w:rPr>
          <w:color w:val="000000"/>
          <w:sz w:val="28"/>
          <w:szCs w:val="28"/>
        </w:rPr>
        <w:t>, 16.03.2024 року народження, уродженка с. Ченстохова Республіки Польща набула громадянства України на підставі ч. 1 ст. 7 Закону України «Про громадянство України» згідно з рішенням Генерального консульства України в Кракові від 17.04.2024.</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Як вбачається з довідки ОСББ «</w:t>
      </w:r>
      <w:r w:rsidR="00384912">
        <w:rPr>
          <w:color w:val="000000"/>
          <w:sz w:val="28"/>
          <w:szCs w:val="28"/>
        </w:rPr>
        <w:t>…</w:t>
      </w:r>
      <w:r>
        <w:rPr>
          <w:color w:val="000000"/>
          <w:sz w:val="28"/>
          <w:szCs w:val="28"/>
        </w:rPr>
        <w:t xml:space="preserve">» від 08.04.2025 № 230, </w:t>
      </w:r>
      <w:r w:rsidR="008C3E52">
        <w:rPr>
          <w:color w:val="000000"/>
          <w:sz w:val="28"/>
          <w:szCs w:val="28"/>
        </w:rPr>
        <w:t>…</w:t>
      </w:r>
      <w:r>
        <w:rPr>
          <w:color w:val="000000"/>
          <w:sz w:val="28"/>
          <w:szCs w:val="28"/>
        </w:rPr>
        <w:t xml:space="preserve">, 08.04.1981 року народження, проживає без реєстрації за адресою вул. </w:t>
      </w:r>
      <w:r w:rsidR="008C3E52">
        <w:rPr>
          <w:color w:val="000000"/>
          <w:sz w:val="28"/>
          <w:szCs w:val="28"/>
        </w:rPr>
        <w:t>…</w:t>
      </w:r>
      <w:r>
        <w:rPr>
          <w:color w:val="000000"/>
          <w:sz w:val="28"/>
          <w:szCs w:val="28"/>
        </w:rPr>
        <w:t xml:space="preserve">, м. Тернопіль. Разом із нею проживає без реєстрації донька </w:t>
      </w:r>
      <w:r w:rsidR="008C3E52">
        <w:rPr>
          <w:color w:val="000000"/>
          <w:sz w:val="28"/>
          <w:szCs w:val="28"/>
        </w:rPr>
        <w:t>…</w:t>
      </w:r>
      <w:r>
        <w:rPr>
          <w:color w:val="000000"/>
          <w:sz w:val="28"/>
          <w:szCs w:val="28"/>
        </w:rPr>
        <w:t xml:space="preserve">, 16.03.2024 року народження.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Відповідно до свідоцтва про право власності на нерухоме майно                   від 13.10.2013 серії САК № 186748, </w:t>
      </w:r>
      <w:r w:rsidR="008C3E52">
        <w:rPr>
          <w:color w:val="000000"/>
          <w:sz w:val="28"/>
          <w:szCs w:val="28"/>
        </w:rPr>
        <w:t>…</w:t>
      </w:r>
      <w:r>
        <w:rPr>
          <w:color w:val="000000"/>
          <w:sz w:val="28"/>
          <w:szCs w:val="28"/>
        </w:rPr>
        <w:t xml:space="preserve"> є власницею квартири за адресою вул. </w:t>
      </w:r>
      <w:r w:rsidR="008C3E52">
        <w:rPr>
          <w:color w:val="000000"/>
          <w:sz w:val="28"/>
          <w:szCs w:val="28"/>
        </w:rPr>
        <w:t>…</w:t>
      </w:r>
      <w:r>
        <w:rPr>
          <w:color w:val="000000"/>
          <w:sz w:val="28"/>
          <w:szCs w:val="28"/>
        </w:rPr>
        <w:t xml:space="preserve">, м. Тернопіль, загальною площею 63,6 кв. м., житловою – 32,8 кв. м. Зазначене також доводиться Витягом з Державного реєстру прав на нерухоме майно про реєстрацію прав та їх обтяжень від 13.10.2013 № 10783805. </w:t>
      </w:r>
    </w:p>
    <w:p w:rsidR="006A0B10" w:rsidRDefault="008C3E52">
      <w:pPr>
        <w:pStyle w:val="ab"/>
        <w:spacing w:before="0" w:beforeAutospacing="0" w:after="0" w:afterAutospacing="0"/>
        <w:ind w:right="-2" w:firstLine="709"/>
        <w:jc w:val="both"/>
        <w:rPr>
          <w:color w:val="000000"/>
          <w:sz w:val="28"/>
          <w:szCs w:val="28"/>
        </w:rPr>
      </w:pPr>
      <w:r>
        <w:rPr>
          <w:color w:val="000000"/>
          <w:sz w:val="28"/>
          <w:szCs w:val="28"/>
        </w:rPr>
        <w:t>…</w:t>
      </w:r>
      <w:r w:rsidR="003E31C7">
        <w:rPr>
          <w:color w:val="000000"/>
          <w:sz w:val="28"/>
          <w:szCs w:val="28"/>
        </w:rPr>
        <w:t xml:space="preserve"> є матір’ю </w:t>
      </w:r>
      <w:r>
        <w:rPr>
          <w:color w:val="000000"/>
          <w:sz w:val="28"/>
          <w:szCs w:val="28"/>
        </w:rPr>
        <w:t>…</w:t>
      </w:r>
      <w:r w:rsidR="003E31C7">
        <w:rPr>
          <w:color w:val="000000"/>
          <w:sz w:val="28"/>
          <w:szCs w:val="28"/>
        </w:rPr>
        <w:t xml:space="preserve">. Вказане підтверджується свідоцтвом про народження серії ІІ-ИД  № 320388, виданим 15.04.1981 Відділом ЗАГСу Тернопільського міськвиконкому.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lastRenderedPageBreak/>
        <w:t xml:space="preserve">Згідно з довідкою про внесення відомостей до Єдиного державного демографічного реєстру № 634419-2021, виданого 26.01.2021 Біловодським районним відділом Управління Державної міграційної служби України в Луганській області, </w:t>
      </w:r>
      <w:r w:rsidR="008C3E52">
        <w:rPr>
          <w:color w:val="000000"/>
          <w:sz w:val="28"/>
          <w:szCs w:val="28"/>
        </w:rPr>
        <w:t>…</w:t>
      </w:r>
      <w:r>
        <w:rPr>
          <w:color w:val="000000"/>
          <w:sz w:val="28"/>
          <w:szCs w:val="28"/>
        </w:rPr>
        <w:t xml:space="preserve">, 05.10.1980 року народження, реєстрований та проживає за адресою вул. </w:t>
      </w:r>
      <w:r w:rsidR="008C3E52">
        <w:rPr>
          <w:color w:val="000000"/>
          <w:sz w:val="28"/>
          <w:szCs w:val="28"/>
        </w:rPr>
        <w:t>…</w:t>
      </w:r>
      <w:r>
        <w:rPr>
          <w:color w:val="000000"/>
          <w:sz w:val="28"/>
          <w:szCs w:val="28"/>
        </w:rPr>
        <w:t xml:space="preserve">,  м. Луганськ.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02.04.2021 Жовтневим РУВД МВД луганської народної республіки </w:t>
      </w:r>
      <w:r w:rsidR="008C3E52">
        <w:rPr>
          <w:color w:val="000000"/>
          <w:sz w:val="28"/>
          <w:szCs w:val="28"/>
        </w:rPr>
        <w:t>…</w:t>
      </w:r>
      <w:r>
        <w:rPr>
          <w:color w:val="000000"/>
          <w:sz w:val="28"/>
          <w:szCs w:val="28"/>
        </w:rPr>
        <w:t xml:space="preserve">, 05.10.1980 року народження, видано паспорт луганської народної республіки місце народження м. Ворошиловград УССР.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Як вбачається із протоколу затримання особи </w:t>
      </w:r>
      <w:r w:rsidR="008C3E52">
        <w:rPr>
          <w:color w:val="000000"/>
          <w:sz w:val="28"/>
          <w:szCs w:val="28"/>
        </w:rPr>
        <w:t>…</w:t>
      </w:r>
      <w:r>
        <w:rPr>
          <w:color w:val="000000"/>
          <w:sz w:val="28"/>
          <w:szCs w:val="28"/>
        </w:rPr>
        <w:t xml:space="preserve"> від 19.04.2024, перекладеного з польської мови на українську, 19.04.2024 в Ченстохові (Республіка Польща), вул. </w:t>
      </w:r>
      <w:r w:rsidR="008C3E52">
        <w:rPr>
          <w:color w:val="000000"/>
          <w:sz w:val="28"/>
          <w:szCs w:val="28"/>
        </w:rPr>
        <w:t>…</w:t>
      </w:r>
      <w:r>
        <w:rPr>
          <w:color w:val="000000"/>
          <w:sz w:val="28"/>
          <w:szCs w:val="28"/>
        </w:rPr>
        <w:t xml:space="preserve"> застосував фізичне насильство до своєї дружини </w:t>
      </w:r>
      <w:r w:rsidR="008C3E52">
        <w:rPr>
          <w:color w:val="000000"/>
          <w:sz w:val="28"/>
          <w:szCs w:val="28"/>
        </w:rPr>
        <w:t>…</w:t>
      </w:r>
      <w:r>
        <w:rPr>
          <w:color w:val="000000"/>
          <w:sz w:val="28"/>
          <w:szCs w:val="28"/>
        </w:rPr>
        <w:t xml:space="preserve"> та її сина </w:t>
      </w:r>
      <w:r w:rsidR="008C3E52">
        <w:rPr>
          <w:color w:val="000000"/>
          <w:sz w:val="28"/>
          <w:szCs w:val="28"/>
        </w:rPr>
        <w:t>…</w:t>
      </w:r>
      <w:r>
        <w:rPr>
          <w:color w:val="000000"/>
          <w:sz w:val="28"/>
          <w:szCs w:val="28"/>
        </w:rPr>
        <w:t xml:space="preserve">. Існує вимога ізолювати порушника.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 xml:space="preserve">Відповідно до Акту-позову у зв’язку із правопорушенням (органічний Закон 4/15 «Про захист безпеки громадян») від 25.02.2023, який перекладено з іспанської на українську мову, </w:t>
      </w:r>
      <w:r w:rsidR="008C3E52">
        <w:rPr>
          <w:color w:val="000000"/>
          <w:sz w:val="28"/>
          <w:szCs w:val="28"/>
        </w:rPr>
        <w:t>…</w:t>
      </w:r>
      <w:r>
        <w:rPr>
          <w:color w:val="000000"/>
          <w:sz w:val="28"/>
          <w:szCs w:val="28"/>
        </w:rPr>
        <w:t xml:space="preserve">, 05.10.1980 року народження, поводився агресивно та жорстоко під час встановлення особи декілька разів не виконав накази поліції, а потім напав на поліцейських. </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rPr>
        <w:t>Вказане також підтверджується постановою Суду першої інстанції № 5 міста Ірун від 26.05.2023, яка перекладена</w:t>
      </w:r>
      <w:r>
        <w:rPr>
          <w:color w:val="000000"/>
          <w:sz w:val="28"/>
          <w:szCs w:val="22"/>
        </w:rPr>
        <w:t xml:space="preserve"> з</w:t>
      </w:r>
      <w:r>
        <w:rPr>
          <w:color w:val="000000"/>
          <w:sz w:val="28"/>
          <w:szCs w:val="28"/>
        </w:rPr>
        <w:t xml:space="preserve"> іспанської на українську мову.</w:t>
      </w:r>
    </w:p>
    <w:p w:rsidR="006A0B10" w:rsidRDefault="003E31C7">
      <w:pPr>
        <w:ind w:firstLine="709"/>
        <w:jc w:val="both"/>
        <w:rPr>
          <w:color w:val="000000" w:themeColor="text1"/>
          <w:sz w:val="28"/>
          <w:szCs w:val="28"/>
          <w:lang w:val="uk-UA"/>
        </w:rPr>
      </w:pPr>
      <w:r>
        <w:rPr>
          <w:color w:val="000000" w:themeColor="text1"/>
          <w:sz w:val="28"/>
          <w:szCs w:val="28"/>
          <w:shd w:val="clear" w:color="auto" w:fill="FFFFFF"/>
          <w:lang w:val="uk-UA"/>
        </w:rPr>
        <w:t xml:space="preserve">Відповідно до частини першої </w:t>
      </w:r>
      <w:r>
        <w:rPr>
          <w:color w:val="000000" w:themeColor="text1"/>
          <w:sz w:val="28"/>
          <w:szCs w:val="28"/>
          <w:lang w:val="uk-UA"/>
        </w:rPr>
        <w:t>статті 160 Сімейного кодексу України, місце проживання дитини, яка не досягла десяти років, визначається за згодою батьків.</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lang w:val="uk-UA"/>
        </w:rPr>
        <w:t xml:space="preserve">Згідно з статтею 153 Сімейного кодексу України, </w:t>
      </w:r>
      <w:r>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lang w:val="uk-UA"/>
        </w:rPr>
        <w:t xml:space="preserve">Згідно з частиною першої статті 161 Сімейного кодексу України, </w:t>
      </w:r>
      <w:r>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6A0B10" w:rsidRDefault="003E31C7">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Верховний Суд у складі колегії суддів Першої судової палати Касаційного цивільного суду у постанові від 28.06.2023 у справі                             №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rsidR="006A0B10" w:rsidRDefault="003E31C7">
      <w:pPr>
        <w:pStyle w:val="a3"/>
        <w:tabs>
          <w:tab w:val="left" w:pos="2115"/>
        </w:tabs>
        <w:ind w:firstLine="709"/>
        <w:rPr>
          <w:color w:val="000000" w:themeColor="text1"/>
          <w:szCs w:val="28"/>
        </w:rPr>
      </w:pPr>
      <w:r>
        <w:rPr>
          <w:color w:val="000000" w:themeColor="text1"/>
          <w:szCs w:val="28"/>
        </w:rPr>
        <w:lastRenderedPageBreak/>
        <w:t>Під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rsidR="006A0B10" w:rsidRDefault="003E31C7">
      <w:pPr>
        <w:pStyle w:val="a3"/>
        <w:tabs>
          <w:tab w:val="left" w:pos="2115"/>
        </w:tabs>
        <w:ind w:firstLine="709"/>
        <w:rPr>
          <w:color w:val="000000" w:themeColor="text1"/>
          <w:szCs w:val="28"/>
        </w:rPr>
      </w:pPr>
      <w:r>
        <w:rPr>
          <w:color w:val="000000" w:themeColor="text1"/>
          <w:szCs w:val="28"/>
        </w:rPr>
        <w:t>Відповідно до постанови Верховного Суду від 14.11.2018 у справі               № 463/3301/16-ц (провадження № 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rsidR="006A0B10" w:rsidRDefault="003E31C7">
      <w:pPr>
        <w:pStyle w:val="a3"/>
        <w:tabs>
          <w:tab w:val="left" w:pos="2115"/>
        </w:tabs>
        <w:ind w:firstLine="709"/>
        <w:rPr>
          <w:color w:val="000000" w:themeColor="text1"/>
          <w:szCs w:val="28"/>
        </w:rPr>
      </w:pPr>
      <w:r>
        <w:rPr>
          <w:color w:val="000000" w:themeColor="text1"/>
          <w:szCs w:val="28"/>
        </w:rPr>
        <w:t>Згідно з висновком Верховного Суду викладеним у постанові                      від 03.05.2018 у справі № 607/1091/16-ц (провадження № 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rsidR="006A0B10" w:rsidRDefault="003E31C7">
      <w:pPr>
        <w:pStyle w:val="a3"/>
        <w:tabs>
          <w:tab w:val="left" w:pos="2115"/>
        </w:tabs>
        <w:ind w:firstLine="709"/>
        <w:rPr>
          <w:color w:val="000000" w:themeColor="text1"/>
          <w:szCs w:val="28"/>
        </w:rPr>
      </w:pPr>
      <w:r>
        <w:rPr>
          <w:color w:val="000000" w:themeColor="text1"/>
          <w:szCs w:val="28"/>
        </w:rPr>
        <w:t>У параграфі 54 рішення Європейського суду з прав людини «Хант проти України» від 07.12.2006,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rsidR="006A0B10" w:rsidRDefault="003E31C7">
      <w:pPr>
        <w:pStyle w:val="a3"/>
        <w:tabs>
          <w:tab w:val="left" w:pos="2115"/>
        </w:tabs>
        <w:ind w:firstLine="709"/>
        <w:rPr>
          <w:color w:val="000000" w:themeColor="text1"/>
          <w:szCs w:val="28"/>
        </w:rPr>
      </w:pPr>
      <w:r>
        <w:rPr>
          <w:color w:val="000000" w:themeColor="text1"/>
          <w:szCs w:val="28"/>
        </w:rPr>
        <w:t>Рівність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rsidR="006A0B10" w:rsidRDefault="003E31C7">
      <w:pPr>
        <w:pStyle w:val="a3"/>
        <w:tabs>
          <w:tab w:val="left" w:pos="2115"/>
        </w:tabs>
        <w:ind w:firstLine="709"/>
        <w:rPr>
          <w:color w:val="000000" w:themeColor="text1"/>
          <w:szCs w:val="28"/>
        </w:rPr>
      </w:pPr>
      <w:r>
        <w:rPr>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Стаття 15 Закону України «Про охорону дитинства» визначає, що дитина, яка проживає окремо від батьків або одного з них, має право на підтримання з ними регулярних особистих стосунків і прямих контактів. </w:t>
      </w:r>
      <w:r>
        <w:rPr>
          <w:color w:val="000000"/>
          <w:sz w:val="28"/>
          <w:szCs w:val="28"/>
        </w:rPr>
        <w:lastRenderedPageBreak/>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Статтею 141 Сімейного кодексу України визначено, що мати, батько мають рівні права та обов`язки щодо дитини, незалежно від того, чи перебували вони у шлюбі між собою. Розірвання шлюбу між батьками, проживання їх окремо від дитини не впливає на обсяг їхніх прав і не звільняє від обов`язків щодо дитини, крім випадку, передбаченого частиною п`ятою статті 157 цього Кодексу.</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Відповідно до статті 142 Сімейного кодексу України, діти мають рівні права та обов`язки щодо батьків, незалежно від того, чи перебували їхні батьки у шлюбі між собою.</w:t>
      </w:r>
    </w:p>
    <w:p w:rsidR="006A0B10" w:rsidRDefault="003E31C7">
      <w:pPr>
        <w:pStyle w:val="ab"/>
        <w:spacing w:before="0" w:beforeAutospacing="0" w:after="0" w:afterAutospacing="0"/>
        <w:ind w:firstLine="709"/>
        <w:jc w:val="both"/>
        <w:rPr>
          <w:color w:val="000000"/>
          <w:sz w:val="27"/>
          <w:szCs w:val="27"/>
        </w:rPr>
      </w:pPr>
      <w:r>
        <w:rPr>
          <w:color w:val="000000"/>
          <w:sz w:val="28"/>
          <w:szCs w:val="28"/>
        </w:rPr>
        <w:t xml:space="preserve">Згідно із статтею 153 Сімейного кодексу України, </w:t>
      </w:r>
      <w:r>
        <w:rPr>
          <w:color w:val="000000"/>
          <w:sz w:val="28"/>
          <w:szCs w:val="28"/>
          <w:shd w:val="clear" w:color="auto" w:fill="FFFFFF"/>
        </w:rPr>
        <w:t>мати, батько та дитина мають право на безперешкодне спілкування між собою, крім випадків, коли таке право обмежене законом.</w:t>
      </w:r>
    </w:p>
    <w:p w:rsidR="006A0B10" w:rsidRDefault="003E31C7">
      <w:pPr>
        <w:pStyle w:val="ab"/>
        <w:spacing w:before="0" w:beforeAutospacing="0" w:after="0" w:afterAutospacing="0"/>
        <w:ind w:right="-2" w:firstLine="709"/>
        <w:jc w:val="both"/>
        <w:rPr>
          <w:color w:val="000000"/>
          <w:sz w:val="28"/>
          <w:szCs w:val="28"/>
          <w:shd w:val="clear" w:color="auto" w:fill="FFFFFF"/>
        </w:rPr>
      </w:pPr>
      <w:r>
        <w:rPr>
          <w:color w:val="000000"/>
          <w:sz w:val="28"/>
          <w:szCs w:val="28"/>
          <w:shd w:val="clear" w:color="auto" w:fill="FFFFFF"/>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З огляду на статтю 158 Сімейного кодексу України, за заявою матері, батька дитини орган опіки та піклування визначає способи участі у вихованні дитини та спілкуванні з нею того з батьків, хто проживає окремо від неї. 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На підставі статті 159 Сімейного кодексу України,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до суду з позовом про усунення цих перешкод.</w:t>
      </w:r>
    </w:p>
    <w:p w:rsidR="006A0B10" w:rsidRDefault="003E31C7">
      <w:pPr>
        <w:pStyle w:val="ab"/>
        <w:spacing w:before="0" w:beforeAutospacing="0" w:after="0" w:afterAutospacing="0"/>
        <w:ind w:right="-2" w:firstLine="709"/>
        <w:jc w:val="both"/>
        <w:rPr>
          <w:color w:val="000000"/>
          <w:sz w:val="28"/>
          <w:szCs w:val="28"/>
          <w:shd w:val="clear" w:color="auto" w:fill="FFFFFF"/>
        </w:rPr>
      </w:pPr>
      <w:r>
        <w:rPr>
          <w:color w:val="000000"/>
          <w:sz w:val="28"/>
          <w:szCs w:val="28"/>
          <w:shd w:val="clear" w:color="auto" w:fill="FFFFFF"/>
        </w:rPr>
        <w:t xml:space="preserve">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 (частини перша, друга статті 159 </w:t>
      </w:r>
      <w:r>
        <w:rPr>
          <w:color w:val="000000" w:themeColor="text1"/>
          <w:sz w:val="28"/>
          <w:szCs w:val="28"/>
        </w:rPr>
        <w:t>Сімейного кодексу України</w:t>
      </w:r>
      <w:r>
        <w:rPr>
          <w:color w:val="000000"/>
          <w:sz w:val="28"/>
          <w:szCs w:val="28"/>
          <w:shd w:val="clear" w:color="auto" w:fill="FFFFFF"/>
        </w:rPr>
        <w:t>).</w:t>
      </w:r>
    </w:p>
    <w:p w:rsidR="006A0B10" w:rsidRDefault="003E31C7">
      <w:pPr>
        <w:pStyle w:val="ab"/>
        <w:spacing w:before="0" w:beforeAutospacing="0" w:after="0" w:afterAutospacing="0"/>
        <w:ind w:right="-2" w:firstLine="709"/>
        <w:jc w:val="both"/>
        <w:rPr>
          <w:color w:val="000000"/>
          <w:sz w:val="28"/>
          <w:szCs w:val="28"/>
        </w:rPr>
      </w:pPr>
      <w:r>
        <w:rPr>
          <w:color w:val="000000"/>
          <w:sz w:val="28"/>
          <w:szCs w:val="28"/>
          <w:shd w:val="clear" w:color="auto" w:fill="FFFFFF"/>
        </w:rPr>
        <w:lastRenderedPageBreak/>
        <w:t xml:space="preserve">Відповідно до </w:t>
      </w:r>
      <w:r>
        <w:rPr>
          <w:color w:val="000000"/>
          <w:sz w:val="28"/>
          <w:szCs w:val="28"/>
        </w:rPr>
        <w:t>статті 160 Сімейного кодексу України, місце проживання дитини, яка не досягла десяти років, визначається за згодою батьків.</w:t>
      </w:r>
    </w:p>
    <w:p w:rsidR="006A0B10" w:rsidRDefault="003E31C7">
      <w:pPr>
        <w:pStyle w:val="ab"/>
        <w:spacing w:before="0" w:beforeAutospacing="0" w:after="0" w:afterAutospacing="0"/>
        <w:ind w:firstLine="709"/>
        <w:jc w:val="both"/>
        <w:rPr>
          <w:color w:val="000000"/>
          <w:sz w:val="28"/>
          <w:szCs w:val="28"/>
          <w:shd w:val="clear" w:color="auto" w:fill="FFFFFF"/>
        </w:rPr>
      </w:pPr>
      <w:r>
        <w:rPr>
          <w:color w:val="000000"/>
          <w:sz w:val="28"/>
          <w:szCs w:val="28"/>
        </w:rPr>
        <w:t xml:space="preserve">Згідно з частиною першої статті 161 Сімейного кодексу України, </w:t>
      </w:r>
      <w:r>
        <w:rPr>
          <w:color w:val="000000"/>
          <w:sz w:val="28"/>
          <w:szCs w:val="28"/>
          <w:shd w:val="clear" w:color="auto" w:fill="FFFFFF"/>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6A0B10" w:rsidRDefault="003E31C7">
      <w:pPr>
        <w:pStyle w:val="ab"/>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Частиною першою статті 3 Конвенції про права дитини від 20 листопада 1989 року (ратифікована Україною 27 лютого 1991 року, дата набуття чинності для України 27 вересня 1991 року) визначено, що в усіх діях щодо дітей, незалежно від того, здійснюються вони державними чи приватними установами, що займаються питанням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rsidR="006A0B10" w:rsidRDefault="003E31C7">
      <w:pPr>
        <w:pStyle w:val="ab"/>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У постанові Верховного Суду від 29.01.2025 у справі № 759/8056/22 зазначено, що з огляду на введення воєнного стану в Україні, вирішуючи спори, що стосуються прав та інтересів дитини, першочерговим завданням держави є забезпечення її безпеки і права на життя. </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Визначальним принципом регулювання сімейних відносин за участю дитини є максимально можливе урахування інтересів дитини (частина восьма статті 7 Сімейного кодексу України, стаття 11 Закону України «Про охорону дитинства»).</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Відповідно до частини другої статті 155 </w:t>
      </w:r>
      <w:r>
        <w:rPr>
          <w:color w:val="000000" w:themeColor="text1"/>
          <w:sz w:val="28"/>
          <w:szCs w:val="28"/>
        </w:rPr>
        <w:t>Сімейного кодексу України,</w:t>
      </w:r>
      <w:r>
        <w:rPr>
          <w:color w:val="000000"/>
          <w:sz w:val="28"/>
          <w:szCs w:val="28"/>
        </w:rPr>
        <w:t xml:space="preserve"> батьківські права не можуть здійснюватися всупереч інтересам дитини.</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Питання справедливої рівноваги між інтересами батьків та інтересами дитини неодноразово аналізувалося ЄСПЛ, практика якого відповідно до статті 17 Закону України «Про виконання рішень та застосування практики Європейського суду з прав людини» і частини четвертої статті 10 ЦПК України застосовується судом як джерело права.</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У рішенні ЄСПЛ у справі «Хант проти України» від 07 грудня 2006 року зазначено,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 (рішення ЄСПЛ у справі "Johansen v. Norway" від 07 серпня 1996 року).</w:t>
      </w:r>
    </w:p>
    <w:p w:rsidR="006A0B10" w:rsidRDefault="003E31C7">
      <w:pPr>
        <w:pStyle w:val="ab"/>
        <w:spacing w:before="0" w:beforeAutospacing="0" w:after="0" w:afterAutospacing="0"/>
        <w:ind w:firstLine="709"/>
        <w:jc w:val="both"/>
        <w:rPr>
          <w:color w:val="000000"/>
          <w:sz w:val="28"/>
          <w:szCs w:val="28"/>
        </w:rPr>
      </w:pPr>
      <w:r>
        <w:rPr>
          <w:color w:val="000000"/>
          <w:sz w:val="28"/>
          <w:szCs w:val="28"/>
        </w:rPr>
        <w:lastRenderedPageBreak/>
        <w:t>Отже, положення про рівність прав та обов`язків батьків у вихованні дитини не може тлумачитися на шкоду інтересам дитини.</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Враховуючи викладене, захищаючи інтереси дитини, керуючись           ч. 5 ст. 19, ст. ст. 141, 142, 153, 157, 158, 160, 161 Сімейного кодексу України, беручи до уваги пропозиції комісії з питань захисту прав дитини, малолітній вік дитини, не здатність свідомо сприймати інформацію через гаджети, також те, що онлайн-формат спілкування для дитини є неефективним і не відповідає її віковим потребам, орган опіки і піклування: </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1) вважає доцільним визначення місця проживання малолітньої дитини </w:t>
      </w:r>
      <w:r w:rsidR="008C3E52">
        <w:rPr>
          <w:color w:val="000000"/>
          <w:sz w:val="28"/>
          <w:szCs w:val="28"/>
        </w:rPr>
        <w:t>…</w:t>
      </w:r>
      <w:r>
        <w:rPr>
          <w:color w:val="000000"/>
          <w:sz w:val="28"/>
          <w:szCs w:val="28"/>
        </w:rPr>
        <w:t xml:space="preserve">, 16.03.2024 року народження, разом із матір’ю </w:t>
      </w:r>
      <w:r w:rsidR="008C3E52">
        <w:rPr>
          <w:color w:val="000000"/>
          <w:sz w:val="28"/>
          <w:szCs w:val="28"/>
        </w:rPr>
        <w:t>…</w:t>
      </w:r>
      <w:r>
        <w:rPr>
          <w:color w:val="000000"/>
          <w:sz w:val="28"/>
          <w:szCs w:val="28"/>
        </w:rPr>
        <w:t>;</w:t>
      </w:r>
    </w:p>
    <w:p w:rsidR="006A0B10" w:rsidRDefault="003E31C7">
      <w:pPr>
        <w:pStyle w:val="ab"/>
        <w:spacing w:before="0" w:beforeAutospacing="0" w:after="0" w:afterAutospacing="0"/>
        <w:ind w:firstLine="709"/>
        <w:jc w:val="both"/>
        <w:rPr>
          <w:color w:val="000000"/>
          <w:sz w:val="28"/>
          <w:szCs w:val="28"/>
        </w:rPr>
      </w:pPr>
      <w:r>
        <w:rPr>
          <w:color w:val="000000"/>
          <w:sz w:val="28"/>
          <w:szCs w:val="28"/>
        </w:rPr>
        <w:t xml:space="preserve">2) вважає, що підстав для визначення способу участі батька </w:t>
      </w:r>
      <w:r w:rsidR="008C3E52">
        <w:rPr>
          <w:color w:val="000000"/>
          <w:sz w:val="28"/>
          <w:szCs w:val="28"/>
        </w:rPr>
        <w:t>…</w:t>
      </w:r>
      <w:r>
        <w:rPr>
          <w:color w:val="000000"/>
          <w:sz w:val="28"/>
          <w:szCs w:val="28"/>
        </w:rPr>
        <w:t xml:space="preserve"> у вихованні малолітньої дитини </w:t>
      </w:r>
      <w:r w:rsidR="008C3E52">
        <w:rPr>
          <w:color w:val="000000"/>
          <w:sz w:val="28"/>
          <w:szCs w:val="28"/>
        </w:rPr>
        <w:t>…</w:t>
      </w:r>
      <w:r>
        <w:rPr>
          <w:color w:val="000000"/>
          <w:sz w:val="28"/>
          <w:szCs w:val="28"/>
        </w:rPr>
        <w:t xml:space="preserve">, 16.03.2024 року народження, шляхом спілкування із дитиною з використання технічних засобів зв’язку в режимі відеоконференції, немає. </w:t>
      </w:r>
    </w:p>
    <w:p w:rsidR="006A0B10" w:rsidRDefault="006A0B10">
      <w:pPr>
        <w:pStyle w:val="ab"/>
        <w:spacing w:before="0" w:beforeAutospacing="0" w:after="0" w:afterAutospacing="0"/>
        <w:ind w:firstLine="709"/>
        <w:jc w:val="both"/>
        <w:rPr>
          <w:color w:val="000000"/>
          <w:sz w:val="28"/>
          <w:szCs w:val="28"/>
        </w:rPr>
      </w:pPr>
    </w:p>
    <w:p w:rsidR="006A0B10" w:rsidRDefault="003E31C7">
      <w:pPr>
        <w:pStyle w:val="ab"/>
        <w:spacing w:before="0" w:beforeAutospacing="0" w:after="0" w:afterAutospacing="0"/>
        <w:ind w:right="-2"/>
        <w:jc w:val="both"/>
        <w:rPr>
          <w:color w:val="000000"/>
          <w:sz w:val="28"/>
          <w:szCs w:val="28"/>
        </w:rPr>
      </w:pPr>
      <w:r>
        <w:rPr>
          <w:color w:val="000000"/>
          <w:sz w:val="28"/>
          <w:szCs w:val="28"/>
        </w:rPr>
        <w:t> </w:t>
      </w:r>
    </w:p>
    <w:p w:rsidR="006A0B10" w:rsidRDefault="003E31C7">
      <w:pPr>
        <w:pStyle w:val="ab"/>
        <w:spacing w:before="0" w:beforeAutospacing="0" w:after="0" w:afterAutospacing="0"/>
        <w:ind w:right="-2"/>
        <w:jc w:val="both"/>
        <w:rPr>
          <w:color w:val="000000"/>
          <w:sz w:val="28"/>
          <w:szCs w:val="28"/>
        </w:rPr>
      </w:pPr>
      <w:r>
        <w:rPr>
          <w:color w:val="000000"/>
          <w:sz w:val="28"/>
          <w:szCs w:val="28"/>
        </w:rPr>
        <w:t>Міський голова                                                                                Сергій НАДАЛ</w:t>
      </w:r>
    </w:p>
    <w:p w:rsidR="006A0B10" w:rsidRDefault="006A0B10">
      <w:pPr>
        <w:pStyle w:val="ab"/>
        <w:spacing w:before="0" w:beforeAutospacing="0" w:after="0" w:afterAutospacing="0"/>
        <w:ind w:right="-2"/>
        <w:jc w:val="both"/>
        <w:rPr>
          <w:color w:val="000000"/>
          <w:sz w:val="28"/>
          <w:szCs w:val="28"/>
        </w:rPr>
      </w:pPr>
    </w:p>
    <w:p w:rsidR="006A0B10" w:rsidRDefault="006A0B10">
      <w:pPr>
        <w:pStyle w:val="ab"/>
        <w:spacing w:before="0" w:beforeAutospacing="0" w:after="0" w:afterAutospacing="0"/>
        <w:ind w:right="-2"/>
        <w:jc w:val="both"/>
        <w:rPr>
          <w:color w:val="000000"/>
          <w:sz w:val="28"/>
          <w:szCs w:val="28"/>
        </w:rPr>
      </w:pPr>
    </w:p>
    <w:sectPr w:rsidR="006A0B10">
      <w:headerReference w:type="default" r:id="rId8"/>
      <w:pgSz w:w="11906" w:h="16838"/>
      <w:pgMar w:top="1134" w:right="851" w:bottom="226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0B10" w:rsidRDefault="006A0B10"/>
  </w:endnote>
  <w:endnote w:type="continuationSeparator" w:id="0">
    <w:p w:rsidR="006A0B10" w:rsidRDefault="006A0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0B10" w:rsidRDefault="006A0B10"/>
  </w:footnote>
  <w:footnote w:type="continuationSeparator" w:id="0">
    <w:p w:rsidR="006A0B10" w:rsidRDefault="006A0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0B10" w:rsidRDefault="003E31C7">
    <w:pPr>
      <w:pStyle w:val="a7"/>
      <w:jc w:val="center"/>
    </w:pPr>
    <w:r>
      <w:fldChar w:fldCharType="begin"/>
    </w:r>
    <w:r>
      <w:instrText>PAGE   \* MERGEFORMAT</w:instrText>
    </w:r>
    <w:r>
      <w:fldChar w:fldCharType="separate"/>
    </w:r>
    <w:r>
      <w:rPr>
        <w:noProof/>
      </w:rPr>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7CD"/>
    <w:multiLevelType w:val="multilevel"/>
    <w:tmpl w:val="3820B08E"/>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BFD0BF0"/>
    <w:multiLevelType w:val="multilevel"/>
    <w:tmpl w:val="B634639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1CE11156"/>
    <w:multiLevelType w:val="multilevel"/>
    <w:tmpl w:val="313AF8C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20D1322E"/>
    <w:multiLevelType w:val="multilevel"/>
    <w:tmpl w:val="77487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1A6BF7"/>
    <w:multiLevelType w:val="hybridMultilevel"/>
    <w:tmpl w:val="B0985AA2"/>
    <w:lvl w:ilvl="0" w:tplc="FAFC1B64">
      <w:numFmt w:val="bullet"/>
      <w:lvlText w:val="-"/>
      <w:lvlJc w:val="left"/>
      <w:pPr>
        <w:ind w:left="1065" w:hanging="360"/>
      </w:pPr>
      <w:rPr>
        <w:rFonts w:ascii="Times New Roman" w:hAnsi="Times New Roman"/>
      </w:rPr>
    </w:lvl>
    <w:lvl w:ilvl="1" w:tplc="04220003">
      <w:start w:val="1"/>
      <w:numFmt w:val="bullet"/>
      <w:lvlText w:val="o"/>
      <w:lvlJc w:val="left"/>
      <w:pPr>
        <w:ind w:left="1785" w:hanging="360"/>
      </w:pPr>
      <w:rPr>
        <w:rFonts w:ascii="Courier New" w:hAnsi="Courier New"/>
      </w:rPr>
    </w:lvl>
    <w:lvl w:ilvl="2" w:tplc="04220005">
      <w:start w:val="1"/>
      <w:numFmt w:val="bullet"/>
      <w:lvlText w:val=""/>
      <w:lvlJc w:val="left"/>
      <w:pPr>
        <w:ind w:left="2505" w:hanging="360"/>
      </w:pPr>
      <w:rPr>
        <w:rFonts w:ascii="Wingdings" w:hAnsi="Wingdings"/>
      </w:rPr>
    </w:lvl>
    <w:lvl w:ilvl="3" w:tplc="04220001">
      <w:start w:val="1"/>
      <w:numFmt w:val="bullet"/>
      <w:lvlText w:val=""/>
      <w:lvlJc w:val="left"/>
      <w:pPr>
        <w:ind w:left="3225" w:hanging="360"/>
      </w:pPr>
      <w:rPr>
        <w:rFonts w:ascii="Symbol" w:hAnsi="Symbol"/>
      </w:rPr>
    </w:lvl>
    <w:lvl w:ilvl="4" w:tplc="04220003">
      <w:start w:val="1"/>
      <w:numFmt w:val="bullet"/>
      <w:lvlText w:val="o"/>
      <w:lvlJc w:val="left"/>
      <w:pPr>
        <w:ind w:left="3945" w:hanging="360"/>
      </w:pPr>
      <w:rPr>
        <w:rFonts w:ascii="Courier New" w:hAnsi="Courier New"/>
      </w:rPr>
    </w:lvl>
    <w:lvl w:ilvl="5" w:tplc="04220005">
      <w:start w:val="1"/>
      <w:numFmt w:val="bullet"/>
      <w:lvlText w:val=""/>
      <w:lvlJc w:val="left"/>
      <w:pPr>
        <w:ind w:left="4665" w:hanging="360"/>
      </w:pPr>
      <w:rPr>
        <w:rFonts w:ascii="Wingdings" w:hAnsi="Wingdings"/>
      </w:rPr>
    </w:lvl>
    <w:lvl w:ilvl="6" w:tplc="04220001">
      <w:start w:val="1"/>
      <w:numFmt w:val="bullet"/>
      <w:lvlText w:val=""/>
      <w:lvlJc w:val="left"/>
      <w:pPr>
        <w:ind w:left="5385" w:hanging="360"/>
      </w:pPr>
      <w:rPr>
        <w:rFonts w:ascii="Symbol" w:hAnsi="Symbol"/>
      </w:rPr>
    </w:lvl>
    <w:lvl w:ilvl="7" w:tplc="04220003">
      <w:start w:val="1"/>
      <w:numFmt w:val="bullet"/>
      <w:lvlText w:val="o"/>
      <w:lvlJc w:val="left"/>
      <w:pPr>
        <w:ind w:left="6105" w:hanging="360"/>
      </w:pPr>
      <w:rPr>
        <w:rFonts w:ascii="Courier New" w:hAnsi="Courier New"/>
      </w:rPr>
    </w:lvl>
    <w:lvl w:ilvl="8" w:tplc="04220005">
      <w:start w:val="1"/>
      <w:numFmt w:val="bullet"/>
      <w:lvlText w:val=""/>
      <w:lvlJc w:val="left"/>
      <w:pPr>
        <w:ind w:left="6825" w:hanging="360"/>
      </w:pPr>
      <w:rPr>
        <w:rFonts w:ascii="Wingdings" w:hAnsi="Wingdings"/>
      </w:rPr>
    </w:lvl>
  </w:abstractNum>
  <w:abstractNum w:abstractNumId="5" w15:restartNumberingAfterBreak="0">
    <w:nsid w:val="3CCA5D42"/>
    <w:multiLevelType w:val="multilevel"/>
    <w:tmpl w:val="76CC0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4A6552"/>
    <w:multiLevelType w:val="multilevel"/>
    <w:tmpl w:val="DAF6928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15:restartNumberingAfterBreak="0">
    <w:nsid w:val="45F16F95"/>
    <w:multiLevelType w:val="multilevel"/>
    <w:tmpl w:val="F52E909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8" w15:restartNumberingAfterBreak="0">
    <w:nsid w:val="5FE643D8"/>
    <w:multiLevelType w:val="multilevel"/>
    <w:tmpl w:val="5346F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7"/>
  </w:num>
  <w:num w:numId="5">
    <w:abstractNumId w:val="8"/>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10"/>
    <w:rsid w:val="000F33D4"/>
    <w:rsid w:val="00384912"/>
    <w:rsid w:val="003E31C7"/>
    <w:rsid w:val="006A0B10"/>
    <w:rsid w:val="008C3E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6907"/>
  <w15:docId w15:val="{7181A025-CF31-4B95-94AE-A91D7847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paragraph" w:styleId="3">
    <w:name w:val="heading 3"/>
    <w:basedOn w:val="a"/>
    <w:link w:val="30"/>
    <w:uiPriority w:val="9"/>
    <w:semiHidden/>
    <w:unhideWhenUsed/>
    <w:qFormat/>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customStyle="1" w:styleId="rvps2">
    <w:name w:val="rvps2"/>
    <w:basedOn w:val="a"/>
    <w:pPr>
      <w:spacing w:before="100" w:beforeAutospacing="1" w:after="100" w:afterAutospacing="1"/>
    </w:pPr>
  </w:style>
  <w:style w:type="paragraph" w:styleId="a5">
    <w:name w:val="Balloon Text"/>
    <w:basedOn w:val="a"/>
    <w:link w:val="a6"/>
    <w:semiHidden/>
    <w:rPr>
      <w:rFonts w:ascii="Segoe UI" w:hAnsi="Segoe UI"/>
      <w:sz w:val="18"/>
      <w:szCs w:val="18"/>
    </w:rPr>
  </w:style>
  <w:style w:type="paragraph" w:styleId="a7">
    <w:name w:val="header"/>
    <w:basedOn w:val="a"/>
    <w:link w:val="a8"/>
    <w:pPr>
      <w:tabs>
        <w:tab w:val="center" w:pos="4819"/>
        <w:tab w:val="right" w:pos="9639"/>
      </w:tabs>
    </w:pPr>
  </w:style>
  <w:style w:type="paragraph" w:styleId="a9">
    <w:name w:val="footer"/>
    <w:basedOn w:val="a"/>
    <w:link w:val="aa"/>
    <w:pPr>
      <w:tabs>
        <w:tab w:val="center" w:pos="4819"/>
        <w:tab w:val="right" w:pos="9639"/>
      </w:tabs>
    </w:pPr>
  </w:style>
  <w:style w:type="paragraph" w:styleId="ab">
    <w:name w:val="Normal (Web)"/>
    <w:basedOn w:val="a"/>
    <w:pPr>
      <w:spacing w:before="100" w:beforeAutospacing="1" w:after="100" w:afterAutospacing="1"/>
    </w:pPr>
    <w:rPr>
      <w:lang w:val="uk-UA" w:eastAsia="uk-UA"/>
    </w:rPr>
  </w:style>
  <w:style w:type="paragraph" w:customStyle="1" w:styleId="query-text-line">
    <w:name w:val="query-text-line"/>
    <w:basedOn w:val="a"/>
    <w:pPr>
      <w:spacing w:before="100" w:beforeAutospacing="1" w:after="100" w:afterAutospacing="1"/>
    </w:pPr>
    <w:rPr>
      <w:lang w:val="uk-UA" w:eastAsia="uk-UA"/>
    </w:rPr>
  </w:style>
  <w:style w:type="paragraph" w:styleId="ac">
    <w:name w:val="footnote text"/>
    <w:link w:val="ad"/>
    <w:semiHidden/>
    <w:pPr>
      <w:spacing w:after="0" w:line="240" w:lineRule="auto"/>
    </w:pPr>
    <w:rPr>
      <w:sz w:val="20"/>
      <w:szCs w:val="20"/>
    </w:rPr>
  </w:style>
  <w:style w:type="paragraph" w:styleId="ae">
    <w:name w:val="endnote text"/>
    <w:link w:val="af"/>
    <w:semiHidden/>
    <w:pPr>
      <w:spacing w:after="0"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a4">
    <w:name w:val="Основний текст Знак"/>
    <w:basedOn w:val="a0"/>
    <w:link w:val="a3"/>
    <w:rPr>
      <w:sz w:val="28"/>
      <w:szCs w:val="24"/>
      <w:lang w:eastAsia="ru-RU"/>
    </w:rPr>
  </w:style>
  <w:style w:type="character" w:customStyle="1" w:styleId="1">
    <w:name w:val="Основний текст Знак1"/>
    <w:basedOn w:val="a0"/>
    <w:semiHidden/>
    <w:rPr>
      <w:rFonts w:ascii="Times New Roman" w:hAnsi="Times New Roman"/>
      <w:sz w:val="24"/>
      <w:szCs w:val="24"/>
      <w:lang w:val="ru-RU" w:eastAsia="ru-RU"/>
    </w:rPr>
  </w:style>
  <w:style w:type="character" w:customStyle="1" w:styleId="a6">
    <w:name w:val="Текст у виносці Знак"/>
    <w:basedOn w:val="a0"/>
    <w:link w:val="a5"/>
    <w:semiHidden/>
    <w:rPr>
      <w:rFonts w:ascii="Segoe UI" w:hAnsi="Segoe UI"/>
      <w:sz w:val="18"/>
      <w:szCs w:val="18"/>
      <w:lang w:val="ru-RU" w:eastAsia="ru-RU"/>
    </w:rPr>
  </w:style>
  <w:style w:type="character" w:customStyle="1" w:styleId="a8">
    <w:name w:val="Верхній колонтитул Знак"/>
    <w:basedOn w:val="a0"/>
    <w:link w:val="a7"/>
    <w:rPr>
      <w:rFonts w:ascii="Times New Roman" w:hAnsi="Times New Roman"/>
      <w:sz w:val="24"/>
      <w:szCs w:val="24"/>
      <w:lang w:val="ru-RU" w:eastAsia="ru-RU"/>
    </w:rPr>
  </w:style>
  <w:style w:type="character" w:customStyle="1" w:styleId="aa">
    <w:name w:val="Нижній колонтитул Знак"/>
    <w:basedOn w:val="a0"/>
    <w:link w:val="a9"/>
    <w:rPr>
      <w:rFonts w:ascii="Times New Roman" w:hAnsi="Times New Roman"/>
      <w:sz w:val="24"/>
      <w:szCs w:val="24"/>
      <w:lang w:val="ru-RU" w:eastAsia="ru-RU"/>
    </w:rPr>
  </w:style>
  <w:style w:type="character" w:customStyle="1" w:styleId="30">
    <w:name w:val="Заголовок 3 Знак"/>
    <w:basedOn w:val="a0"/>
    <w:link w:val="3"/>
    <w:rPr>
      <w:rFonts w:ascii="Times New Roman" w:hAnsi="Times New Roman"/>
      <w:b/>
      <w:bCs/>
      <w:sz w:val="27"/>
      <w:szCs w:val="27"/>
      <w:lang w:eastAsia="uk-UA"/>
    </w:rPr>
  </w:style>
  <w:style w:type="character" w:customStyle="1" w:styleId="horizontal-container">
    <w:name w:val="horizontal-container"/>
    <w:basedOn w:val="a0"/>
  </w:style>
  <w:style w:type="character" w:customStyle="1" w:styleId="cdk-visually-hidden">
    <w:name w:val="cdk-visually-hidden"/>
    <w:basedOn w:val="a0"/>
  </w:style>
  <w:style w:type="character" w:styleId="af2">
    <w:name w:val="footnote reference"/>
    <w:semiHidden/>
    <w:rPr>
      <w:vertAlign w:val="superscript"/>
    </w:rPr>
  </w:style>
  <w:style w:type="character" w:customStyle="1" w:styleId="ad">
    <w:name w:val="Текст виноски Знак"/>
    <w:link w:val="ac"/>
    <w:semiHidden/>
    <w:rPr>
      <w:sz w:val="20"/>
      <w:szCs w:val="20"/>
    </w:rPr>
  </w:style>
  <w:style w:type="character" w:styleId="af3">
    <w:name w:val="endnote reference"/>
    <w:semiHidden/>
    <w:rPr>
      <w:vertAlign w:val="superscript"/>
    </w:rPr>
  </w:style>
  <w:style w:type="character" w:customStyle="1" w:styleId="af">
    <w:name w:val="Текст кінцевої виноски Знак"/>
    <w:link w:val="ae"/>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2DA0-82B3-48EE-A619-186CB7CAB254}">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10887</Words>
  <Characters>6207</Characters>
  <Application>Microsoft Office Word</Application>
  <DocSecurity>0</DocSecurity>
  <Lines>51</Lines>
  <Paragraphs>34</Paragraphs>
  <ScaleCrop>false</ScaleCrop>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d24-Meleh</dc:creator>
  <cp:lastModifiedBy>d03-shylga</cp:lastModifiedBy>
  <cp:revision>3</cp:revision>
  <cp:lastPrinted>2026-02-13T08:28:00Z</cp:lastPrinted>
  <dcterms:created xsi:type="dcterms:W3CDTF">2026-02-18T12:45:00Z</dcterms:created>
  <dcterms:modified xsi:type="dcterms:W3CDTF">2026-02-19T07:52:00Z</dcterms:modified>
</cp:coreProperties>
</file>