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B7" w:rsidRPr="009C5BB8" w:rsidRDefault="006A09B7" w:rsidP="006A09B7">
      <w:pPr>
        <w:shd w:val="clear" w:color="auto" w:fill="FFFFFF"/>
        <w:spacing w:after="0" w:line="240" w:lineRule="auto"/>
        <w:ind w:left="1416" w:firstLine="708"/>
        <w:jc w:val="center"/>
        <w:rPr>
          <w:rFonts w:ascii="Times New Roman" w:eastAsiaTheme="minorEastAsia" w:hAnsi="Times New Roman" w:cs="Times New Roman"/>
          <w:bCs/>
          <w:color w:val="000000"/>
          <w:sz w:val="24"/>
          <w:szCs w:val="24"/>
          <w:lang w:eastAsia="uk-UA"/>
        </w:rPr>
      </w:pPr>
      <w:r>
        <w:rPr>
          <w:rFonts w:ascii="Times New Roman" w:eastAsiaTheme="minorEastAsia" w:hAnsi="Times New Roman" w:cs="Times New Roman"/>
          <w:bCs/>
          <w:color w:val="000000"/>
          <w:sz w:val="24"/>
          <w:szCs w:val="24"/>
          <w:lang w:eastAsia="uk-UA"/>
        </w:rPr>
        <w:t xml:space="preserve">                                                                                    </w:t>
      </w:r>
      <w:r w:rsidRPr="009C5BB8">
        <w:rPr>
          <w:rFonts w:ascii="Times New Roman" w:eastAsiaTheme="minorEastAsia" w:hAnsi="Times New Roman" w:cs="Times New Roman"/>
          <w:bCs/>
          <w:color w:val="000000"/>
          <w:sz w:val="24"/>
          <w:szCs w:val="24"/>
          <w:lang w:eastAsia="uk-UA"/>
        </w:rPr>
        <w:t xml:space="preserve">Додаток до рішення </w:t>
      </w:r>
    </w:p>
    <w:p w:rsidR="006A09B7" w:rsidRPr="009C5BB8" w:rsidRDefault="00086F1F" w:rsidP="00086F1F">
      <w:pPr>
        <w:shd w:val="clear" w:color="auto" w:fill="FFFFFF"/>
        <w:spacing w:after="0" w:line="240" w:lineRule="auto"/>
        <w:ind w:left="1416" w:firstLine="708"/>
        <w:jc w:val="right"/>
        <w:rPr>
          <w:rFonts w:ascii="Times New Roman" w:eastAsiaTheme="minorEastAsia" w:hAnsi="Times New Roman" w:cs="Times New Roman"/>
          <w:bCs/>
          <w:color w:val="000000"/>
          <w:sz w:val="24"/>
          <w:szCs w:val="24"/>
          <w:lang w:eastAsia="uk-UA"/>
        </w:rPr>
      </w:pPr>
      <w:r>
        <w:rPr>
          <w:rFonts w:ascii="Times New Roman" w:eastAsiaTheme="minorEastAsia" w:hAnsi="Times New Roman" w:cs="Times New Roman"/>
          <w:bCs/>
          <w:color w:val="000000"/>
          <w:sz w:val="24"/>
          <w:szCs w:val="24"/>
          <w:lang w:eastAsia="uk-UA"/>
        </w:rPr>
        <w:t>виконавчого комітету</w:t>
      </w:r>
    </w:p>
    <w:p w:rsidR="006A09B7" w:rsidRPr="00A71D5B" w:rsidRDefault="006A09B7" w:rsidP="006A09B7">
      <w:pPr>
        <w:widowControl w:val="0"/>
        <w:suppressAutoHyphens/>
        <w:spacing w:after="0" w:line="240" w:lineRule="auto"/>
        <w:jc w:val="center"/>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ЗВІТ</w:t>
      </w:r>
    </w:p>
    <w:p w:rsidR="006A09B7" w:rsidRPr="00A71D5B" w:rsidRDefault="006A09B7" w:rsidP="006A09B7">
      <w:pPr>
        <w:widowControl w:val="0"/>
        <w:suppressAutoHyphens/>
        <w:spacing w:after="0" w:line="240" w:lineRule="auto"/>
        <w:jc w:val="center"/>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про роботу управління правового забезпечення Те</w:t>
      </w:r>
      <w:r>
        <w:rPr>
          <w:rFonts w:ascii="Times New Roman" w:eastAsiaTheme="minorEastAsia" w:hAnsi="Times New Roman" w:cs="Times New Roman"/>
          <w:sz w:val="24"/>
          <w:szCs w:val="24"/>
          <w:lang w:eastAsia="uk-UA"/>
        </w:rPr>
        <w:t xml:space="preserve">рнопільської міської ради за </w:t>
      </w:r>
      <w:r w:rsidRPr="00A71D5B">
        <w:rPr>
          <w:rFonts w:ascii="Times New Roman" w:eastAsiaTheme="minorEastAsia" w:hAnsi="Times New Roman" w:cs="Times New Roman"/>
          <w:sz w:val="24"/>
          <w:szCs w:val="24"/>
          <w:lang w:eastAsia="uk-UA"/>
        </w:rPr>
        <w:t>202</w:t>
      </w:r>
      <w:r>
        <w:rPr>
          <w:rFonts w:ascii="Times New Roman" w:eastAsiaTheme="minorEastAsia" w:hAnsi="Times New Roman" w:cs="Times New Roman"/>
          <w:sz w:val="24"/>
          <w:szCs w:val="24"/>
          <w:lang w:eastAsia="uk-UA"/>
        </w:rPr>
        <w:t>5 рік</w:t>
      </w:r>
    </w:p>
    <w:p w:rsidR="006A09B7" w:rsidRPr="009C5BB8" w:rsidRDefault="006A09B7" w:rsidP="006A09B7">
      <w:pPr>
        <w:widowControl w:val="0"/>
        <w:suppressAutoHyphens/>
        <w:spacing w:after="0" w:line="240" w:lineRule="auto"/>
        <w:jc w:val="center"/>
        <w:rPr>
          <w:rFonts w:ascii="Times New Roman" w:eastAsiaTheme="minorEastAsia" w:hAnsi="Times New Roman" w:cs="Times New Roman"/>
          <w:b/>
          <w:sz w:val="24"/>
          <w:szCs w:val="24"/>
          <w:lang w:eastAsia="uk-UA"/>
        </w:rPr>
      </w:pPr>
    </w:p>
    <w:p w:rsidR="006A09B7" w:rsidRPr="006507A5" w:rsidRDefault="006A09B7" w:rsidP="006A09B7">
      <w:pPr>
        <w:spacing w:after="0" w:line="240" w:lineRule="auto"/>
        <w:ind w:firstLine="567"/>
        <w:jc w:val="both"/>
        <w:rPr>
          <w:rFonts w:ascii="Times New Roman" w:eastAsia="Calibri" w:hAnsi="Times New Roman" w:cs="Times New Roman"/>
          <w:sz w:val="24"/>
          <w:szCs w:val="24"/>
        </w:rPr>
      </w:pPr>
      <w:r w:rsidRPr="009C5BB8">
        <w:rPr>
          <w:rFonts w:ascii="Times New Roman" w:eastAsia="Calibri" w:hAnsi="Times New Roman" w:cs="Times New Roman"/>
          <w:sz w:val="24"/>
          <w:szCs w:val="24"/>
        </w:rPr>
        <w:t xml:space="preserve">Управління правового забезпечення Тернопільської міської ради (далі –  управління) є виконавчим органом Тернопільської міської ради, підконтрольним та підзвітним Тернопільській міській раді, підпорядковане виконавчому комітету та міському голові. Координацію діяльності управління здійснює заступник міського голови – керуючий справами. </w:t>
      </w:r>
    </w:p>
    <w:p w:rsidR="006A09B7" w:rsidRPr="009C5BB8" w:rsidRDefault="006A09B7" w:rsidP="006A09B7">
      <w:pPr>
        <w:spacing w:after="0" w:line="240" w:lineRule="auto"/>
        <w:ind w:firstLine="567"/>
        <w:jc w:val="both"/>
        <w:rPr>
          <w:rFonts w:ascii="Times New Roman" w:eastAsia="Calibri" w:hAnsi="Times New Roman" w:cs="Times New Roman"/>
          <w:sz w:val="24"/>
          <w:szCs w:val="24"/>
        </w:rPr>
      </w:pPr>
      <w:r w:rsidRPr="009C5BB8">
        <w:rPr>
          <w:rFonts w:ascii="Times New Roman" w:eastAsia="Calibri" w:hAnsi="Times New Roman" w:cs="Times New Roman"/>
          <w:sz w:val="24"/>
          <w:szCs w:val="24"/>
        </w:rPr>
        <w:t>Управління здійснює свою діяльність на правах самостійного структурного підрозділу міської ради.</w:t>
      </w:r>
    </w:p>
    <w:p w:rsidR="006A09B7" w:rsidRPr="009C5BB8" w:rsidRDefault="006A09B7" w:rsidP="006A09B7">
      <w:pPr>
        <w:spacing w:after="0" w:line="240" w:lineRule="auto"/>
        <w:ind w:firstLine="567"/>
        <w:jc w:val="both"/>
        <w:rPr>
          <w:rFonts w:ascii="Times New Roman" w:eastAsia="Calibri" w:hAnsi="Times New Roman" w:cs="Times New Roman"/>
          <w:sz w:val="24"/>
          <w:szCs w:val="24"/>
        </w:rPr>
      </w:pPr>
      <w:r w:rsidRPr="009C5BB8">
        <w:rPr>
          <w:rFonts w:ascii="Times New Roman" w:eastAsia="Calibri" w:hAnsi="Times New Roman" w:cs="Times New Roman"/>
          <w:sz w:val="24"/>
          <w:szCs w:val="24"/>
        </w:rPr>
        <w:t>Управління у своїй діяльності керується Конституцією та законами України, постановами Верховної Ради України, нормативно-правовими актами Президента України та Кабінету Міністрів України, органів виконавчої влади, рішеннями Тернопільської міської ради та її виконавчого комітету, розпорядженнями міського голови, Стандартом ISO 9001</w:t>
      </w:r>
      <w:r>
        <w:rPr>
          <w:rFonts w:ascii="Times New Roman" w:eastAsia="Calibri" w:hAnsi="Times New Roman" w:cs="Times New Roman"/>
          <w:sz w:val="24"/>
          <w:szCs w:val="24"/>
        </w:rPr>
        <w:t xml:space="preserve">-2015 </w:t>
      </w:r>
      <w:r w:rsidRPr="009C5BB8">
        <w:rPr>
          <w:rFonts w:ascii="Times New Roman" w:eastAsia="Calibri" w:hAnsi="Times New Roman" w:cs="Times New Roman"/>
          <w:sz w:val="24"/>
          <w:szCs w:val="24"/>
        </w:rPr>
        <w:t xml:space="preserve">у сфері управління якістю, Настановою та Політикою у сфері якості та  Положенням про </w:t>
      </w:r>
      <w:r>
        <w:rPr>
          <w:rFonts w:ascii="Times New Roman" w:eastAsia="Calibri" w:hAnsi="Times New Roman" w:cs="Times New Roman"/>
          <w:sz w:val="24"/>
          <w:szCs w:val="24"/>
        </w:rPr>
        <w:t>управління</w:t>
      </w:r>
      <w:r w:rsidRPr="009C5BB8">
        <w:rPr>
          <w:rFonts w:ascii="Times New Roman" w:eastAsia="Calibri" w:hAnsi="Times New Roman" w:cs="Times New Roman"/>
          <w:sz w:val="24"/>
          <w:szCs w:val="24"/>
        </w:rPr>
        <w:t>, затвердженим рішенням Тернопільської міської ради  №7/39/19 від 25.10.2019.</w:t>
      </w:r>
    </w:p>
    <w:p w:rsidR="006A09B7" w:rsidRPr="009C5BB8" w:rsidRDefault="006A09B7" w:rsidP="006A09B7">
      <w:pPr>
        <w:widowControl w:val="0"/>
        <w:suppressAutoHyphens/>
        <w:spacing w:after="0" w:line="240" w:lineRule="auto"/>
        <w:jc w:val="center"/>
        <w:rPr>
          <w:rFonts w:ascii="Times New Roman" w:eastAsiaTheme="minorEastAsia" w:hAnsi="Times New Roman" w:cs="Times New Roman"/>
          <w:sz w:val="24"/>
          <w:szCs w:val="24"/>
          <w:lang w:eastAsia="uk-UA"/>
        </w:rPr>
      </w:pPr>
    </w:p>
    <w:p w:rsidR="006A09B7" w:rsidRPr="009C5BB8"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Пріоритетними завданнями та функціями управління є:</w:t>
      </w:r>
    </w:p>
    <w:p w:rsidR="006A09B7" w:rsidRPr="00A71D5B" w:rsidRDefault="006A09B7" w:rsidP="006A09B7">
      <w:pPr>
        <w:pStyle w:val="a5"/>
        <w:widowControl w:val="0"/>
        <w:numPr>
          <w:ilvl w:val="0"/>
          <w:numId w:val="1"/>
        </w:numPr>
        <w:tabs>
          <w:tab w:val="left" w:pos="1800"/>
        </w:tabs>
        <w:suppressAutoHyphens/>
        <w:spacing w:after="0" w:line="240" w:lineRule="auto"/>
        <w:jc w:val="both"/>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Захист законних інтересів міської ради та її виконавчого комітету;</w:t>
      </w:r>
    </w:p>
    <w:p w:rsidR="006A09B7" w:rsidRPr="00A71D5B" w:rsidRDefault="006A09B7" w:rsidP="006A09B7">
      <w:pPr>
        <w:pStyle w:val="a5"/>
        <w:widowControl w:val="0"/>
        <w:numPr>
          <w:ilvl w:val="0"/>
          <w:numId w:val="1"/>
        </w:numPr>
        <w:tabs>
          <w:tab w:val="left" w:pos="1800"/>
        </w:tabs>
        <w:suppressAutoHyphens/>
        <w:spacing w:after="0" w:line="240" w:lineRule="auto"/>
        <w:jc w:val="both"/>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Участь у підготовці проектів нормативних актів, що приймаються радою, її виконавчим комітетом, міським головою;</w:t>
      </w:r>
    </w:p>
    <w:p w:rsidR="006A09B7" w:rsidRPr="00A71D5B" w:rsidRDefault="006A09B7" w:rsidP="006A09B7">
      <w:pPr>
        <w:pStyle w:val="a5"/>
        <w:widowControl w:val="0"/>
        <w:numPr>
          <w:ilvl w:val="0"/>
          <w:numId w:val="1"/>
        </w:numPr>
        <w:tabs>
          <w:tab w:val="left" w:pos="1800"/>
        </w:tabs>
        <w:suppressAutoHyphens/>
        <w:spacing w:after="0" w:line="240" w:lineRule="auto"/>
        <w:jc w:val="both"/>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Перевірка на відповідність чинному законодавству актів, що приймаються міською радою, її виконавчим комітетом, міським головою;</w:t>
      </w:r>
    </w:p>
    <w:p w:rsidR="006A09B7" w:rsidRPr="00A71D5B" w:rsidRDefault="006A09B7" w:rsidP="006A09B7">
      <w:pPr>
        <w:pStyle w:val="a5"/>
        <w:widowControl w:val="0"/>
        <w:numPr>
          <w:ilvl w:val="0"/>
          <w:numId w:val="1"/>
        </w:numPr>
        <w:tabs>
          <w:tab w:val="left" w:pos="1800"/>
        </w:tabs>
        <w:suppressAutoHyphens/>
        <w:spacing w:after="0" w:line="240" w:lineRule="auto"/>
        <w:jc w:val="both"/>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Представлення у встановленому законодавством порядку інтересів ради, її виконавчих органів в судах та інших органах під час розгляду правових питань та спорів;</w:t>
      </w:r>
    </w:p>
    <w:p w:rsidR="006A09B7" w:rsidRPr="00A71D5B" w:rsidRDefault="006A09B7" w:rsidP="006A09B7">
      <w:pPr>
        <w:pStyle w:val="a5"/>
        <w:widowControl w:val="0"/>
        <w:numPr>
          <w:ilvl w:val="0"/>
          <w:numId w:val="1"/>
        </w:numPr>
        <w:tabs>
          <w:tab w:val="left" w:pos="1800"/>
        </w:tabs>
        <w:suppressAutoHyphens/>
        <w:spacing w:after="0" w:line="240" w:lineRule="auto"/>
        <w:jc w:val="both"/>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Розгляд звернень фізичних та юридичних осіб, проведення прийомів громадян;</w:t>
      </w:r>
    </w:p>
    <w:p w:rsidR="006A09B7" w:rsidRPr="00A71D5B" w:rsidRDefault="006A09B7" w:rsidP="006A09B7">
      <w:pPr>
        <w:pStyle w:val="a5"/>
        <w:widowControl w:val="0"/>
        <w:numPr>
          <w:ilvl w:val="0"/>
          <w:numId w:val="1"/>
        </w:numPr>
        <w:tabs>
          <w:tab w:val="left" w:pos="1800"/>
        </w:tabs>
        <w:suppressAutoHyphens/>
        <w:spacing w:after="0" w:line="240" w:lineRule="auto"/>
        <w:jc w:val="both"/>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Надання правової допомоги структурним підрозділам міської ради, комунальним підприємствам, щодо здійснення ними повноважень;</w:t>
      </w:r>
    </w:p>
    <w:p w:rsidR="006A09B7" w:rsidRPr="00A71D5B" w:rsidRDefault="006A09B7" w:rsidP="006A09B7">
      <w:pPr>
        <w:pStyle w:val="a5"/>
        <w:widowControl w:val="0"/>
        <w:numPr>
          <w:ilvl w:val="0"/>
          <w:numId w:val="1"/>
        </w:numPr>
        <w:tabs>
          <w:tab w:val="left" w:pos="1800"/>
        </w:tabs>
        <w:suppressAutoHyphens/>
        <w:spacing w:after="0" w:line="240" w:lineRule="auto"/>
        <w:jc w:val="both"/>
        <w:rPr>
          <w:rFonts w:ascii="Times New Roman" w:eastAsiaTheme="minorEastAsia" w:hAnsi="Times New Roman" w:cs="Times New Roman"/>
          <w:sz w:val="24"/>
          <w:szCs w:val="24"/>
          <w:lang w:eastAsia="uk-UA"/>
        </w:rPr>
      </w:pPr>
      <w:r w:rsidRPr="00A71D5B">
        <w:rPr>
          <w:rFonts w:ascii="Times New Roman" w:eastAsiaTheme="minorEastAsia" w:hAnsi="Times New Roman" w:cs="Times New Roman"/>
          <w:sz w:val="24"/>
          <w:szCs w:val="24"/>
          <w:lang w:eastAsia="uk-UA"/>
        </w:rPr>
        <w:t>Надання правової допомоги громадянам.</w:t>
      </w:r>
    </w:p>
    <w:p w:rsidR="006A09B7" w:rsidRPr="009C5BB8"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p>
    <w:p w:rsidR="006A09B7" w:rsidRPr="009C5BB8"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Управлінням правового забезпечення проводиться перевірка на відповідність чинному законодавству актів, що приймаються радою, виконавчим комітетом та міським головою, за звітний період в цифрах це має наступний вигляд:</w:t>
      </w:r>
    </w:p>
    <w:p w:rsidR="006A09B7" w:rsidRPr="009C5BB8"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274"/>
        <w:gridCol w:w="2065"/>
        <w:gridCol w:w="2274"/>
      </w:tblGrid>
      <w:tr w:rsidR="006A09B7" w:rsidRPr="00741794" w:rsidTr="001C5DD4">
        <w:tc>
          <w:tcPr>
            <w:tcW w:w="2908" w:type="dxa"/>
            <w:tcBorders>
              <w:top w:val="single" w:sz="4" w:space="0" w:color="auto"/>
              <w:left w:val="single" w:sz="4" w:space="0" w:color="auto"/>
              <w:bottom w:val="single" w:sz="4" w:space="0" w:color="auto"/>
              <w:right w:val="single" w:sz="4" w:space="0" w:color="auto"/>
            </w:tcBorders>
            <w:hideMark/>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741794">
              <w:rPr>
                <w:rFonts w:ascii="Times New Roman" w:eastAsiaTheme="minorEastAsia" w:hAnsi="Times New Roman" w:cs="Times New Roman"/>
                <w:sz w:val="24"/>
                <w:szCs w:val="24"/>
                <w:lang w:eastAsia="ru-RU"/>
              </w:rPr>
              <w:t>За  202</w:t>
            </w:r>
            <w:r>
              <w:rPr>
                <w:rFonts w:ascii="Times New Roman" w:eastAsiaTheme="minorEastAsia" w:hAnsi="Times New Roman" w:cs="Times New Roman"/>
                <w:sz w:val="24"/>
                <w:szCs w:val="24"/>
                <w:lang w:eastAsia="ru-RU"/>
              </w:rPr>
              <w:t>4</w:t>
            </w:r>
            <w:r w:rsidRPr="00741794">
              <w:rPr>
                <w:rFonts w:ascii="Times New Roman" w:eastAsiaTheme="minorEastAsia" w:hAnsi="Times New Roman" w:cs="Times New Roman"/>
                <w:sz w:val="24"/>
                <w:szCs w:val="24"/>
                <w:lang w:eastAsia="ru-RU"/>
              </w:rPr>
              <w:t xml:space="preserve"> рік</w:t>
            </w:r>
          </w:p>
        </w:tc>
        <w:tc>
          <w:tcPr>
            <w:tcW w:w="2065"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741794">
              <w:rPr>
                <w:rFonts w:ascii="Times New Roman" w:eastAsiaTheme="minorEastAsia" w:hAnsi="Times New Roman" w:cs="Times New Roman"/>
                <w:sz w:val="24"/>
                <w:szCs w:val="24"/>
                <w:lang w:eastAsia="ru-RU"/>
              </w:rPr>
              <w:t>За 10 місяців 202</w:t>
            </w:r>
            <w:r>
              <w:rPr>
                <w:rFonts w:ascii="Times New Roman" w:eastAsiaTheme="minorEastAsia" w:hAnsi="Times New Roman" w:cs="Times New Roman"/>
                <w:sz w:val="24"/>
                <w:szCs w:val="24"/>
                <w:lang w:eastAsia="ru-RU"/>
              </w:rPr>
              <w:t>4</w:t>
            </w:r>
            <w:r w:rsidRPr="00741794">
              <w:rPr>
                <w:rFonts w:ascii="Times New Roman" w:eastAsiaTheme="minorEastAsia" w:hAnsi="Times New Roman" w:cs="Times New Roman"/>
                <w:sz w:val="24"/>
                <w:szCs w:val="24"/>
                <w:lang w:eastAsia="ru-RU"/>
              </w:rPr>
              <w:t xml:space="preserve"> року </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741794">
              <w:rPr>
                <w:rFonts w:ascii="Times New Roman" w:eastAsiaTheme="minorEastAsia" w:hAnsi="Times New Roman" w:cs="Times New Roman"/>
                <w:sz w:val="24"/>
                <w:szCs w:val="24"/>
                <w:lang w:eastAsia="ru-RU"/>
              </w:rPr>
              <w:t>За 10 місяців 202</w:t>
            </w:r>
            <w:r>
              <w:rPr>
                <w:rFonts w:ascii="Times New Roman" w:eastAsiaTheme="minorEastAsia" w:hAnsi="Times New Roman" w:cs="Times New Roman"/>
                <w:sz w:val="24"/>
                <w:szCs w:val="24"/>
                <w:lang w:eastAsia="ru-RU"/>
              </w:rPr>
              <w:t>5</w:t>
            </w:r>
            <w:r w:rsidRPr="00741794">
              <w:rPr>
                <w:rFonts w:ascii="Times New Roman" w:eastAsiaTheme="minorEastAsia" w:hAnsi="Times New Roman" w:cs="Times New Roman"/>
                <w:sz w:val="24"/>
                <w:szCs w:val="24"/>
                <w:lang w:eastAsia="ru-RU"/>
              </w:rPr>
              <w:t xml:space="preserve"> року</w:t>
            </w:r>
          </w:p>
        </w:tc>
      </w:tr>
      <w:tr w:rsidR="006A09B7" w:rsidRPr="00741794" w:rsidTr="001C5DD4">
        <w:tc>
          <w:tcPr>
            <w:tcW w:w="2908"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sidRPr="00741794">
              <w:rPr>
                <w:rFonts w:ascii="Times New Roman" w:eastAsiaTheme="minorEastAsia" w:hAnsi="Times New Roman" w:cs="Times New Roman"/>
                <w:sz w:val="24"/>
                <w:szCs w:val="24"/>
                <w:lang w:eastAsia="uk-UA"/>
              </w:rPr>
              <w:t>Проектів рішень міської ради</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uk-UA"/>
              </w:rPr>
            </w:pPr>
            <w:r>
              <w:rPr>
                <w:rFonts w:ascii="Times New Roman" w:eastAsiaTheme="minorEastAsia" w:hAnsi="Times New Roman" w:cs="Times New Roman"/>
                <w:sz w:val="24"/>
                <w:szCs w:val="24"/>
                <w:lang w:val="ru-RU" w:eastAsia="uk-UA"/>
              </w:rPr>
              <w:t>936</w:t>
            </w:r>
          </w:p>
        </w:tc>
        <w:tc>
          <w:tcPr>
            <w:tcW w:w="2065"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741794">
              <w:rPr>
                <w:rFonts w:ascii="Times New Roman" w:eastAsiaTheme="minorEastAsia" w:hAnsi="Times New Roman" w:cs="Times New Roman"/>
                <w:sz w:val="24"/>
                <w:szCs w:val="24"/>
                <w:lang w:val="ru-RU" w:eastAsia="ru-RU"/>
              </w:rPr>
              <w:t>892</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897</w:t>
            </w:r>
          </w:p>
        </w:tc>
      </w:tr>
      <w:tr w:rsidR="006A09B7" w:rsidRPr="00741794" w:rsidTr="001C5DD4">
        <w:tc>
          <w:tcPr>
            <w:tcW w:w="2908" w:type="dxa"/>
            <w:tcBorders>
              <w:top w:val="single" w:sz="4" w:space="0" w:color="auto"/>
              <w:left w:val="single" w:sz="4" w:space="0" w:color="auto"/>
              <w:bottom w:val="single" w:sz="4" w:space="0" w:color="auto"/>
              <w:right w:val="single" w:sz="4" w:space="0" w:color="auto"/>
            </w:tcBorders>
            <w:hideMark/>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741794">
              <w:rPr>
                <w:rFonts w:ascii="Times New Roman" w:eastAsiaTheme="minorEastAsia" w:hAnsi="Times New Roman" w:cs="Times New Roman"/>
                <w:sz w:val="24"/>
                <w:szCs w:val="24"/>
                <w:lang w:eastAsia="uk-UA"/>
              </w:rPr>
              <w:t xml:space="preserve">Проектів рішень виконавчого комітету міської ради </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2001</w:t>
            </w:r>
          </w:p>
        </w:tc>
        <w:tc>
          <w:tcPr>
            <w:tcW w:w="2065"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sidRPr="00741794">
              <w:rPr>
                <w:rFonts w:ascii="Times New Roman" w:eastAsiaTheme="minorEastAsia" w:hAnsi="Times New Roman" w:cs="Times New Roman"/>
                <w:sz w:val="24"/>
                <w:szCs w:val="24"/>
                <w:lang w:val="ru-RU" w:eastAsia="ru-RU"/>
              </w:rPr>
              <w:t>1680</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en-US" w:eastAsia="ru-RU"/>
              </w:rPr>
              <w:t>1</w:t>
            </w:r>
            <w:r>
              <w:rPr>
                <w:rFonts w:ascii="Times New Roman" w:eastAsiaTheme="minorEastAsia" w:hAnsi="Times New Roman" w:cs="Times New Roman"/>
                <w:sz w:val="24"/>
                <w:szCs w:val="24"/>
                <w:lang w:val="ru-RU" w:eastAsia="ru-RU"/>
              </w:rPr>
              <w:t>657</w:t>
            </w:r>
          </w:p>
        </w:tc>
      </w:tr>
      <w:tr w:rsidR="006A09B7" w:rsidRPr="00741794" w:rsidTr="001C5DD4">
        <w:tc>
          <w:tcPr>
            <w:tcW w:w="2908" w:type="dxa"/>
            <w:tcBorders>
              <w:top w:val="single" w:sz="4" w:space="0" w:color="auto"/>
              <w:left w:val="single" w:sz="4" w:space="0" w:color="auto"/>
              <w:bottom w:val="single" w:sz="4" w:space="0" w:color="auto"/>
              <w:right w:val="single" w:sz="4" w:space="0" w:color="auto"/>
            </w:tcBorders>
            <w:hideMark/>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741794">
              <w:rPr>
                <w:rFonts w:ascii="Times New Roman" w:eastAsiaTheme="minorEastAsia" w:hAnsi="Times New Roman" w:cs="Times New Roman"/>
                <w:sz w:val="24"/>
                <w:szCs w:val="24"/>
                <w:lang w:eastAsia="uk-UA"/>
              </w:rPr>
              <w:t>Проектів розпоряджень міського голови</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258</w:t>
            </w:r>
          </w:p>
        </w:tc>
        <w:tc>
          <w:tcPr>
            <w:tcW w:w="2065"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sidRPr="00741794">
              <w:rPr>
                <w:rFonts w:ascii="Times New Roman" w:eastAsiaTheme="minorEastAsia" w:hAnsi="Times New Roman" w:cs="Times New Roman"/>
                <w:sz w:val="24"/>
                <w:szCs w:val="24"/>
                <w:lang w:val="ru-RU" w:eastAsia="ru-RU"/>
              </w:rPr>
              <w:t>239</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256</w:t>
            </w:r>
          </w:p>
        </w:tc>
      </w:tr>
      <w:tr w:rsidR="006A09B7" w:rsidRPr="00741794" w:rsidTr="001C5DD4">
        <w:tc>
          <w:tcPr>
            <w:tcW w:w="2908"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sidRPr="00741794">
              <w:rPr>
                <w:rFonts w:ascii="Times New Roman" w:eastAsiaTheme="minorEastAsia" w:hAnsi="Times New Roman" w:cs="Times New Roman"/>
                <w:sz w:val="24"/>
                <w:szCs w:val="24"/>
                <w:lang w:eastAsia="uk-UA"/>
              </w:rPr>
              <w:t>Проектів розпоряджень міського голови з кадрової роботи</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1510</w:t>
            </w:r>
          </w:p>
        </w:tc>
        <w:tc>
          <w:tcPr>
            <w:tcW w:w="2065"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sidRPr="00741794">
              <w:rPr>
                <w:rFonts w:ascii="Times New Roman" w:eastAsiaTheme="minorEastAsia" w:hAnsi="Times New Roman" w:cs="Times New Roman"/>
                <w:sz w:val="24"/>
                <w:szCs w:val="24"/>
                <w:lang w:val="ru-RU" w:eastAsia="ru-RU"/>
              </w:rPr>
              <w:t>1241</w:t>
            </w:r>
          </w:p>
        </w:tc>
        <w:tc>
          <w:tcPr>
            <w:tcW w:w="2274" w:type="dxa"/>
            <w:tcBorders>
              <w:top w:val="single" w:sz="4" w:space="0" w:color="auto"/>
              <w:left w:val="single" w:sz="4" w:space="0" w:color="auto"/>
              <w:bottom w:val="single" w:sz="4" w:space="0" w:color="auto"/>
              <w:right w:val="single" w:sz="4" w:space="0" w:color="auto"/>
            </w:tcBorders>
          </w:tcPr>
          <w:p w:rsidR="006A09B7" w:rsidRPr="00741794"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1250</w:t>
            </w:r>
          </w:p>
        </w:tc>
      </w:tr>
    </w:tbl>
    <w:p w:rsidR="006A09B7" w:rsidRPr="00741794"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6A09B7"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086F1F"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086F1F"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086F1F"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086F1F"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086F1F"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086F1F"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086F1F"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2</w:t>
      </w:r>
    </w:p>
    <w:p w:rsidR="00086F1F" w:rsidRPr="009C5BB8" w:rsidRDefault="00086F1F" w:rsidP="006A09B7">
      <w:pPr>
        <w:widowControl w:val="0"/>
        <w:suppressAutoHyphens/>
        <w:spacing w:after="0" w:line="240" w:lineRule="auto"/>
        <w:ind w:firstLine="360"/>
        <w:jc w:val="both"/>
        <w:rPr>
          <w:rFonts w:ascii="Times New Roman" w:eastAsiaTheme="minorEastAsia" w:hAnsi="Times New Roman" w:cs="Times New Roman"/>
          <w:sz w:val="24"/>
          <w:szCs w:val="24"/>
          <w:lang w:eastAsia="ru-RU"/>
        </w:rPr>
      </w:pPr>
    </w:p>
    <w:p w:rsidR="006A09B7"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 xml:space="preserve">Управлінням правового забезпечення розглянуто понад </w:t>
      </w:r>
      <w:r>
        <w:rPr>
          <w:rFonts w:ascii="Times New Roman" w:eastAsiaTheme="minorEastAsia" w:hAnsi="Times New Roman" w:cs="Times New Roman"/>
          <w:sz w:val="24"/>
          <w:szCs w:val="24"/>
          <w:lang w:eastAsia="uk-UA"/>
        </w:rPr>
        <w:t>1000</w:t>
      </w:r>
      <w:r w:rsidRPr="008664D0">
        <w:rPr>
          <w:rFonts w:ascii="Times New Roman" w:eastAsiaTheme="minorEastAsia" w:hAnsi="Times New Roman" w:cs="Times New Roman"/>
          <w:sz w:val="24"/>
          <w:szCs w:val="24"/>
          <w:lang w:eastAsia="uk-UA"/>
        </w:rPr>
        <w:t xml:space="preserve"> різ</w:t>
      </w:r>
      <w:r w:rsidRPr="009C5BB8">
        <w:rPr>
          <w:rFonts w:ascii="Times New Roman" w:eastAsiaTheme="minorEastAsia" w:hAnsi="Times New Roman" w:cs="Times New Roman"/>
          <w:sz w:val="24"/>
          <w:szCs w:val="24"/>
          <w:lang w:eastAsia="uk-UA"/>
        </w:rPr>
        <w:t>ного роду звернень, що надходили від фізичних та юридичних осіб</w:t>
      </w:r>
      <w:r w:rsidRPr="008664D0">
        <w:rPr>
          <w:rFonts w:ascii="Times New Roman" w:eastAsiaTheme="minorEastAsia" w:hAnsi="Times New Roman" w:cs="Times New Roman"/>
          <w:sz w:val="24"/>
          <w:szCs w:val="24"/>
          <w:lang w:eastAsia="uk-UA"/>
        </w:rPr>
        <w:t xml:space="preserve"> з них:</w:t>
      </w:r>
    </w:p>
    <w:p w:rsidR="006A09B7" w:rsidRPr="009C5BB8"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158"/>
        <w:gridCol w:w="2394"/>
        <w:gridCol w:w="2138"/>
      </w:tblGrid>
      <w:tr w:rsidR="006A09B7" w:rsidRPr="009C5BB8" w:rsidTr="001C5DD4">
        <w:tc>
          <w:tcPr>
            <w:tcW w:w="2831" w:type="dxa"/>
            <w:tcBorders>
              <w:top w:val="single" w:sz="4" w:space="0" w:color="auto"/>
              <w:left w:val="single" w:sz="4" w:space="0" w:color="auto"/>
              <w:bottom w:val="single" w:sz="4" w:space="0" w:color="auto"/>
              <w:right w:val="single" w:sz="4" w:space="0" w:color="auto"/>
            </w:tcBorders>
            <w:hideMark/>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p>
        </w:tc>
        <w:tc>
          <w:tcPr>
            <w:tcW w:w="2158"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uk-UA"/>
              </w:rPr>
              <w:t>За 2024 рік</w:t>
            </w:r>
          </w:p>
        </w:tc>
        <w:tc>
          <w:tcPr>
            <w:tcW w:w="2394"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9C5BB8">
              <w:rPr>
                <w:rFonts w:ascii="Times New Roman" w:eastAsiaTheme="minorEastAsia" w:hAnsi="Times New Roman" w:cs="Times New Roman"/>
                <w:sz w:val="24"/>
                <w:szCs w:val="24"/>
                <w:lang w:eastAsia="ru-RU"/>
              </w:rPr>
              <w:t xml:space="preserve">За </w:t>
            </w:r>
            <w:r>
              <w:rPr>
                <w:rFonts w:ascii="Times New Roman" w:eastAsiaTheme="minorEastAsia" w:hAnsi="Times New Roman" w:cs="Times New Roman"/>
                <w:sz w:val="24"/>
                <w:szCs w:val="24"/>
                <w:lang w:eastAsia="ru-RU"/>
              </w:rPr>
              <w:t>10 місяців 2024 року</w:t>
            </w:r>
          </w:p>
        </w:tc>
        <w:tc>
          <w:tcPr>
            <w:tcW w:w="2138"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За 10 місяців 202</w:t>
            </w:r>
            <w:r>
              <w:rPr>
                <w:rFonts w:ascii="Times New Roman" w:eastAsiaTheme="minorEastAsia" w:hAnsi="Times New Roman" w:cs="Times New Roman"/>
                <w:sz w:val="24"/>
                <w:szCs w:val="24"/>
                <w:lang w:eastAsia="uk-UA"/>
              </w:rPr>
              <w:t>5 року</w:t>
            </w:r>
          </w:p>
        </w:tc>
      </w:tr>
      <w:tr w:rsidR="006A09B7" w:rsidRPr="009C5BB8" w:rsidTr="001C5DD4">
        <w:tc>
          <w:tcPr>
            <w:tcW w:w="2831"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Звернень фізичних та юридичних осіб</w:t>
            </w:r>
          </w:p>
        </w:tc>
        <w:tc>
          <w:tcPr>
            <w:tcW w:w="2158"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1570</w:t>
            </w:r>
          </w:p>
        </w:tc>
        <w:tc>
          <w:tcPr>
            <w:tcW w:w="2394"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1381</w:t>
            </w:r>
          </w:p>
        </w:tc>
        <w:tc>
          <w:tcPr>
            <w:tcW w:w="2138"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1035</w:t>
            </w:r>
          </w:p>
        </w:tc>
      </w:tr>
      <w:tr w:rsidR="006A09B7" w:rsidRPr="009C5BB8" w:rsidTr="001C5DD4">
        <w:tc>
          <w:tcPr>
            <w:tcW w:w="2831" w:type="dxa"/>
            <w:tcBorders>
              <w:top w:val="single" w:sz="4" w:space="0" w:color="auto"/>
              <w:left w:val="single" w:sz="4" w:space="0" w:color="auto"/>
              <w:bottom w:val="single" w:sz="4" w:space="0" w:color="auto"/>
              <w:right w:val="single" w:sz="4" w:space="0" w:color="auto"/>
            </w:tcBorders>
            <w:hideMark/>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sidRPr="009C5BB8">
              <w:rPr>
                <w:rFonts w:ascii="Times New Roman" w:eastAsiaTheme="minorEastAsia" w:hAnsi="Times New Roman" w:cs="Times New Roman"/>
                <w:sz w:val="24"/>
                <w:szCs w:val="24"/>
                <w:lang w:eastAsia="uk-UA"/>
              </w:rPr>
              <w:t>процесуальних документів (ухвали, рішення та постанови судових інстанцій, виконавчі документи, доручення та інше)</w:t>
            </w:r>
          </w:p>
        </w:tc>
        <w:tc>
          <w:tcPr>
            <w:tcW w:w="2158" w:type="dxa"/>
            <w:tcBorders>
              <w:top w:val="single" w:sz="4" w:space="0" w:color="auto"/>
              <w:left w:val="single" w:sz="4" w:space="0" w:color="auto"/>
              <w:bottom w:val="single" w:sz="4" w:space="0" w:color="auto"/>
              <w:right w:val="single" w:sz="4" w:space="0" w:color="auto"/>
            </w:tcBorders>
          </w:tcPr>
          <w:p w:rsidR="006A09B7" w:rsidRPr="009C5BB8" w:rsidRDefault="006A09B7" w:rsidP="001C5DD4">
            <w:pPr>
              <w:widowControl w:val="0"/>
              <w:suppressAutoHyphen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ru-RU" w:eastAsia="uk-UA"/>
              </w:rPr>
              <w:t>1620</w:t>
            </w:r>
          </w:p>
        </w:tc>
        <w:tc>
          <w:tcPr>
            <w:tcW w:w="2394" w:type="dxa"/>
            <w:tcBorders>
              <w:top w:val="single" w:sz="4" w:space="0" w:color="auto"/>
              <w:left w:val="single" w:sz="4" w:space="0" w:color="auto"/>
              <w:bottom w:val="single" w:sz="4" w:space="0" w:color="auto"/>
              <w:right w:val="single" w:sz="4" w:space="0" w:color="auto"/>
            </w:tcBorders>
          </w:tcPr>
          <w:p w:rsidR="006A09B7" w:rsidRPr="00C52EA3"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uk-UA"/>
              </w:rPr>
              <w:t>1528</w:t>
            </w:r>
          </w:p>
        </w:tc>
        <w:tc>
          <w:tcPr>
            <w:tcW w:w="2138" w:type="dxa"/>
            <w:tcBorders>
              <w:top w:val="single" w:sz="4" w:space="0" w:color="auto"/>
              <w:left w:val="single" w:sz="4" w:space="0" w:color="auto"/>
              <w:bottom w:val="single" w:sz="4" w:space="0" w:color="auto"/>
              <w:right w:val="single" w:sz="4" w:space="0" w:color="auto"/>
            </w:tcBorders>
          </w:tcPr>
          <w:p w:rsidR="006A09B7" w:rsidRPr="00C52EA3" w:rsidRDefault="006A09B7" w:rsidP="001C5DD4">
            <w:pPr>
              <w:widowControl w:val="0"/>
              <w:suppressAutoHyphens/>
              <w:spacing w:after="0" w:line="240" w:lineRule="auto"/>
              <w:jc w:val="both"/>
              <w:rPr>
                <w:rFonts w:ascii="Times New Roman" w:eastAsiaTheme="minorEastAsia" w:hAnsi="Times New Roman" w:cs="Times New Roman"/>
                <w:sz w:val="24"/>
                <w:szCs w:val="24"/>
                <w:lang w:val="ru-RU" w:eastAsia="uk-UA"/>
              </w:rPr>
            </w:pPr>
            <w:r>
              <w:rPr>
                <w:rFonts w:ascii="Times New Roman" w:eastAsiaTheme="minorEastAsia" w:hAnsi="Times New Roman" w:cs="Times New Roman"/>
                <w:sz w:val="24"/>
                <w:szCs w:val="24"/>
                <w:lang w:val="ru-RU" w:eastAsia="uk-UA"/>
              </w:rPr>
              <w:t>1480</w:t>
            </w:r>
          </w:p>
        </w:tc>
      </w:tr>
    </w:tbl>
    <w:p w:rsidR="006A09B7" w:rsidRPr="009C5BB8" w:rsidRDefault="006A09B7" w:rsidP="006A0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heme="minorEastAsia" w:hAnsi="Times New Roman" w:cs="Times New Roman"/>
          <w:sz w:val="24"/>
          <w:szCs w:val="24"/>
          <w:lang w:eastAsia="uk-UA"/>
        </w:rPr>
      </w:pPr>
    </w:p>
    <w:p w:rsidR="006A09B7" w:rsidRPr="009C5BB8" w:rsidRDefault="006A09B7" w:rsidP="006A0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Тернопільська міська рада є суб'єктом надання безоплатної первинної правової допомоги. З урахуванням потреб територіальної громади, відповідно до ст.12 Закону України «Про безоплатну правову допомогу» підрозділом з надання безоплатної первинної правової допомоги в Тернопільській міській раді визначено управління правового забезпечення.</w:t>
      </w: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Так, між Тернопільською міською радою та Тернопільським місцевим центром з надання безоплатної вторинної правової допомоги був укладений меморандум про співпрацю. В рамках реалізації зазначеного меморандуму здійснюється спільна діяльність у проведенні комплексу заходів з правової освіти населення, спрямованих на підвищення правової свідомості громадян, сприяння розширенню і поширенню досвіду у сфері соціальної та правової захищеності громадян, захисту конституційних прав, свобод та інтересів громадян шляхом надання безоплатної правової допомоги населенню. Даний меморандум включає в себе: надання правової інформації; надання консультацій і роз’яснень з правових питань; надання допомоги у складенні заяв, скарг, позовних заяв та інших документів правового характеру; надання допомоги у забезпеченні доступу особи до вторинної правової допомоги та медіації; здійснення представництва інтересів осіб в судах, інших державних органах, органах місцевого самоврядування, перед іншими особами; складення документів процесуального характеру</w:t>
      </w:r>
      <w:r>
        <w:rPr>
          <w:rFonts w:ascii="Times New Roman" w:eastAsiaTheme="minorEastAsia" w:hAnsi="Times New Roman" w:cs="Times New Roman"/>
          <w:sz w:val="24"/>
          <w:szCs w:val="24"/>
          <w:lang w:eastAsia="uk-UA"/>
        </w:rPr>
        <w:t>, надання правової допомоги родинам загиблих та учасникам бойових дій.</w:t>
      </w: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На консультації (понеділок-четвер з 16-00год. по 1</w:t>
      </w:r>
      <w:r>
        <w:rPr>
          <w:rFonts w:ascii="Times New Roman" w:eastAsiaTheme="minorEastAsia" w:hAnsi="Times New Roman" w:cs="Times New Roman"/>
          <w:sz w:val="24"/>
          <w:szCs w:val="24"/>
          <w:lang w:eastAsia="uk-UA"/>
        </w:rPr>
        <w:t>7</w:t>
      </w:r>
      <w:r w:rsidRPr="009C5BB8">
        <w:rPr>
          <w:rFonts w:ascii="Times New Roman" w:eastAsiaTheme="minorEastAsia" w:hAnsi="Times New Roman" w:cs="Times New Roman"/>
          <w:sz w:val="24"/>
          <w:szCs w:val="24"/>
          <w:lang w:eastAsia="uk-UA"/>
        </w:rPr>
        <w:t>-00год.), згідно розпорядження міського голови від 30.11.2010р. №1 «Про надання безкоштовних юридичних консультацій мешканцям м.Тернополя»  (із змінами</w:t>
      </w:r>
      <w:r>
        <w:rPr>
          <w:rFonts w:ascii="Times New Roman" w:eastAsiaTheme="minorEastAsia" w:hAnsi="Times New Roman" w:cs="Times New Roman"/>
          <w:sz w:val="24"/>
          <w:szCs w:val="24"/>
          <w:lang w:eastAsia="uk-UA"/>
        </w:rPr>
        <w:t>)</w:t>
      </w:r>
      <w:r w:rsidRPr="009C5BB8">
        <w:rPr>
          <w:rFonts w:ascii="Times New Roman" w:eastAsiaTheme="minorEastAsia" w:hAnsi="Times New Roman" w:cs="Times New Roman"/>
          <w:sz w:val="24"/>
          <w:szCs w:val="24"/>
          <w:lang w:eastAsia="uk-UA"/>
        </w:rPr>
        <w:t xml:space="preserve"> працівниками управління правового забезпечення надано </w:t>
      </w:r>
      <w:r>
        <w:rPr>
          <w:rFonts w:ascii="Times New Roman" w:eastAsiaTheme="minorEastAsia" w:hAnsi="Times New Roman" w:cs="Times New Roman"/>
          <w:sz w:val="24"/>
          <w:szCs w:val="24"/>
          <w:lang w:eastAsia="uk-UA"/>
        </w:rPr>
        <w:t>таку</w:t>
      </w:r>
      <w:r w:rsidRPr="009C5BB8">
        <w:rPr>
          <w:rFonts w:ascii="Times New Roman" w:eastAsiaTheme="minorEastAsia" w:hAnsi="Times New Roman" w:cs="Times New Roman"/>
          <w:sz w:val="24"/>
          <w:szCs w:val="24"/>
          <w:lang w:eastAsia="uk-UA"/>
        </w:rPr>
        <w:t xml:space="preserve"> кількість роз’яснень і консультацій:</w:t>
      </w:r>
    </w:p>
    <w:tbl>
      <w:tblPr>
        <w:tblStyle w:val="a3"/>
        <w:tblW w:w="0" w:type="auto"/>
        <w:tblLook w:val="04A0" w:firstRow="1" w:lastRow="0" w:firstColumn="1" w:lastColumn="0" w:noHBand="0" w:noVBand="1"/>
      </w:tblPr>
      <w:tblGrid>
        <w:gridCol w:w="3209"/>
        <w:gridCol w:w="3210"/>
        <w:gridCol w:w="3210"/>
      </w:tblGrid>
      <w:tr w:rsidR="006A09B7" w:rsidRPr="009C5BB8" w:rsidTr="001C5DD4">
        <w:tc>
          <w:tcPr>
            <w:tcW w:w="3209" w:type="dxa"/>
          </w:tcPr>
          <w:p w:rsidR="006A09B7" w:rsidRPr="009C5BB8" w:rsidRDefault="006A09B7" w:rsidP="001C5DD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За 2024 рік</w:t>
            </w:r>
          </w:p>
        </w:tc>
        <w:tc>
          <w:tcPr>
            <w:tcW w:w="3210" w:type="dxa"/>
          </w:tcPr>
          <w:p w:rsidR="006A09B7" w:rsidRPr="009C5BB8" w:rsidRDefault="006A09B7" w:rsidP="001C5DD4">
            <w:pPr>
              <w:widowControl w:val="0"/>
              <w:suppressAutoHyphens/>
              <w:jc w:val="both"/>
              <w:rPr>
                <w:rFonts w:ascii="Times New Roman" w:hAnsi="Times New Roman" w:cs="Times New Roman"/>
                <w:sz w:val="24"/>
                <w:szCs w:val="24"/>
              </w:rPr>
            </w:pPr>
            <w:r w:rsidRPr="009C5BB8">
              <w:rPr>
                <w:rFonts w:ascii="Times New Roman" w:hAnsi="Times New Roman" w:cs="Times New Roman"/>
                <w:sz w:val="24"/>
                <w:szCs w:val="24"/>
              </w:rPr>
              <w:t>За</w:t>
            </w:r>
            <w:r>
              <w:rPr>
                <w:rFonts w:ascii="Times New Roman" w:hAnsi="Times New Roman" w:cs="Times New Roman"/>
                <w:sz w:val="24"/>
                <w:szCs w:val="24"/>
              </w:rPr>
              <w:t xml:space="preserve"> 10 місяців </w:t>
            </w:r>
            <w:r w:rsidRPr="009C5BB8">
              <w:rPr>
                <w:rFonts w:ascii="Times New Roman" w:hAnsi="Times New Roman" w:cs="Times New Roman"/>
                <w:sz w:val="24"/>
                <w:szCs w:val="24"/>
              </w:rPr>
              <w:t xml:space="preserve"> 202</w:t>
            </w:r>
            <w:r>
              <w:rPr>
                <w:rFonts w:ascii="Times New Roman" w:hAnsi="Times New Roman" w:cs="Times New Roman"/>
                <w:sz w:val="24"/>
                <w:szCs w:val="24"/>
              </w:rPr>
              <w:t>4 року</w:t>
            </w:r>
          </w:p>
        </w:tc>
        <w:tc>
          <w:tcPr>
            <w:tcW w:w="3210" w:type="dxa"/>
          </w:tcPr>
          <w:p w:rsidR="006A09B7" w:rsidRPr="009C5BB8" w:rsidRDefault="006A09B7" w:rsidP="001C5DD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За </w:t>
            </w:r>
            <w:r w:rsidRPr="009C5BB8">
              <w:rPr>
                <w:rFonts w:ascii="Times New Roman" w:hAnsi="Times New Roman" w:cs="Times New Roman"/>
                <w:sz w:val="24"/>
                <w:szCs w:val="24"/>
              </w:rPr>
              <w:t>10 місяців 202</w:t>
            </w:r>
            <w:r>
              <w:rPr>
                <w:rFonts w:ascii="Times New Roman" w:hAnsi="Times New Roman" w:cs="Times New Roman"/>
                <w:sz w:val="24"/>
                <w:szCs w:val="24"/>
              </w:rPr>
              <w:t>5 року</w:t>
            </w:r>
          </w:p>
        </w:tc>
      </w:tr>
      <w:tr w:rsidR="006A09B7" w:rsidRPr="009C5BB8" w:rsidTr="001C5DD4">
        <w:tc>
          <w:tcPr>
            <w:tcW w:w="3209" w:type="dxa"/>
          </w:tcPr>
          <w:p w:rsidR="006A09B7" w:rsidRPr="009C5BB8" w:rsidRDefault="006A09B7" w:rsidP="001C5DD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        680</w:t>
            </w:r>
          </w:p>
        </w:tc>
        <w:tc>
          <w:tcPr>
            <w:tcW w:w="3210" w:type="dxa"/>
          </w:tcPr>
          <w:p w:rsidR="006A09B7" w:rsidRPr="00C52EA3" w:rsidRDefault="006A09B7" w:rsidP="001C5DD4">
            <w:pPr>
              <w:widowControl w:val="0"/>
              <w:suppressAutoHyphens/>
              <w:jc w:val="both"/>
              <w:rPr>
                <w:rFonts w:ascii="Times New Roman" w:hAnsi="Times New Roman" w:cs="Times New Roman"/>
                <w:sz w:val="24"/>
                <w:szCs w:val="24"/>
                <w:lang w:val="ru-RU"/>
              </w:rPr>
            </w:pPr>
            <w:r>
              <w:rPr>
                <w:rFonts w:ascii="Times New Roman" w:hAnsi="Times New Roman" w:cs="Times New Roman"/>
                <w:sz w:val="24"/>
                <w:szCs w:val="24"/>
                <w:lang w:val="ru-RU"/>
              </w:rPr>
              <w:t>579</w:t>
            </w:r>
          </w:p>
        </w:tc>
        <w:tc>
          <w:tcPr>
            <w:tcW w:w="3210" w:type="dxa"/>
          </w:tcPr>
          <w:p w:rsidR="006A09B7" w:rsidRPr="00C52EA3" w:rsidRDefault="006A09B7" w:rsidP="001C5DD4">
            <w:pPr>
              <w:widowControl w:val="0"/>
              <w:suppressAutoHyphens/>
              <w:jc w:val="both"/>
              <w:rPr>
                <w:rFonts w:ascii="Times New Roman" w:hAnsi="Times New Roman" w:cs="Times New Roman"/>
                <w:sz w:val="24"/>
                <w:szCs w:val="24"/>
                <w:lang w:val="ru-RU"/>
              </w:rPr>
            </w:pPr>
            <w:r>
              <w:rPr>
                <w:rFonts w:ascii="Times New Roman" w:hAnsi="Times New Roman" w:cs="Times New Roman"/>
                <w:sz w:val="24"/>
                <w:szCs w:val="24"/>
                <w:lang w:val="ru-RU"/>
              </w:rPr>
              <w:t>635</w:t>
            </w:r>
          </w:p>
        </w:tc>
      </w:tr>
    </w:tbl>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bCs/>
          <w:color w:val="333333"/>
          <w:sz w:val="24"/>
          <w:szCs w:val="24"/>
          <w:shd w:val="clear" w:color="auto" w:fill="FFFFFF"/>
          <w:lang w:eastAsia="uk-UA"/>
        </w:rPr>
      </w:pPr>
      <w:r w:rsidRPr="009C5BB8">
        <w:rPr>
          <w:rFonts w:ascii="Times New Roman" w:eastAsiaTheme="minorEastAsia" w:hAnsi="Times New Roman" w:cs="Times New Roman"/>
          <w:sz w:val="24"/>
          <w:szCs w:val="24"/>
          <w:lang w:eastAsia="uk-UA"/>
        </w:rPr>
        <w:t xml:space="preserve">Відзначаємо, що прийом громадян по питаннях надання правової допомоги, працівниками управління проводиться також впродовж робочого дня і </w:t>
      </w:r>
      <w:r w:rsidRPr="009C5BB8">
        <w:rPr>
          <w:rFonts w:ascii="Times New Roman" w:eastAsiaTheme="minorEastAsia" w:hAnsi="Times New Roman" w:cs="Times New Roman"/>
          <w:bCs/>
          <w:color w:val="333333"/>
          <w:sz w:val="24"/>
          <w:szCs w:val="24"/>
          <w:shd w:val="clear" w:color="auto" w:fill="FFFFFF"/>
          <w:lang w:eastAsia="uk-UA"/>
        </w:rPr>
        <w:t>в телефонному режимі.</w:t>
      </w: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 xml:space="preserve">На прийом до керівника управління, відповідно до розпорядження міського голови від 02.12.2020 №271 </w:t>
      </w:r>
      <w:r>
        <w:rPr>
          <w:rFonts w:ascii="Times New Roman" w:eastAsiaTheme="minorEastAsia" w:hAnsi="Times New Roman" w:cs="Times New Roman"/>
          <w:sz w:val="24"/>
          <w:szCs w:val="24"/>
          <w:lang w:eastAsia="uk-UA"/>
        </w:rPr>
        <w:t xml:space="preserve">(зі змінами) </w:t>
      </w:r>
      <w:r w:rsidRPr="009C5BB8">
        <w:rPr>
          <w:rFonts w:ascii="Times New Roman" w:eastAsiaTheme="minorEastAsia" w:hAnsi="Times New Roman" w:cs="Times New Roman"/>
          <w:sz w:val="24"/>
          <w:szCs w:val="24"/>
          <w:lang w:eastAsia="uk-UA"/>
        </w:rPr>
        <w:t>звернулося:</w:t>
      </w: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p>
    <w:tbl>
      <w:tblPr>
        <w:tblStyle w:val="a3"/>
        <w:tblW w:w="0" w:type="auto"/>
        <w:tblLook w:val="04A0" w:firstRow="1" w:lastRow="0" w:firstColumn="1" w:lastColumn="0" w:noHBand="0" w:noVBand="1"/>
      </w:tblPr>
      <w:tblGrid>
        <w:gridCol w:w="3209"/>
        <w:gridCol w:w="3210"/>
        <w:gridCol w:w="3210"/>
      </w:tblGrid>
      <w:tr w:rsidR="006A09B7" w:rsidRPr="009C5BB8" w:rsidTr="001C5DD4">
        <w:tc>
          <w:tcPr>
            <w:tcW w:w="3209" w:type="dxa"/>
          </w:tcPr>
          <w:p w:rsidR="006A09B7" w:rsidRPr="009C5BB8" w:rsidRDefault="006A09B7" w:rsidP="001C5DD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За </w:t>
            </w:r>
            <w:r w:rsidRPr="009C5BB8">
              <w:rPr>
                <w:rFonts w:ascii="Times New Roman" w:hAnsi="Times New Roman" w:cs="Times New Roman"/>
                <w:sz w:val="24"/>
                <w:szCs w:val="24"/>
              </w:rPr>
              <w:t xml:space="preserve"> 202</w:t>
            </w:r>
            <w:r>
              <w:rPr>
                <w:rFonts w:ascii="Times New Roman" w:hAnsi="Times New Roman" w:cs="Times New Roman"/>
                <w:sz w:val="24"/>
                <w:szCs w:val="24"/>
              </w:rPr>
              <w:t>4 року</w:t>
            </w:r>
          </w:p>
        </w:tc>
        <w:tc>
          <w:tcPr>
            <w:tcW w:w="3210" w:type="dxa"/>
          </w:tcPr>
          <w:p w:rsidR="006A09B7" w:rsidRPr="009C5BB8" w:rsidRDefault="006A09B7" w:rsidP="001C5DD4">
            <w:pPr>
              <w:widowControl w:val="0"/>
              <w:suppressAutoHyphens/>
              <w:jc w:val="both"/>
              <w:rPr>
                <w:rFonts w:ascii="Times New Roman" w:hAnsi="Times New Roman" w:cs="Times New Roman"/>
                <w:sz w:val="24"/>
                <w:szCs w:val="24"/>
              </w:rPr>
            </w:pPr>
            <w:r w:rsidRPr="009C5BB8">
              <w:rPr>
                <w:rFonts w:ascii="Times New Roman" w:hAnsi="Times New Roman" w:cs="Times New Roman"/>
                <w:sz w:val="24"/>
                <w:szCs w:val="24"/>
              </w:rPr>
              <w:t xml:space="preserve">За </w:t>
            </w:r>
            <w:r>
              <w:rPr>
                <w:rFonts w:ascii="Times New Roman" w:hAnsi="Times New Roman" w:cs="Times New Roman"/>
                <w:sz w:val="24"/>
                <w:szCs w:val="24"/>
              </w:rPr>
              <w:t xml:space="preserve"> 10 місяців </w:t>
            </w:r>
            <w:r w:rsidRPr="009C5BB8">
              <w:rPr>
                <w:rFonts w:ascii="Times New Roman" w:hAnsi="Times New Roman" w:cs="Times New Roman"/>
                <w:sz w:val="24"/>
                <w:szCs w:val="24"/>
              </w:rPr>
              <w:t>202</w:t>
            </w:r>
            <w:r>
              <w:rPr>
                <w:rFonts w:ascii="Times New Roman" w:hAnsi="Times New Roman" w:cs="Times New Roman"/>
                <w:sz w:val="24"/>
                <w:szCs w:val="24"/>
              </w:rPr>
              <w:t>4 року</w:t>
            </w:r>
          </w:p>
        </w:tc>
        <w:tc>
          <w:tcPr>
            <w:tcW w:w="3210" w:type="dxa"/>
          </w:tcPr>
          <w:p w:rsidR="006A09B7" w:rsidRPr="009C5BB8" w:rsidRDefault="006A09B7" w:rsidP="001C5DD4">
            <w:pPr>
              <w:widowControl w:val="0"/>
              <w:suppressAutoHyphens/>
              <w:jc w:val="both"/>
              <w:rPr>
                <w:rFonts w:ascii="Times New Roman" w:hAnsi="Times New Roman" w:cs="Times New Roman"/>
                <w:sz w:val="24"/>
                <w:szCs w:val="24"/>
              </w:rPr>
            </w:pPr>
            <w:r w:rsidRPr="009C5BB8">
              <w:rPr>
                <w:rFonts w:ascii="Times New Roman" w:hAnsi="Times New Roman" w:cs="Times New Roman"/>
                <w:sz w:val="24"/>
                <w:szCs w:val="24"/>
              </w:rPr>
              <w:t>За 10 місяців 202</w:t>
            </w:r>
            <w:r>
              <w:rPr>
                <w:rFonts w:ascii="Times New Roman" w:hAnsi="Times New Roman" w:cs="Times New Roman"/>
                <w:sz w:val="24"/>
                <w:szCs w:val="24"/>
              </w:rPr>
              <w:t>5 року</w:t>
            </w:r>
          </w:p>
        </w:tc>
      </w:tr>
      <w:tr w:rsidR="006A09B7" w:rsidRPr="009C5BB8" w:rsidTr="001C5DD4">
        <w:tc>
          <w:tcPr>
            <w:tcW w:w="3209" w:type="dxa"/>
          </w:tcPr>
          <w:p w:rsidR="006A09B7" w:rsidRPr="00F05A19" w:rsidRDefault="006A09B7" w:rsidP="001C5DD4">
            <w:pPr>
              <w:widowControl w:val="0"/>
              <w:suppressAutoHyphens/>
              <w:jc w:val="both"/>
              <w:rPr>
                <w:rFonts w:ascii="Times New Roman" w:hAnsi="Times New Roman" w:cs="Times New Roman"/>
                <w:bCs/>
                <w:sz w:val="24"/>
                <w:szCs w:val="24"/>
              </w:rPr>
            </w:pPr>
            <w:r>
              <w:rPr>
                <w:rFonts w:ascii="Times New Roman" w:hAnsi="Times New Roman" w:cs="Times New Roman"/>
                <w:b/>
                <w:sz w:val="24"/>
                <w:szCs w:val="24"/>
                <w:lang w:val="ru-RU"/>
              </w:rPr>
              <w:t xml:space="preserve">          </w:t>
            </w:r>
            <w:r w:rsidRPr="00F05A19">
              <w:rPr>
                <w:rFonts w:ascii="Times New Roman" w:hAnsi="Times New Roman" w:cs="Times New Roman"/>
                <w:bCs/>
                <w:sz w:val="24"/>
                <w:szCs w:val="24"/>
                <w:lang w:val="ru-RU"/>
              </w:rPr>
              <w:t>84</w:t>
            </w:r>
          </w:p>
        </w:tc>
        <w:tc>
          <w:tcPr>
            <w:tcW w:w="3210" w:type="dxa"/>
          </w:tcPr>
          <w:p w:rsidR="006A09B7" w:rsidRPr="00C52EA3" w:rsidRDefault="006A09B7" w:rsidP="001C5DD4">
            <w:pPr>
              <w:widowControl w:val="0"/>
              <w:suppressAutoHyphens/>
              <w:jc w:val="both"/>
              <w:rPr>
                <w:rFonts w:ascii="Times New Roman" w:hAnsi="Times New Roman" w:cs="Times New Roman"/>
                <w:sz w:val="24"/>
                <w:szCs w:val="24"/>
                <w:lang w:val="ru-RU"/>
              </w:rPr>
            </w:pPr>
            <w:r>
              <w:rPr>
                <w:rFonts w:ascii="Times New Roman" w:hAnsi="Times New Roman" w:cs="Times New Roman"/>
                <w:sz w:val="24"/>
                <w:szCs w:val="24"/>
                <w:lang w:val="ru-RU"/>
              </w:rPr>
              <w:t>71</w:t>
            </w:r>
          </w:p>
        </w:tc>
        <w:tc>
          <w:tcPr>
            <w:tcW w:w="3210" w:type="dxa"/>
          </w:tcPr>
          <w:p w:rsidR="006A09B7" w:rsidRPr="00C52EA3" w:rsidRDefault="006A09B7" w:rsidP="001C5DD4">
            <w:pPr>
              <w:widowControl w:val="0"/>
              <w:suppressAutoHyphens/>
              <w:jc w:val="both"/>
              <w:rPr>
                <w:rFonts w:ascii="Times New Roman" w:hAnsi="Times New Roman" w:cs="Times New Roman"/>
                <w:sz w:val="24"/>
                <w:szCs w:val="24"/>
                <w:lang w:val="ru-RU"/>
              </w:rPr>
            </w:pPr>
            <w:r>
              <w:rPr>
                <w:rFonts w:ascii="Times New Roman" w:hAnsi="Times New Roman" w:cs="Times New Roman"/>
                <w:sz w:val="24"/>
                <w:szCs w:val="24"/>
                <w:lang w:val="ru-RU"/>
              </w:rPr>
              <w:t>70</w:t>
            </w:r>
          </w:p>
        </w:tc>
      </w:tr>
    </w:tbl>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p>
    <w:p w:rsidR="00086F1F" w:rsidRDefault="00086F1F"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p>
    <w:p w:rsidR="00086F1F" w:rsidRDefault="00086F1F"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p>
    <w:p w:rsidR="00086F1F" w:rsidRDefault="00086F1F"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p>
    <w:p w:rsidR="00086F1F" w:rsidRDefault="00086F1F"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p>
    <w:p w:rsidR="00086F1F" w:rsidRDefault="00086F1F"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r>
        <w:rPr>
          <w:rFonts w:ascii="Times New Roman" w:eastAsiaTheme="minorEastAsia" w:hAnsi="Times New Roman" w:cs="Times New Roman"/>
          <w:color w:val="000000"/>
          <w:sz w:val="24"/>
          <w:szCs w:val="24"/>
          <w:shd w:val="clear" w:color="auto" w:fill="FFFFFF"/>
          <w:lang w:eastAsia="uk-UA"/>
        </w:rPr>
        <w:t xml:space="preserve">                                                             3</w:t>
      </w:r>
    </w:p>
    <w:p w:rsidR="00086F1F" w:rsidRDefault="00086F1F"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p>
    <w:p w:rsidR="00086F1F" w:rsidRDefault="00086F1F"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shd w:val="clear" w:color="auto" w:fill="FFFFFF"/>
          <w:lang w:eastAsia="uk-UA"/>
        </w:rPr>
      </w:pPr>
      <w:r w:rsidRPr="009C5BB8">
        <w:rPr>
          <w:rFonts w:ascii="Times New Roman" w:eastAsiaTheme="minorEastAsia" w:hAnsi="Times New Roman" w:cs="Times New Roman"/>
          <w:color w:val="000000"/>
          <w:sz w:val="24"/>
          <w:szCs w:val="24"/>
          <w:shd w:val="clear" w:color="auto" w:fill="FFFFFF"/>
          <w:lang w:eastAsia="uk-UA"/>
        </w:rPr>
        <w:t xml:space="preserve">За дорученням міського голови та профільного заступника працівники управління розглядають відповідні документи правоохоронних органів: органів прокуратури, Національної поліції України, зокрема: управління стратегічних розслідувань, департаменту внутрішньої безпеки, слідчого </w:t>
      </w:r>
      <w:r>
        <w:rPr>
          <w:rFonts w:ascii="Times New Roman" w:eastAsiaTheme="minorEastAsia" w:hAnsi="Times New Roman" w:cs="Times New Roman"/>
          <w:color w:val="000000"/>
          <w:sz w:val="24"/>
          <w:szCs w:val="24"/>
          <w:shd w:val="clear" w:color="auto" w:fill="FFFFFF"/>
          <w:lang w:eastAsia="uk-UA"/>
        </w:rPr>
        <w:t>управління</w:t>
      </w:r>
      <w:r w:rsidRPr="009C5BB8">
        <w:rPr>
          <w:rFonts w:ascii="Times New Roman" w:eastAsiaTheme="minorEastAsia" w:hAnsi="Times New Roman" w:cs="Times New Roman"/>
          <w:color w:val="000000"/>
          <w:sz w:val="24"/>
          <w:szCs w:val="24"/>
          <w:shd w:val="clear" w:color="auto" w:fill="FFFFFF"/>
          <w:lang w:eastAsia="uk-UA"/>
        </w:rPr>
        <w:t>; територіального управління Державного бюро розслідувань, Національного антикорупційного бюро України,  і контролюючих  органів: Уповноваженого Верховної Ради України з прав людини, Південно-західного відділення міжобласн</w:t>
      </w:r>
      <w:r>
        <w:rPr>
          <w:rFonts w:ascii="Times New Roman" w:eastAsiaTheme="minorEastAsia" w:hAnsi="Times New Roman" w:cs="Times New Roman"/>
          <w:color w:val="000000"/>
          <w:sz w:val="24"/>
          <w:szCs w:val="24"/>
          <w:shd w:val="clear" w:color="auto" w:fill="FFFFFF"/>
          <w:lang w:eastAsia="uk-UA"/>
        </w:rPr>
        <w:t>ого</w:t>
      </w:r>
      <w:r w:rsidRPr="009C5BB8">
        <w:rPr>
          <w:rFonts w:ascii="Times New Roman" w:eastAsiaTheme="minorEastAsia" w:hAnsi="Times New Roman" w:cs="Times New Roman"/>
          <w:color w:val="000000"/>
          <w:sz w:val="24"/>
          <w:szCs w:val="24"/>
          <w:shd w:val="clear" w:color="auto" w:fill="FFFFFF"/>
          <w:lang w:eastAsia="uk-UA"/>
        </w:rPr>
        <w:t xml:space="preserve"> територіальн</w:t>
      </w:r>
      <w:r>
        <w:rPr>
          <w:rFonts w:ascii="Times New Roman" w:eastAsiaTheme="minorEastAsia" w:hAnsi="Times New Roman" w:cs="Times New Roman"/>
          <w:color w:val="000000"/>
          <w:sz w:val="24"/>
          <w:szCs w:val="24"/>
          <w:shd w:val="clear" w:color="auto" w:fill="FFFFFF"/>
          <w:lang w:eastAsia="uk-UA"/>
        </w:rPr>
        <w:t>ого</w:t>
      </w:r>
      <w:r w:rsidRPr="009C5BB8">
        <w:rPr>
          <w:rFonts w:ascii="Times New Roman" w:eastAsiaTheme="minorEastAsia" w:hAnsi="Times New Roman" w:cs="Times New Roman"/>
          <w:color w:val="000000"/>
          <w:sz w:val="24"/>
          <w:szCs w:val="24"/>
          <w:shd w:val="clear" w:color="auto" w:fill="FFFFFF"/>
          <w:lang w:eastAsia="uk-UA"/>
        </w:rPr>
        <w:t xml:space="preserve"> відділення Антимонопольного комітету України, Державної аудиторської служби</w:t>
      </w:r>
      <w:r>
        <w:rPr>
          <w:rFonts w:ascii="Times New Roman" w:eastAsiaTheme="minorEastAsia" w:hAnsi="Times New Roman" w:cs="Times New Roman"/>
          <w:color w:val="000000"/>
          <w:sz w:val="24"/>
          <w:szCs w:val="24"/>
          <w:shd w:val="clear" w:color="auto" w:fill="FFFFFF"/>
          <w:lang w:eastAsia="uk-UA"/>
        </w:rPr>
        <w:t>, Державної екологічної інспекції</w:t>
      </w:r>
      <w:r w:rsidRPr="009C5BB8">
        <w:rPr>
          <w:rFonts w:ascii="Times New Roman" w:eastAsiaTheme="minorEastAsia" w:hAnsi="Times New Roman" w:cs="Times New Roman"/>
          <w:color w:val="000000"/>
          <w:sz w:val="24"/>
          <w:szCs w:val="24"/>
          <w:shd w:val="clear" w:color="auto" w:fill="FFFFFF"/>
          <w:lang w:eastAsia="uk-UA"/>
        </w:rPr>
        <w:t xml:space="preserve"> тощо. </w:t>
      </w:r>
    </w:p>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color w:val="000000"/>
          <w:sz w:val="24"/>
          <w:szCs w:val="24"/>
          <w:shd w:val="clear" w:color="auto" w:fill="FFFFFF"/>
          <w:lang w:eastAsia="uk-UA"/>
        </w:rPr>
        <w:t>П</w:t>
      </w:r>
      <w:r w:rsidRPr="009C5BB8">
        <w:rPr>
          <w:rFonts w:ascii="Times New Roman" w:eastAsiaTheme="minorEastAsia" w:hAnsi="Times New Roman" w:cs="Times New Roman"/>
          <w:sz w:val="24"/>
          <w:szCs w:val="24"/>
          <w:lang w:eastAsia="uk-UA"/>
        </w:rPr>
        <w:t>рацівники управління взяли участь у судових справах, що слухалися Тернопільським міськрайонним судом, Тернопільським окружним адміністративним судом, господарським судом Тернопільської області, Західним господарським та Восьмим адміністративним апеляційними судами, Тернопільським апеляційним судом, Касаційними адміністративним</w:t>
      </w:r>
      <w:r>
        <w:rPr>
          <w:rFonts w:ascii="Times New Roman" w:eastAsiaTheme="minorEastAsia" w:hAnsi="Times New Roman" w:cs="Times New Roman"/>
          <w:sz w:val="24"/>
          <w:szCs w:val="24"/>
          <w:lang w:eastAsia="uk-UA"/>
        </w:rPr>
        <w:t>,</w:t>
      </w:r>
      <w:r w:rsidRPr="009C5BB8">
        <w:rPr>
          <w:rFonts w:ascii="Times New Roman" w:eastAsiaTheme="minorEastAsia" w:hAnsi="Times New Roman" w:cs="Times New Roman"/>
          <w:sz w:val="24"/>
          <w:szCs w:val="24"/>
          <w:lang w:eastAsia="uk-UA"/>
        </w:rPr>
        <w:t xml:space="preserve"> </w:t>
      </w:r>
      <w:r>
        <w:rPr>
          <w:rFonts w:ascii="Times New Roman" w:eastAsiaTheme="minorEastAsia" w:hAnsi="Times New Roman" w:cs="Times New Roman"/>
          <w:sz w:val="24"/>
          <w:szCs w:val="24"/>
          <w:lang w:eastAsia="uk-UA"/>
        </w:rPr>
        <w:t>цивільним</w:t>
      </w:r>
      <w:r w:rsidRPr="009C5BB8">
        <w:rPr>
          <w:rFonts w:ascii="Times New Roman" w:eastAsiaTheme="minorEastAsia" w:hAnsi="Times New Roman" w:cs="Times New Roman"/>
          <w:sz w:val="24"/>
          <w:szCs w:val="24"/>
          <w:lang w:eastAsia="uk-UA"/>
        </w:rPr>
        <w:t xml:space="preserve"> судами у складі Верховного суду.</w:t>
      </w:r>
    </w:p>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p>
    <w:tbl>
      <w:tblPr>
        <w:tblStyle w:val="a3"/>
        <w:tblW w:w="0" w:type="auto"/>
        <w:tblLook w:val="04A0" w:firstRow="1" w:lastRow="0" w:firstColumn="1" w:lastColumn="0" w:noHBand="0" w:noVBand="1"/>
      </w:tblPr>
      <w:tblGrid>
        <w:gridCol w:w="3209"/>
        <w:gridCol w:w="3210"/>
        <w:gridCol w:w="3210"/>
      </w:tblGrid>
      <w:tr w:rsidR="006A09B7" w:rsidRPr="009C5BB8" w:rsidTr="001C5DD4">
        <w:tc>
          <w:tcPr>
            <w:tcW w:w="3209" w:type="dxa"/>
          </w:tcPr>
          <w:p w:rsidR="006A09B7" w:rsidRPr="009C5BB8" w:rsidRDefault="006A09B7" w:rsidP="001C5DD4">
            <w:pPr>
              <w:jc w:val="both"/>
              <w:rPr>
                <w:rFonts w:ascii="Times New Roman" w:hAnsi="Times New Roman" w:cs="Times New Roman"/>
                <w:sz w:val="24"/>
                <w:szCs w:val="24"/>
              </w:rPr>
            </w:pPr>
            <w:r>
              <w:rPr>
                <w:rFonts w:ascii="Times New Roman" w:hAnsi="Times New Roman" w:cs="Times New Roman"/>
                <w:sz w:val="24"/>
                <w:szCs w:val="24"/>
              </w:rPr>
              <w:t>За 2024 рік</w:t>
            </w:r>
          </w:p>
        </w:tc>
        <w:tc>
          <w:tcPr>
            <w:tcW w:w="3210" w:type="dxa"/>
          </w:tcPr>
          <w:p w:rsidR="006A09B7" w:rsidRPr="009C5BB8" w:rsidRDefault="006A09B7" w:rsidP="001C5DD4">
            <w:pPr>
              <w:jc w:val="both"/>
              <w:rPr>
                <w:rFonts w:ascii="Times New Roman" w:hAnsi="Times New Roman" w:cs="Times New Roman"/>
                <w:sz w:val="24"/>
                <w:szCs w:val="24"/>
              </w:rPr>
            </w:pPr>
            <w:r w:rsidRPr="009C5BB8">
              <w:rPr>
                <w:rFonts w:ascii="Times New Roman" w:hAnsi="Times New Roman" w:cs="Times New Roman"/>
                <w:sz w:val="24"/>
                <w:szCs w:val="24"/>
              </w:rPr>
              <w:t>За</w:t>
            </w:r>
            <w:r>
              <w:rPr>
                <w:rFonts w:ascii="Times New Roman" w:hAnsi="Times New Roman" w:cs="Times New Roman"/>
                <w:sz w:val="24"/>
                <w:szCs w:val="24"/>
              </w:rPr>
              <w:t xml:space="preserve"> 10 місяців</w:t>
            </w:r>
            <w:r w:rsidRPr="009C5BB8">
              <w:rPr>
                <w:rFonts w:ascii="Times New Roman" w:hAnsi="Times New Roman" w:cs="Times New Roman"/>
                <w:sz w:val="24"/>
                <w:szCs w:val="24"/>
              </w:rPr>
              <w:t xml:space="preserve"> 202</w:t>
            </w:r>
            <w:r>
              <w:rPr>
                <w:rFonts w:ascii="Times New Roman" w:hAnsi="Times New Roman" w:cs="Times New Roman"/>
                <w:sz w:val="24"/>
                <w:szCs w:val="24"/>
              </w:rPr>
              <w:t>4 року</w:t>
            </w:r>
          </w:p>
        </w:tc>
        <w:tc>
          <w:tcPr>
            <w:tcW w:w="3210" w:type="dxa"/>
          </w:tcPr>
          <w:p w:rsidR="006A09B7" w:rsidRPr="009C5BB8" w:rsidRDefault="006A09B7" w:rsidP="001C5DD4">
            <w:pPr>
              <w:jc w:val="both"/>
              <w:rPr>
                <w:rFonts w:ascii="Times New Roman" w:hAnsi="Times New Roman" w:cs="Times New Roman"/>
                <w:sz w:val="24"/>
                <w:szCs w:val="24"/>
              </w:rPr>
            </w:pPr>
            <w:r w:rsidRPr="009C5BB8">
              <w:rPr>
                <w:rFonts w:ascii="Times New Roman" w:hAnsi="Times New Roman" w:cs="Times New Roman"/>
                <w:sz w:val="24"/>
                <w:szCs w:val="24"/>
              </w:rPr>
              <w:t>За 10 місяців 202</w:t>
            </w:r>
            <w:r>
              <w:rPr>
                <w:rFonts w:ascii="Times New Roman" w:hAnsi="Times New Roman" w:cs="Times New Roman"/>
                <w:sz w:val="24"/>
                <w:szCs w:val="24"/>
              </w:rPr>
              <w:t>5 року</w:t>
            </w:r>
          </w:p>
        </w:tc>
      </w:tr>
      <w:tr w:rsidR="006A09B7" w:rsidRPr="009C5BB8" w:rsidTr="001C5DD4">
        <w:tc>
          <w:tcPr>
            <w:tcW w:w="3209" w:type="dxa"/>
          </w:tcPr>
          <w:p w:rsidR="006A09B7" w:rsidRDefault="006A09B7" w:rsidP="001C5DD4">
            <w:pPr>
              <w:jc w:val="both"/>
              <w:rPr>
                <w:rFonts w:ascii="Times New Roman" w:hAnsi="Times New Roman" w:cs="Times New Roman"/>
                <w:sz w:val="24"/>
                <w:szCs w:val="24"/>
              </w:rPr>
            </w:pPr>
            <w:r>
              <w:rPr>
                <w:rFonts w:ascii="Times New Roman" w:hAnsi="Times New Roman" w:cs="Times New Roman"/>
                <w:sz w:val="24"/>
                <w:szCs w:val="24"/>
              </w:rPr>
              <w:t>345</w:t>
            </w:r>
            <w:r w:rsidRPr="009C5BB8">
              <w:rPr>
                <w:rFonts w:ascii="Times New Roman" w:hAnsi="Times New Roman" w:cs="Times New Roman"/>
                <w:sz w:val="24"/>
                <w:szCs w:val="24"/>
              </w:rPr>
              <w:t xml:space="preserve"> судових справах та </w:t>
            </w:r>
          </w:p>
          <w:p w:rsidR="006A09B7" w:rsidRDefault="006A09B7" w:rsidP="001C5DD4">
            <w:pPr>
              <w:jc w:val="both"/>
              <w:rPr>
                <w:rFonts w:ascii="Times New Roman" w:hAnsi="Times New Roman" w:cs="Times New Roman"/>
                <w:sz w:val="24"/>
                <w:szCs w:val="24"/>
              </w:rPr>
            </w:pPr>
            <w:r>
              <w:rPr>
                <w:rFonts w:ascii="Times New Roman" w:hAnsi="Times New Roman" w:cs="Times New Roman"/>
                <w:sz w:val="24"/>
                <w:szCs w:val="24"/>
              </w:rPr>
              <w:t xml:space="preserve">854 </w:t>
            </w:r>
            <w:r w:rsidRPr="009C5BB8">
              <w:rPr>
                <w:rFonts w:ascii="Times New Roman" w:hAnsi="Times New Roman" w:cs="Times New Roman"/>
                <w:sz w:val="24"/>
                <w:szCs w:val="24"/>
              </w:rPr>
              <w:t>судов</w:t>
            </w:r>
            <w:r>
              <w:rPr>
                <w:rFonts w:ascii="Times New Roman" w:hAnsi="Times New Roman" w:cs="Times New Roman"/>
                <w:sz w:val="24"/>
                <w:szCs w:val="24"/>
              </w:rPr>
              <w:t>их</w:t>
            </w:r>
            <w:r w:rsidRPr="009C5BB8">
              <w:rPr>
                <w:rFonts w:ascii="Times New Roman" w:hAnsi="Times New Roman" w:cs="Times New Roman"/>
                <w:sz w:val="24"/>
                <w:szCs w:val="24"/>
              </w:rPr>
              <w:t xml:space="preserve"> засідан</w:t>
            </w:r>
            <w:r>
              <w:rPr>
                <w:rFonts w:ascii="Times New Roman" w:hAnsi="Times New Roman" w:cs="Times New Roman"/>
                <w:sz w:val="24"/>
                <w:szCs w:val="24"/>
              </w:rPr>
              <w:t>ь</w:t>
            </w:r>
          </w:p>
          <w:p w:rsidR="006A09B7" w:rsidRPr="009C5BB8" w:rsidRDefault="006A09B7" w:rsidP="001C5DD4">
            <w:pPr>
              <w:jc w:val="both"/>
              <w:rPr>
                <w:rFonts w:ascii="Times New Roman" w:hAnsi="Times New Roman" w:cs="Times New Roman"/>
                <w:sz w:val="24"/>
                <w:szCs w:val="24"/>
              </w:rPr>
            </w:pPr>
          </w:p>
        </w:tc>
        <w:tc>
          <w:tcPr>
            <w:tcW w:w="3210" w:type="dxa"/>
          </w:tcPr>
          <w:p w:rsidR="006A09B7" w:rsidRDefault="006A09B7" w:rsidP="001C5DD4">
            <w:pPr>
              <w:jc w:val="both"/>
              <w:rPr>
                <w:rFonts w:ascii="Times New Roman" w:hAnsi="Times New Roman" w:cs="Times New Roman"/>
                <w:sz w:val="24"/>
                <w:szCs w:val="24"/>
              </w:rPr>
            </w:pPr>
            <w:r>
              <w:rPr>
                <w:rFonts w:ascii="Times New Roman" w:hAnsi="Times New Roman" w:cs="Times New Roman"/>
                <w:sz w:val="24"/>
                <w:szCs w:val="24"/>
              </w:rPr>
              <w:t xml:space="preserve"> 307 судових справ та</w:t>
            </w:r>
          </w:p>
          <w:p w:rsidR="006A09B7" w:rsidRDefault="006A09B7" w:rsidP="001C5DD4">
            <w:pPr>
              <w:jc w:val="both"/>
              <w:rPr>
                <w:rFonts w:ascii="Times New Roman" w:hAnsi="Times New Roman" w:cs="Times New Roman"/>
                <w:sz w:val="24"/>
                <w:szCs w:val="24"/>
              </w:rPr>
            </w:pPr>
            <w:r>
              <w:rPr>
                <w:rFonts w:ascii="Times New Roman" w:hAnsi="Times New Roman" w:cs="Times New Roman"/>
                <w:sz w:val="24"/>
                <w:szCs w:val="24"/>
              </w:rPr>
              <w:t xml:space="preserve"> 813 судових засідань</w:t>
            </w:r>
          </w:p>
          <w:p w:rsidR="006A09B7" w:rsidRPr="009C5BB8" w:rsidRDefault="006A09B7" w:rsidP="001C5DD4">
            <w:pPr>
              <w:jc w:val="both"/>
              <w:rPr>
                <w:rFonts w:ascii="Times New Roman" w:hAnsi="Times New Roman" w:cs="Times New Roman"/>
                <w:sz w:val="24"/>
                <w:szCs w:val="24"/>
              </w:rPr>
            </w:pPr>
          </w:p>
        </w:tc>
        <w:tc>
          <w:tcPr>
            <w:tcW w:w="3210" w:type="dxa"/>
          </w:tcPr>
          <w:p w:rsidR="006A09B7" w:rsidRDefault="006A09B7" w:rsidP="001C5DD4">
            <w:pPr>
              <w:jc w:val="both"/>
              <w:rPr>
                <w:rFonts w:ascii="Times New Roman" w:hAnsi="Times New Roman" w:cs="Times New Roman"/>
                <w:sz w:val="24"/>
                <w:szCs w:val="24"/>
              </w:rPr>
            </w:pPr>
            <w:r>
              <w:rPr>
                <w:rFonts w:ascii="Times New Roman" w:hAnsi="Times New Roman" w:cs="Times New Roman"/>
                <w:sz w:val="24"/>
                <w:szCs w:val="24"/>
              </w:rPr>
              <w:t xml:space="preserve"> 260 судових справ</w:t>
            </w:r>
          </w:p>
          <w:p w:rsidR="006A09B7" w:rsidRPr="009C5BB8" w:rsidRDefault="006A09B7" w:rsidP="001C5DD4">
            <w:pPr>
              <w:jc w:val="both"/>
              <w:rPr>
                <w:rFonts w:ascii="Times New Roman" w:hAnsi="Times New Roman" w:cs="Times New Roman"/>
                <w:sz w:val="24"/>
                <w:szCs w:val="24"/>
              </w:rPr>
            </w:pPr>
            <w:r>
              <w:rPr>
                <w:rFonts w:ascii="Times New Roman" w:hAnsi="Times New Roman" w:cs="Times New Roman"/>
                <w:sz w:val="24"/>
                <w:szCs w:val="24"/>
              </w:rPr>
              <w:t>760 судових засідань</w:t>
            </w:r>
          </w:p>
        </w:tc>
      </w:tr>
    </w:tbl>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 xml:space="preserve">Зокрема, працівники управління брали участь у справах по категоріях: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з</w:t>
      </w:r>
      <w:r w:rsidRPr="009C5BB8">
        <w:rPr>
          <w:rFonts w:ascii="Times New Roman" w:eastAsiaTheme="minorEastAsia" w:hAnsi="Times New Roman" w:cs="Times New Roman"/>
          <w:sz w:val="24"/>
          <w:szCs w:val="24"/>
          <w:lang w:eastAsia="uk-UA"/>
        </w:rPr>
        <w:t xml:space="preserve">емельні спори;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xml:space="preserve">- </w:t>
      </w:r>
      <w:r w:rsidRPr="009C5BB8">
        <w:rPr>
          <w:rFonts w:ascii="Times New Roman" w:eastAsiaTheme="minorEastAsia" w:hAnsi="Times New Roman" w:cs="Times New Roman"/>
          <w:sz w:val="24"/>
          <w:szCs w:val="24"/>
          <w:lang w:eastAsia="uk-UA"/>
        </w:rPr>
        <w:t xml:space="preserve">кримінальні провадження, що порушені стосовно діяльності органу місцевого самоврядування, серед яких клопотання про дозвіл на тимчасовий доступ до речей та документів;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демонтаж</w:t>
      </w:r>
      <w:r w:rsidRPr="009C5BB8">
        <w:rPr>
          <w:rFonts w:ascii="Times New Roman" w:eastAsiaTheme="minorEastAsia" w:hAnsi="Times New Roman" w:cs="Times New Roman"/>
          <w:sz w:val="24"/>
          <w:szCs w:val="24"/>
          <w:lang w:eastAsia="uk-UA"/>
        </w:rPr>
        <w:t xml:space="preserve"> самочинн</w:t>
      </w:r>
      <w:r>
        <w:rPr>
          <w:rFonts w:ascii="Times New Roman" w:eastAsiaTheme="minorEastAsia" w:hAnsi="Times New Roman" w:cs="Times New Roman"/>
          <w:sz w:val="24"/>
          <w:szCs w:val="24"/>
          <w:lang w:eastAsia="uk-UA"/>
        </w:rPr>
        <w:t>ого</w:t>
      </w:r>
      <w:r w:rsidRPr="009C5BB8">
        <w:rPr>
          <w:rFonts w:ascii="Times New Roman" w:eastAsiaTheme="minorEastAsia" w:hAnsi="Times New Roman" w:cs="Times New Roman"/>
          <w:sz w:val="24"/>
          <w:szCs w:val="24"/>
          <w:lang w:eastAsia="uk-UA"/>
        </w:rPr>
        <w:t xml:space="preserve"> будівництв</w:t>
      </w:r>
      <w:r>
        <w:rPr>
          <w:rFonts w:ascii="Times New Roman" w:eastAsiaTheme="minorEastAsia" w:hAnsi="Times New Roman" w:cs="Times New Roman"/>
          <w:sz w:val="24"/>
          <w:szCs w:val="24"/>
          <w:lang w:eastAsia="uk-UA"/>
        </w:rPr>
        <w:t>а</w:t>
      </w:r>
      <w:r w:rsidRPr="009C5BB8">
        <w:rPr>
          <w:rFonts w:ascii="Times New Roman" w:eastAsiaTheme="minorEastAsia" w:hAnsi="Times New Roman" w:cs="Times New Roman"/>
          <w:sz w:val="24"/>
          <w:szCs w:val="24"/>
          <w:lang w:eastAsia="uk-UA"/>
        </w:rPr>
        <w:t xml:space="preserve">;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w:t>
      </w:r>
      <w:r w:rsidRPr="009C5BB8">
        <w:rPr>
          <w:rFonts w:ascii="Times New Roman" w:eastAsiaTheme="minorEastAsia" w:hAnsi="Times New Roman" w:cs="Times New Roman"/>
          <w:sz w:val="24"/>
          <w:szCs w:val="24"/>
          <w:lang w:eastAsia="uk-UA"/>
        </w:rPr>
        <w:t xml:space="preserve"> скасування державної реєстрації на незаконно збудовані та безпідставно розміщені об’єкти нерухомого майна;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спонукання до</w:t>
      </w:r>
      <w:r w:rsidRPr="009C5BB8">
        <w:rPr>
          <w:rFonts w:ascii="Times New Roman" w:eastAsiaTheme="minorEastAsia" w:hAnsi="Times New Roman" w:cs="Times New Roman"/>
          <w:sz w:val="24"/>
          <w:szCs w:val="24"/>
          <w:lang w:eastAsia="uk-UA"/>
        </w:rPr>
        <w:t xml:space="preserve"> виконання договірних </w:t>
      </w:r>
      <w:r>
        <w:rPr>
          <w:rFonts w:ascii="Times New Roman" w:eastAsiaTheme="minorEastAsia" w:hAnsi="Times New Roman" w:cs="Times New Roman"/>
          <w:sz w:val="24"/>
          <w:szCs w:val="24"/>
          <w:lang w:eastAsia="uk-UA"/>
        </w:rPr>
        <w:t>зобов’язань</w:t>
      </w:r>
      <w:r w:rsidRPr="009C5BB8">
        <w:rPr>
          <w:rFonts w:ascii="Times New Roman" w:eastAsiaTheme="minorEastAsia" w:hAnsi="Times New Roman" w:cs="Times New Roman"/>
          <w:sz w:val="24"/>
          <w:szCs w:val="24"/>
          <w:lang w:eastAsia="uk-UA"/>
        </w:rPr>
        <w:t xml:space="preserve">;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xml:space="preserve">- </w:t>
      </w:r>
      <w:r w:rsidRPr="009C5BB8">
        <w:rPr>
          <w:rFonts w:ascii="Times New Roman" w:eastAsiaTheme="minorEastAsia" w:hAnsi="Times New Roman" w:cs="Times New Roman"/>
          <w:sz w:val="24"/>
          <w:szCs w:val="24"/>
          <w:lang w:eastAsia="uk-UA"/>
        </w:rPr>
        <w:t>оскарження дій</w:t>
      </w:r>
      <w:r>
        <w:rPr>
          <w:rFonts w:ascii="Times New Roman" w:eastAsiaTheme="minorEastAsia" w:hAnsi="Times New Roman" w:cs="Times New Roman"/>
          <w:sz w:val="24"/>
          <w:szCs w:val="24"/>
          <w:lang w:eastAsia="uk-UA"/>
        </w:rPr>
        <w:t xml:space="preserve"> міської ради</w:t>
      </w:r>
      <w:r w:rsidRPr="009C5BB8">
        <w:rPr>
          <w:rFonts w:ascii="Times New Roman" w:eastAsiaTheme="minorEastAsia" w:hAnsi="Times New Roman" w:cs="Times New Roman"/>
          <w:sz w:val="24"/>
          <w:szCs w:val="24"/>
          <w:lang w:eastAsia="uk-UA"/>
        </w:rPr>
        <w:t xml:space="preserve">, </w:t>
      </w:r>
      <w:r>
        <w:rPr>
          <w:rFonts w:ascii="Times New Roman" w:eastAsiaTheme="minorEastAsia" w:hAnsi="Times New Roman" w:cs="Times New Roman"/>
          <w:sz w:val="24"/>
          <w:szCs w:val="24"/>
          <w:lang w:eastAsia="uk-UA"/>
        </w:rPr>
        <w:t xml:space="preserve">визнання </w:t>
      </w:r>
      <w:r w:rsidRPr="009C5BB8">
        <w:rPr>
          <w:rFonts w:ascii="Times New Roman" w:eastAsiaTheme="minorEastAsia" w:hAnsi="Times New Roman" w:cs="Times New Roman"/>
          <w:sz w:val="24"/>
          <w:szCs w:val="24"/>
          <w:lang w:eastAsia="uk-UA"/>
        </w:rPr>
        <w:t>бездіяльності міської ради</w:t>
      </w:r>
      <w:r>
        <w:rPr>
          <w:rFonts w:ascii="Times New Roman" w:eastAsiaTheme="minorEastAsia" w:hAnsi="Times New Roman" w:cs="Times New Roman"/>
          <w:sz w:val="24"/>
          <w:szCs w:val="24"/>
          <w:lang w:eastAsia="uk-UA"/>
        </w:rPr>
        <w:t xml:space="preserve"> протиправною</w:t>
      </w:r>
      <w:r w:rsidRPr="009C5BB8">
        <w:rPr>
          <w:rFonts w:ascii="Times New Roman" w:eastAsiaTheme="minorEastAsia" w:hAnsi="Times New Roman" w:cs="Times New Roman"/>
          <w:sz w:val="24"/>
          <w:szCs w:val="24"/>
          <w:lang w:eastAsia="uk-UA"/>
        </w:rPr>
        <w:t>;</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w:t>
      </w:r>
      <w:r w:rsidRPr="009C5BB8">
        <w:rPr>
          <w:rFonts w:ascii="Times New Roman" w:eastAsiaTheme="minorEastAsia" w:hAnsi="Times New Roman" w:cs="Times New Roman"/>
          <w:sz w:val="24"/>
          <w:szCs w:val="24"/>
          <w:lang w:eastAsia="uk-UA"/>
        </w:rPr>
        <w:t xml:space="preserve"> визнання спадщини відумерлою;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xml:space="preserve">- </w:t>
      </w:r>
      <w:r w:rsidRPr="009C5BB8">
        <w:rPr>
          <w:rFonts w:ascii="Times New Roman" w:eastAsiaTheme="minorEastAsia" w:hAnsi="Times New Roman" w:cs="Times New Roman"/>
          <w:sz w:val="24"/>
          <w:szCs w:val="24"/>
          <w:lang w:eastAsia="uk-UA"/>
        </w:rPr>
        <w:t>скасування рішень органів державної виконавчої служби</w:t>
      </w:r>
      <w:r>
        <w:rPr>
          <w:rFonts w:ascii="Times New Roman" w:eastAsiaTheme="minorEastAsia" w:hAnsi="Times New Roman" w:cs="Times New Roman"/>
          <w:sz w:val="24"/>
          <w:szCs w:val="24"/>
          <w:lang w:eastAsia="uk-UA"/>
        </w:rPr>
        <w:t xml:space="preserve">; </w:t>
      </w:r>
    </w:p>
    <w:p w:rsidR="006A09B7" w:rsidRDefault="006A09B7" w:rsidP="006A09B7">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xml:space="preserve">- визнання дій Управління Західного офісу Держаудитслужби в Тернопільській області, Управління Східного офісу Держаудитслужби в Запорізькій області протиправними та скасування вимоги; </w:t>
      </w:r>
    </w:p>
    <w:p w:rsidR="006A09B7" w:rsidRDefault="006A09B7" w:rsidP="00086F1F">
      <w:pPr>
        <w:spacing w:after="0" w:line="240" w:lineRule="auto"/>
        <w:ind w:firstLine="700"/>
        <w:jc w:val="both"/>
        <w:rPr>
          <w:rFonts w:ascii="Times New Roman" w:eastAsiaTheme="minorEastAsia" w:hAnsi="Times New Roman" w:cs="Times New Roman"/>
          <w:sz w:val="24"/>
          <w:szCs w:val="24"/>
          <w:lang w:eastAsia="uk-UA"/>
        </w:rPr>
      </w:pPr>
      <w:r>
        <w:rPr>
          <w:rFonts w:ascii="Times New Roman" w:eastAsiaTheme="minorEastAsia" w:hAnsi="Times New Roman" w:cs="Times New Roman"/>
          <w:sz w:val="24"/>
          <w:szCs w:val="24"/>
          <w:lang w:eastAsia="uk-UA"/>
        </w:rPr>
        <w:t>- оскарження рішення Антимонопольного комітету та</w:t>
      </w:r>
      <w:r w:rsidRPr="009C5BB8">
        <w:rPr>
          <w:rFonts w:ascii="Times New Roman" w:eastAsiaTheme="minorEastAsia" w:hAnsi="Times New Roman" w:cs="Times New Roman"/>
          <w:sz w:val="24"/>
          <w:szCs w:val="24"/>
          <w:lang w:eastAsia="uk-UA"/>
        </w:rPr>
        <w:t xml:space="preserve"> інші. </w:t>
      </w:r>
    </w:p>
    <w:p w:rsidR="00086F1F" w:rsidRDefault="006A09B7" w:rsidP="00086F1F">
      <w:pPr>
        <w:spacing w:after="0" w:line="240" w:lineRule="auto"/>
        <w:ind w:firstLine="700"/>
        <w:jc w:val="both"/>
        <w:rPr>
          <w:rFonts w:ascii="Times New Roman" w:hAnsi="Times New Roman" w:cs="Times New Roman"/>
          <w:color w:val="000000"/>
          <w:sz w:val="24"/>
          <w:szCs w:val="24"/>
          <w:shd w:val="clear" w:color="auto" w:fill="FFFFFF"/>
        </w:rPr>
      </w:pPr>
      <w:r>
        <w:rPr>
          <w:rFonts w:ascii="Times New Roman" w:eastAsiaTheme="minorEastAsia" w:hAnsi="Times New Roman" w:cs="Times New Roman"/>
          <w:sz w:val="24"/>
          <w:szCs w:val="24"/>
          <w:lang w:eastAsia="uk-UA"/>
        </w:rPr>
        <w:t xml:space="preserve">У 2025 році працівники управління взяли участь у судових засіданнях судів апеляційних та касаційних інстанцій у справах про визнання дій протиправним та скасування вимог Західного офісу Держаудитслужбу в Тернопільській області, Східного офісу Держаудитслужби в Запорізькій області; </w:t>
      </w:r>
      <w:r>
        <w:rPr>
          <w:rFonts w:ascii="Times New Roman" w:hAnsi="Times New Roman" w:cs="Times New Roman"/>
          <w:color w:val="000000"/>
          <w:sz w:val="24"/>
          <w:szCs w:val="24"/>
          <w:shd w:val="clear" w:color="auto" w:fill="FFFFFF"/>
        </w:rPr>
        <w:t xml:space="preserve">визнання будівництва за адресою вул. Качали,7 самочинним та його знесення; скасування державної реєстрації на об’єкти, які зведенні в порушення містобудівного законодавства (провулок Галицький, вул.Морозенка); судові справи з приводу військових поховань </w:t>
      </w:r>
      <w:r w:rsidRPr="00A177AD">
        <w:rPr>
          <w:rFonts w:ascii="Times New Roman" w:hAnsi="Times New Roman" w:cs="Times New Roman"/>
          <w:color w:val="000000"/>
          <w:sz w:val="24"/>
          <w:szCs w:val="24"/>
          <w:shd w:val="clear" w:color="auto" w:fill="FFFFFF"/>
        </w:rPr>
        <w:t>у секторі почесних поховань  Пантеон Героїв Тернополя на міському кладовищі по вул. Микулинецькій</w:t>
      </w:r>
      <w:r>
        <w:rPr>
          <w:rFonts w:ascii="Times New Roman" w:hAnsi="Times New Roman" w:cs="Times New Roman"/>
          <w:color w:val="000000"/>
          <w:sz w:val="24"/>
          <w:szCs w:val="24"/>
          <w:shd w:val="clear" w:color="auto" w:fill="FFFFFF"/>
        </w:rPr>
        <w:t xml:space="preserve">, </w:t>
      </w:r>
      <w:r w:rsidRPr="006E3FA5">
        <w:rPr>
          <w:rFonts w:ascii="Times New Roman" w:hAnsi="Times New Roman" w:cs="Times New Roman"/>
          <w:color w:val="000000"/>
          <w:sz w:val="24"/>
          <w:szCs w:val="24"/>
          <w:shd w:val="clear" w:color="auto" w:fill="FFFFFF"/>
        </w:rPr>
        <w:t xml:space="preserve">про стягнення </w:t>
      </w:r>
      <w:r>
        <w:rPr>
          <w:rFonts w:ascii="Times New Roman" w:hAnsi="Times New Roman" w:cs="Times New Roman"/>
          <w:color w:val="000000"/>
          <w:sz w:val="24"/>
          <w:szCs w:val="24"/>
          <w:shd w:val="clear" w:color="auto" w:fill="FFFFFF"/>
        </w:rPr>
        <w:t xml:space="preserve">в користь Тернопільської міської територіальної громади </w:t>
      </w:r>
      <w:r w:rsidRPr="006E3FA5">
        <w:rPr>
          <w:rFonts w:ascii="Times New Roman" w:hAnsi="Times New Roman" w:cs="Times New Roman"/>
          <w:color w:val="000000"/>
          <w:sz w:val="24"/>
          <w:szCs w:val="24"/>
          <w:shd w:val="clear" w:color="auto" w:fill="FFFFFF"/>
        </w:rPr>
        <w:t>матеріальної шкоди у розмірі 75 764 957, 69 грн, в рамках кримінального провадження</w:t>
      </w:r>
      <w:r>
        <w:rPr>
          <w:rFonts w:ascii="Times New Roman" w:hAnsi="Times New Roman" w:cs="Times New Roman"/>
          <w:color w:val="000000"/>
          <w:sz w:val="24"/>
          <w:szCs w:val="24"/>
          <w:shd w:val="clear" w:color="auto" w:fill="FFFFFF"/>
        </w:rPr>
        <w:t xml:space="preserve">; за позовом </w:t>
      </w:r>
      <w:r w:rsidRPr="00C63C00">
        <w:rPr>
          <w:rFonts w:ascii="Times New Roman" w:hAnsi="Times New Roman" w:cs="Times New Roman"/>
          <w:sz w:val="24"/>
          <w:szCs w:val="24"/>
        </w:rPr>
        <w:t>Управління Тернопільської Єпархії Української православної церкви</w:t>
      </w:r>
      <w:r>
        <w:rPr>
          <w:rFonts w:ascii="Times New Roman" w:hAnsi="Times New Roman" w:cs="Times New Roman"/>
          <w:sz w:val="24"/>
          <w:szCs w:val="24"/>
        </w:rPr>
        <w:t xml:space="preserve"> </w:t>
      </w:r>
      <w:r w:rsidRPr="00C63C00">
        <w:rPr>
          <w:rFonts w:ascii="Times New Roman" w:hAnsi="Times New Roman" w:cs="Times New Roman"/>
          <w:sz w:val="24"/>
          <w:szCs w:val="24"/>
        </w:rPr>
        <w:t>до Тернопільської міської ради про витребування з чужого незаконного володіння Тернопільської міської ради земельної ділянки</w:t>
      </w:r>
      <w:r w:rsidRPr="00C63C00">
        <w:rPr>
          <w:rFonts w:ascii="Times New Roman" w:hAnsi="Times New Roman" w:cs="Times New Roman"/>
          <w:color w:val="000000"/>
          <w:sz w:val="24"/>
          <w:szCs w:val="24"/>
          <w:shd w:val="clear" w:color="auto" w:fill="FFFFFF"/>
        </w:rPr>
        <w:t xml:space="preserve"> тощо.</w:t>
      </w:r>
    </w:p>
    <w:p w:rsidR="00086F1F" w:rsidRDefault="00086F1F" w:rsidP="00086F1F">
      <w:pPr>
        <w:spacing w:after="0" w:line="240" w:lineRule="auto"/>
        <w:ind w:firstLine="700"/>
        <w:jc w:val="both"/>
        <w:rPr>
          <w:rFonts w:ascii="Times New Roman" w:hAnsi="Times New Roman" w:cs="Times New Roman"/>
          <w:color w:val="000000"/>
          <w:sz w:val="24"/>
          <w:szCs w:val="24"/>
          <w:shd w:val="clear" w:color="auto" w:fill="FFFFFF"/>
        </w:rPr>
      </w:pPr>
    </w:p>
    <w:p w:rsidR="00086F1F" w:rsidRDefault="00086F1F" w:rsidP="00086F1F">
      <w:pPr>
        <w:spacing w:after="0" w:line="240" w:lineRule="auto"/>
        <w:ind w:firstLine="700"/>
        <w:jc w:val="both"/>
        <w:rPr>
          <w:rFonts w:ascii="Times New Roman" w:hAnsi="Times New Roman" w:cs="Times New Roman"/>
          <w:color w:val="000000"/>
          <w:sz w:val="24"/>
          <w:szCs w:val="24"/>
          <w:shd w:val="clear" w:color="auto" w:fill="FFFFFF"/>
        </w:rPr>
      </w:pPr>
    </w:p>
    <w:p w:rsidR="00086F1F" w:rsidRDefault="00086F1F" w:rsidP="00086F1F">
      <w:pPr>
        <w:spacing w:after="0" w:line="240" w:lineRule="auto"/>
        <w:ind w:firstLine="700"/>
        <w:jc w:val="both"/>
        <w:rPr>
          <w:rFonts w:ascii="Times New Roman" w:hAnsi="Times New Roman" w:cs="Times New Roman"/>
          <w:color w:val="000000"/>
          <w:sz w:val="24"/>
          <w:szCs w:val="24"/>
          <w:shd w:val="clear" w:color="auto" w:fill="FFFFFF"/>
        </w:rPr>
      </w:pPr>
    </w:p>
    <w:p w:rsidR="00086F1F" w:rsidRDefault="00086F1F" w:rsidP="00086F1F">
      <w:pPr>
        <w:spacing w:after="0" w:line="240" w:lineRule="auto"/>
        <w:ind w:firstLine="700"/>
        <w:jc w:val="both"/>
        <w:rPr>
          <w:rFonts w:ascii="Times New Roman" w:hAnsi="Times New Roman" w:cs="Times New Roman"/>
          <w:color w:val="000000"/>
          <w:sz w:val="24"/>
          <w:szCs w:val="24"/>
          <w:shd w:val="clear" w:color="auto" w:fill="FFFFFF"/>
        </w:rPr>
      </w:pPr>
    </w:p>
    <w:p w:rsidR="00086F1F" w:rsidRDefault="00086F1F" w:rsidP="00086F1F">
      <w:pPr>
        <w:spacing w:after="0" w:line="240" w:lineRule="auto"/>
        <w:ind w:firstLine="7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4</w:t>
      </w:r>
    </w:p>
    <w:p w:rsidR="00086F1F" w:rsidRDefault="00086F1F" w:rsidP="00086F1F">
      <w:pPr>
        <w:spacing w:after="0" w:line="240" w:lineRule="auto"/>
        <w:ind w:firstLine="700"/>
        <w:jc w:val="both"/>
        <w:rPr>
          <w:rFonts w:ascii="Times New Roman" w:hAnsi="Times New Roman" w:cs="Times New Roman"/>
          <w:color w:val="000000"/>
          <w:sz w:val="24"/>
          <w:szCs w:val="24"/>
          <w:shd w:val="clear" w:color="auto" w:fill="FFFFFF"/>
        </w:rPr>
      </w:pPr>
    </w:p>
    <w:p w:rsidR="00086F1F" w:rsidRPr="00086F1F" w:rsidRDefault="006A09B7" w:rsidP="00086F1F">
      <w:pPr>
        <w:spacing w:after="0" w:line="240" w:lineRule="auto"/>
        <w:ind w:firstLine="700"/>
        <w:jc w:val="both"/>
        <w:rPr>
          <w:rFonts w:ascii="Times New Roman" w:hAnsi="Times New Roman" w:cs="Times New Roman"/>
          <w:color w:val="000000"/>
          <w:sz w:val="24"/>
          <w:szCs w:val="24"/>
          <w:shd w:val="clear" w:color="auto" w:fill="FFFFFF"/>
        </w:rPr>
      </w:pPr>
      <w:r w:rsidRPr="009C5BB8">
        <w:rPr>
          <w:rFonts w:ascii="Times New Roman" w:eastAsiaTheme="minorEastAsia" w:hAnsi="Times New Roman" w:cs="Times New Roman"/>
          <w:sz w:val="24"/>
          <w:szCs w:val="24"/>
          <w:lang w:eastAsia="uk-UA"/>
        </w:rPr>
        <w:t xml:space="preserve">З метою захисту прав та законних інтересів Тернопільської міської ради, її виконавчого комітету управлінням вживалися заходи претензійно-позовної роботи. За результатами роботи </w:t>
      </w:r>
    </w:p>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від імені Тернопільської міської ради, її виконавчого комітету управлінням готувалися позовні заяви та скеровувалися до суду.</w:t>
      </w:r>
    </w:p>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p>
    <w:tbl>
      <w:tblPr>
        <w:tblStyle w:val="a3"/>
        <w:tblW w:w="0" w:type="auto"/>
        <w:tblLook w:val="04A0" w:firstRow="1" w:lastRow="0" w:firstColumn="1" w:lastColumn="0" w:noHBand="0" w:noVBand="1"/>
      </w:tblPr>
      <w:tblGrid>
        <w:gridCol w:w="3209"/>
        <w:gridCol w:w="3210"/>
        <w:gridCol w:w="3210"/>
      </w:tblGrid>
      <w:tr w:rsidR="006A09B7" w:rsidRPr="009C5BB8" w:rsidTr="001C5DD4">
        <w:tc>
          <w:tcPr>
            <w:tcW w:w="3209" w:type="dxa"/>
          </w:tcPr>
          <w:p w:rsidR="006A09B7" w:rsidRPr="009C5BB8" w:rsidRDefault="006A09B7" w:rsidP="001C5DD4">
            <w:pPr>
              <w:jc w:val="both"/>
              <w:rPr>
                <w:rFonts w:ascii="Times New Roman" w:hAnsi="Times New Roman" w:cs="Times New Roman"/>
                <w:sz w:val="24"/>
                <w:szCs w:val="24"/>
              </w:rPr>
            </w:pPr>
            <w:r>
              <w:rPr>
                <w:rFonts w:ascii="Times New Roman" w:hAnsi="Times New Roman" w:cs="Times New Roman"/>
                <w:sz w:val="24"/>
                <w:szCs w:val="24"/>
              </w:rPr>
              <w:t>За 2024 рік</w:t>
            </w:r>
          </w:p>
        </w:tc>
        <w:tc>
          <w:tcPr>
            <w:tcW w:w="3210" w:type="dxa"/>
          </w:tcPr>
          <w:p w:rsidR="006A09B7" w:rsidRPr="009C5BB8" w:rsidRDefault="006A09B7" w:rsidP="001C5DD4">
            <w:pPr>
              <w:jc w:val="both"/>
              <w:rPr>
                <w:rFonts w:ascii="Times New Roman" w:hAnsi="Times New Roman" w:cs="Times New Roman"/>
                <w:sz w:val="24"/>
                <w:szCs w:val="24"/>
              </w:rPr>
            </w:pPr>
            <w:r w:rsidRPr="009C5BB8">
              <w:rPr>
                <w:rFonts w:ascii="Times New Roman" w:hAnsi="Times New Roman" w:cs="Times New Roman"/>
                <w:sz w:val="24"/>
                <w:szCs w:val="24"/>
              </w:rPr>
              <w:t>За</w:t>
            </w:r>
            <w:r>
              <w:rPr>
                <w:rFonts w:ascii="Times New Roman" w:hAnsi="Times New Roman" w:cs="Times New Roman"/>
                <w:sz w:val="24"/>
                <w:szCs w:val="24"/>
              </w:rPr>
              <w:t xml:space="preserve"> 10 місяців</w:t>
            </w:r>
            <w:r w:rsidRPr="009C5BB8">
              <w:rPr>
                <w:rFonts w:ascii="Times New Roman" w:hAnsi="Times New Roman" w:cs="Times New Roman"/>
                <w:sz w:val="24"/>
                <w:szCs w:val="24"/>
              </w:rPr>
              <w:t xml:space="preserve"> 20</w:t>
            </w:r>
            <w:r>
              <w:rPr>
                <w:rFonts w:ascii="Times New Roman" w:hAnsi="Times New Roman" w:cs="Times New Roman"/>
                <w:sz w:val="24"/>
                <w:szCs w:val="24"/>
              </w:rPr>
              <w:t>24 року</w:t>
            </w:r>
          </w:p>
        </w:tc>
        <w:tc>
          <w:tcPr>
            <w:tcW w:w="3210" w:type="dxa"/>
          </w:tcPr>
          <w:p w:rsidR="006A09B7" w:rsidRPr="009C5BB8" w:rsidRDefault="006A09B7" w:rsidP="001C5DD4">
            <w:pPr>
              <w:jc w:val="both"/>
              <w:rPr>
                <w:rFonts w:ascii="Times New Roman" w:hAnsi="Times New Roman" w:cs="Times New Roman"/>
                <w:sz w:val="24"/>
                <w:szCs w:val="24"/>
              </w:rPr>
            </w:pPr>
            <w:r w:rsidRPr="009C5BB8">
              <w:rPr>
                <w:rFonts w:ascii="Times New Roman" w:hAnsi="Times New Roman" w:cs="Times New Roman"/>
                <w:sz w:val="24"/>
                <w:szCs w:val="24"/>
              </w:rPr>
              <w:t>За 10 місяців 202</w:t>
            </w:r>
            <w:r>
              <w:rPr>
                <w:rFonts w:ascii="Times New Roman" w:hAnsi="Times New Roman" w:cs="Times New Roman"/>
                <w:sz w:val="24"/>
                <w:szCs w:val="24"/>
              </w:rPr>
              <w:t>5 року</w:t>
            </w:r>
          </w:p>
        </w:tc>
      </w:tr>
      <w:tr w:rsidR="006A09B7" w:rsidRPr="009C5BB8" w:rsidTr="001C5DD4">
        <w:tc>
          <w:tcPr>
            <w:tcW w:w="3209" w:type="dxa"/>
          </w:tcPr>
          <w:p w:rsidR="006A09B7" w:rsidRDefault="006A09B7" w:rsidP="001C5DD4">
            <w:pPr>
              <w:jc w:val="both"/>
              <w:rPr>
                <w:rFonts w:ascii="Times New Roman" w:hAnsi="Times New Roman" w:cs="Times New Roman"/>
                <w:sz w:val="24"/>
                <w:szCs w:val="24"/>
              </w:rPr>
            </w:pPr>
            <w:r>
              <w:rPr>
                <w:rFonts w:ascii="Times New Roman" w:hAnsi="Times New Roman" w:cs="Times New Roman"/>
                <w:sz w:val="24"/>
                <w:szCs w:val="24"/>
              </w:rPr>
              <w:t>29 позовів від імені Тернопільської міської ради, виконавчого комітету</w:t>
            </w:r>
          </w:p>
          <w:p w:rsidR="006A09B7" w:rsidRPr="009C5BB8" w:rsidRDefault="006A09B7" w:rsidP="001C5DD4">
            <w:pPr>
              <w:jc w:val="both"/>
              <w:rPr>
                <w:rFonts w:ascii="Times New Roman" w:hAnsi="Times New Roman" w:cs="Times New Roman"/>
                <w:sz w:val="24"/>
                <w:szCs w:val="24"/>
              </w:rPr>
            </w:pPr>
          </w:p>
        </w:tc>
        <w:tc>
          <w:tcPr>
            <w:tcW w:w="3210" w:type="dxa"/>
          </w:tcPr>
          <w:p w:rsidR="006A09B7" w:rsidRPr="009C5BB8" w:rsidRDefault="006A09B7" w:rsidP="001C5DD4">
            <w:pPr>
              <w:jc w:val="both"/>
              <w:rPr>
                <w:rFonts w:ascii="Times New Roman" w:hAnsi="Times New Roman" w:cs="Times New Roman"/>
                <w:sz w:val="24"/>
                <w:szCs w:val="24"/>
              </w:rPr>
            </w:pPr>
            <w:r>
              <w:rPr>
                <w:rFonts w:ascii="Times New Roman" w:hAnsi="Times New Roman" w:cs="Times New Roman"/>
                <w:sz w:val="24"/>
                <w:szCs w:val="24"/>
              </w:rPr>
              <w:t>Подано 28 позовів від імені Тернопільської міської ради, виконавчого комітету</w:t>
            </w:r>
          </w:p>
        </w:tc>
        <w:tc>
          <w:tcPr>
            <w:tcW w:w="3210" w:type="dxa"/>
          </w:tcPr>
          <w:p w:rsidR="006A09B7" w:rsidRPr="009C5BB8" w:rsidRDefault="006A09B7" w:rsidP="001C5DD4">
            <w:pPr>
              <w:jc w:val="both"/>
              <w:rPr>
                <w:rFonts w:ascii="Times New Roman" w:hAnsi="Times New Roman" w:cs="Times New Roman"/>
                <w:sz w:val="24"/>
                <w:szCs w:val="24"/>
              </w:rPr>
            </w:pPr>
            <w:r>
              <w:rPr>
                <w:rFonts w:ascii="Times New Roman" w:hAnsi="Times New Roman" w:cs="Times New Roman"/>
                <w:sz w:val="24"/>
                <w:szCs w:val="24"/>
              </w:rPr>
              <w:t>21 позовів від імені Тернопільської міської ради, виконавчого комітету</w:t>
            </w:r>
          </w:p>
        </w:tc>
      </w:tr>
    </w:tbl>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p>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 xml:space="preserve">Окрім вказаного, з метою захисту інтересів Тернопільської міської ради, співпрацюючи з Тернопільською окружною прокуратурою було подано </w:t>
      </w:r>
      <w:r>
        <w:rPr>
          <w:rFonts w:ascii="Times New Roman" w:eastAsiaTheme="minorEastAsia" w:hAnsi="Times New Roman" w:cs="Times New Roman"/>
          <w:sz w:val="24"/>
          <w:szCs w:val="24"/>
          <w:lang w:eastAsia="uk-UA"/>
        </w:rPr>
        <w:t>16</w:t>
      </w:r>
      <w:r w:rsidRPr="009C5BB8">
        <w:rPr>
          <w:rFonts w:ascii="Times New Roman" w:eastAsiaTheme="minorEastAsia" w:hAnsi="Times New Roman" w:cs="Times New Roman"/>
          <w:sz w:val="24"/>
          <w:szCs w:val="24"/>
          <w:lang w:eastAsia="uk-UA"/>
        </w:rPr>
        <w:t xml:space="preserve"> позовних заяв</w:t>
      </w:r>
      <w:r>
        <w:rPr>
          <w:rFonts w:ascii="Times New Roman" w:eastAsiaTheme="minorEastAsia" w:hAnsi="Times New Roman" w:cs="Times New Roman"/>
          <w:sz w:val="24"/>
          <w:szCs w:val="24"/>
          <w:lang w:eastAsia="uk-UA"/>
        </w:rPr>
        <w:t xml:space="preserve"> </w:t>
      </w:r>
      <w:r w:rsidRPr="009C5BB8">
        <w:rPr>
          <w:rFonts w:ascii="Times New Roman" w:eastAsiaTheme="minorEastAsia" w:hAnsi="Times New Roman" w:cs="Times New Roman"/>
          <w:sz w:val="24"/>
          <w:szCs w:val="24"/>
          <w:lang w:eastAsia="uk-UA"/>
        </w:rPr>
        <w:t xml:space="preserve">про відшкодування витрат, понесених закладом охорони здоров’я на стаціонарне лікування потерпілого від злочину (за результатами виконання рішень у бюджет надійшло </w:t>
      </w:r>
      <w:r>
        <w:rPr>
          <w:rFonts w:ascii="Times New Roman" w:eastAsiaTheme="minorEastAsia" w:hAnsi="Times New Roman" w:cs="Times New Roman"/>
          <w:sz w:val="24"/>
          <w:szCs w:val="24"/>
          <w:lang w:eastAsia="uk-UA"/>
        </w:rPr>
        <w:t>83 тис.</w:t>
      </w:r>
      <w:r w:rsidRPr="009C5BB8">
        <w:rPr>
          <w:rFonts w:ascii="Times New Roman" w:eastAsiaTheme="minorEastAsia" w:hAnsi="Times New Roman" w:cs="Times New Roman"/>
          <w:sz w:val="24"/>
          <w:szCs w:val="24"/>
          <w:lang w:eastAsia="uk-UA"/>
        </w:rPr>
        <w:t xml:space="preserve"> грн. сплачених особами коштів)</w:t>
      </w:r>
      <w:r>
        <w:rPr>
          <w:rFonts w:ascii="Times New Roman" w:eastAsiaTheme="minorEastAsia" w:hAnsi="Times New Roman" w:cs="Times New Roman"/>
          <w:sz w:val="24"/>
          <w:szCs w:val="24"/>
          <w:lang w:eastAsia="uk-UA"/>
        </w:rPr>
        <w:t>. Забезпечено надходження до бюджету Тернопільської міської територіальної громади понад 2 млн.грн. коштів по невиконанню договірних зобов’язань.</w:t>
      </w:r>
    </w:p>
    <w:p w:rsidR="006A09B7" w:rsidRPr="009C5BB8" w:rsidRDefault="006A09B7" w:rsidP="006A09B7">
      <w:pPr>
        <w:spacing w:after="0" w:line="240" w:lineRule="auto"/>
        <w:ind w:firstLine="70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Управлінням правового забезпечення здійснюється вивчення питання дотримання контрагентами договірних відносин</w:t>
      </w:r>
      <w:r>
        <w:rPr>
          <w:rFonts w:ascii="Times New Roman" w:eastAsiaTheme="minorEastAsia" w:hAnsi="Times New Roman" w:cs="Times New Roman"/>
          <w:sz w:val="24"/>
          <w:szCs w:val="24"/>
          <w:lang w:eastAsia="uk-UA"/>
        </w:rPr>
        <w:t>, зокрема щодо ТОВ «Інтекс Інвест», ТОВ «Житомирська торгова компанія», ТОВ «Комерс Еліт Солюшнс Груп», ТОВ «Гертрос», ТОВ «Спектр-8», ТОВ «СМ КВІН»</w:t>
      </w:r>
      <w:r w:rsidRPr="009C5BB8">
        <w:rPr>
          <w:rFonts w:ascii="Times New Roman" w:eastAsiaTheme="minorEastAsia" w:hAnsi="Times New Roman" w:cs="Times New Roman"/>
          <w:sz w:val="24"/>
          <w:szCs w:val="24"/>
          <w:lang w:eastAsia="uk-UA"/>
        </w:rPr>
        <w:t xml:space="preserve">. Значна частина питань належного виконання умов договору вирішується в досудовому порядку. Проте, при недосягненні домовленості між сторонами, управлінням ініціюється від імені міської ради питання про стягнення з боржників штрафних санкцій. Управлінням правового забезпечення вживаються заходи з приводу повернення сплачених сум судового збору по завершенню розгляду судових справ. </w:t>
      </w:r>
    </w:p>
    <w:p w:rsidR="006A09B7" w:rsidRDefault="006A09B7" w:rsidP="006A09B7">
      <w:pPr>
        <w:spacing w:after="0" w:line="240" w:lineRule="auto"/>
        <w:ind w:firstLine="709"/>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Також, працівники управління займались розробкою та опрацюванням на предмет відповідності вимогам законодавства проектів угод та меморандумів, що мали місце у відносинах органу місцевого самоврядування з рядом юридичних та фізичних осіб, в тому числі і з іноземними партнерами. Кількість їх становить</w:t>
      </w:r>
      <w:r w:rsidRPr="00982857">
        <w:rPr>
          <w:rFonts w:ascii="Times New Roman" w:eastAsiaTheme="minorEastAsia" w:hAnsi="Times New Roman" w:cs="Times New Roman"/>
          <w:sz w:val="24"/>
          <w:szCs w:val="24"/>
          <w:lang w:eastAsia="uk-UA"/>
        </w:rPr>
        <w:t>:</w:t>
      </w:r>
      <w:r>
        <w:rPr>
          <w:rFonts w:ascii="Times New Roman" w:eastAsiaTheme="minorEastAsia" w:hAnsi="Times New Roman" w:cs="Times New Roman"/>
          <w:sz w:val="24"/>
          <w:szCs w:val="24"/>
          <w:lang w:eastAsia="uk-UA"/>
        </w:rPr>
        <w:t xml:space="preserve"> 392.</w:t>
      </w:r>
    </w:p>
    <w:p w:rsidR="006A09B7" w:rsidRPr="009C5BB8" w:rsidRDefault="006A09B7" w:rsidP="006A09B7">
      <w:pPr>
        <w:spacing w:after="0" w:line="240" w:lineRule="auto"/>
        <w:ind w:firstLine="709"/>
        <w:jc w:val="both"/>
        <w:rPr>
          <w:rFonts w:ascii="Times New Roman" w:eastAsiaTheme="minorEastAsia" w:hAnsi="Times New Roman" w:cs="Times New Roman"/>
          <w:sz w:val="24"/>
          <w:szCs w:val="24"/>
          <w:lang w:eastAsia="uk-UA"/>
        </w:rPr>
      </w:pPr>
    </w:p>
    <w:tbl>
      <w:tblPr>
        <w:tblStyle w:val="a3"/>
        <w:tblW w:w="0" w:type="auto"/>
        <w:tblLook w:val="04A0" w:firstRow="1" w:lastRow="0" w:firstColumn="1" w:lastColumn="0" w:noHBand="0" w:noVBand="1"/>
      </w:tblPr>
      <w:tblGrid>
        <w:gridCol w:w="3209"/>
        <w:gridCol w:w="3210"/>
        <w:gridCol w:w="3210"/>
      </w:tblGrid>
      <w:tr w:rsidR="006A09B7" w:rsidRPr="009C5BB8" w:rsidTr="001C5DD4">
        <w:tc>
          <w:tcPr>
            <w:tcW w:w="3209" w:type="dxa"/>
          </w:tcPr>
          <w:p w:rsidR="006A09B7" w:rsidRPr="009C5BB8" w:rsidRDefault="006A09B7" w:rsidP="001C5DD4">
            <w:pPr>
              <w:rPr>
                <w:rFonts w:ascii="Times New Roman" w:hAnsi="Times New Roman" w:cs="Times New Roman"/>
                <w:sz w:val="24"/>
                <w:szCs w:val="24"/>
              </w:rPr>
            </w:pPr>
            <w:r>
              <w:rPr>
                <w:rFonts w:ascii="Times New Roman" w:hAnsi="Times New Roman" w:cs="Times New Roman"/>
                <w:sz w:val="24"/>
                <w:szCs w:val="24"/>
              </w:rPr>
              <w:t>За 2024 рік</w:t>
            </w:r>
          </w:p>
        </w:tc>
        <w:tc>
          <w:tcPr>
            <w:tcW w:w="3210" w:type="dxa"/>
          </w:tcPr>
          <w:p w:rsidR="006A09B7" w:rsidRPr="009C5BB8" w:rsidRDefault="006A09B7" w:rsidP="001C5DD4">
            <w:pPr>
              <w:rPr>
                <w:rFonts w:ascii="Times New Roman" w:hAnsi="Times New Roman" w:cs="Times New Roman"/>
                <w:sz w:val="24"/>
                <w:szCs w:val="24"/>
              </w:rPr>
            </w:pPr>
            <w:r w:rsidRPr="009C5BB8">
              <w:rPr>
                <w:rFonts w:ascii="Times New Roman" w:hAnsi="Times New Roman" w:cs="Times New Roman"/>
                <w:sz w:val="24"/>
                <w:szCs w:val="24"/>
              </w:rPr>
              <w:t>За</w:t>
            </w:r>
            <w:r>
              <w:rPr>
                <w:rFonts w:ascii="Times New Roman" w:hAnsi="Times New Roman" w:cs="Times New Roman"/>
                <w:sz w:val="24"/>
                <w:szCs w:val="24"/>
              </w:rPr>
              <w:t xml:space="preserve"> 10 місяців</w:t>
            </w:r>
            <w:r w:rsidRPr="009C5BB8">
              <w:rPr>
                <w:rFonts w:ascii="Times New Roman" w:hAnsi="Times New Roman" w:cs="Times New Roman"/>
                <w:sz w:val="24"/>
                <w:szCs w:val="24"/>
              </w:rPr>
              <w:t xml:space="preserve"> 202</w:t>
            </w:r>
            <w:r>
              <w:rPr>
                <w:rFonts w:ascii="Times New Roman" w:hAnsi="Times New Roman" w:cs="Times New Roman"/>
                <w:sz w:val="24"/>
                <w:szCs w:val="24"/>
              </w:rPr>
              <w:t>4</w:t>
            </w:r>
            <w:r w:rsidRPr="009C5BB8">
              <w:rPr>
                <w:rFonts w:ascii="Times New Roman" w:hAnsi="Times New Roman" w:cs="Times New Roman"/>
                <w:sz w:val="24"/>
                <w:szCs w:val="24"/>
              </w:rPr>
              <w:t xml:space="preserve"> </w:t>
            </w:r>
            <w:r>
              <w:rPr>
                <w:rFonts w:ascii="Times New Roman" w:hAnsi="Times New Roman" w:cs="Times New Roman"/>
                <w:sz w:val="24"/>
                <w:szCs w:val="24"/>
              </w:rPr>
              <w:t>року</w:t>
            </w:r>
          </w:p>
        </w:tc>
        <w:tc>
          <w:tcPr>
            <w:tcW w:w="3210" w:type="dxa"/>
          </w:tcPr>
          <w:p w:rsidR="006A09B7" w:rsidRPr="009C5BB8" w:rsidRDefault="006A09B7" w:rsidP="001C5DD4">
            <w:pPr>
              <w:rPr>
                <w:rFonts w:ascii="Times New Roman" w:hAnsi="Times New Roman" w:cs="Times New Roman"/>
                <w:sz w:val="24"/>
                <w:szCs w:val="24"/>
                <w:lang w:val="en-US"/>
              </w:rPr>
            </w:pPr>
            <w:r w:rsidRPr="009C5BB8">
              <w:rPr>
                <w:rFonts w:ascii="Times New Roman" w:hAnsi="Times New Roman" w:cs="Times New Roman"/>
                <w:sz w:val="24"/>
                <w:szCs w:val="24"/>
              </w:rPr>
              <w:t>За 10 місяців 202</w:t>
            </w:r>
            <w:r>
              <w:rPr>
                <w:rFonts w:ascii="Times New Roman" w:hAnsi="Times New Roman" w:cs="Times New Roman"/>
                <w:sz w:val="24"/>
                <w:szCs w:val="24"/>
              </w:rPr>
              <w:t>5 року</w:t>
            </w:r>
          </w:p>
        </w:tc>
      </w:tr>
      <w:tr w:rsidR="006A09B7" w:rsidRPr="009C5BB8" w:rsidTr="001C5DD4">
        <w:tc>
          <w:tcPr>
            <w:tcW w:w="3209" w:type="dxa"/>
          </w:tcPr>
          <w:p w:rsidR="006A09B7" w:rsidRPr="009C5BB8" w:rsidRDefault="006A09B7" w:rsidP="001C5DD4">
            <w:pPr>
              <w:rPr>
                <w:rFonts w:ascii="Times New Roman" w:hAnsi="Times New Roman" w:cs="Times New Roman"/>
                <w:sz w:val="24"/>
                <w:szCs w:val="24"/>
              </w:rPr>
            </w:pPr>
            <w:r>
              <w:rPr>
                <w:rFonts w:ascii="Times New Roman" w:hAnsi="Times New Roman" w:cs="Times New Roman"/>
                <w:sz w:val="24"/>
                <w:szCs w:val="24"/>
              </w:rPr>
              <w:t>Опрацьовано 556</w:t>
            </w:r>
          </w:p>
        </w:tc>
        <w:tc>
          <w:tcPr>
            <w:tcW w:w="3210" w:type="dxa"/>
          </w:tcPr>
          <w:p w:rsidR="006A09B7" w:rsidRPr="009C5BB8" w:rsidRDefault="006A09B7" w:rsidP="001C5DD4">
            <w:pPr>
              <w:rPr>
                <w:rFonts w:ascii="Times New Roman" w:hAnsi="Times New Roman" w:cs="Times New Roman"/>
                <w:sz w:val="24"/>
                <w:szCs w:val="24"/>
              </w:rPr>
            </w:pPr>
            <w:r>
              <w:rPr>
                <w:rFonts w:ascii="Times New Roman" w:hAnsi="Times New Roman" w:cs="Times New Roman"/>
                <w:sz w:val="24"/>
                <w:szCs w:val="24"/>
              </w:rPr>
              <w:t>Опрацьовано 420</w:t>
            </w:r>
          </w:p>
        </w:tc>
        <w:tc>
          <w:tcPr>
            <w:tcW w:w="3210" w:type="dxa"/>
          </w:tcPr>
          <w:p w:rsidR="006A09B7" w:rsidRPr="009C5BB8" w:rsidRDefault="006A09B7" w:rsidP="001C5DD4">
            <w:pPr>
              <w:rPr>
                <w:rFonts w:ascii="Times New Roman" w:hAnsi="Times New Roman" w:cs="Times New Roman"/>
                <w:sz w:val="24"/>
                <w:szCs w:val="24"/>
              </w:rPr>
            </w:pPr>
            <w:r>
              <w:rPr>
                <w:rFonts w:ascii="Times New Roman" w:hAnsi="Times New Roman" w:cs="Times New Roman"/>
                <w:sz w:val="24"/>
                <w:szCs w:val="24"/>
              </w:rPr>
              <w:t>Опрацьовано 392</w:t>
            </w:r>
          </w:p>
        </w:tc>
      </w:tr>
    </w:tbl>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 xml:space="preserve"> Систематичним є опрацювання змін до законодавства, що вносяться Верховною Радою України, Кабінетом Міністрів України, Президентом України, іншими органами виконавчої влади України, проведення аналізу судової практики при реалізації судами правових засад організації судової влади та здійснення правосуддя в Україні. </w:t>
      </w:r>
      <w:r w:rsidRPr="009C5BB8">
        <w:rPr>
          <w:rFonts w:ascii="Times New Roman" w:eastAsiaTheme="minorEastAsia" w:hAnsi="Times New Roman" w:cs="Times New Roman"/>
          <w:color w:val="000000"/>
          <w:sz w:val="24"/>
          <w:szCs w:val="24"/>
          <w:lang w:eastAsia="uk-UA"/>
        </w:rPr>
        <w:t>З метою забезпечення умов для врахування в роботі вимог нормативно-правових актів та належного моніторингу змін до чинного законодавства України, відповідно розпорядженням міського голови від 20.04.2015р. №139 визначено головного юрисконсульта відділу претензійно-позовної роботи та представництва інтересів в судових інстанціях відповідальним за здійснення моніторингу змін до чинного законодавства України.</w:t>
      </w:r>
    </w:p>
    <w:p w:rsidR="00086F1F" w:rsidRDefault="006A09B7" w:rsidP="006A09B7">
      <w:pPr>
        <w:spacing w:after="0" w:line="240" w:lineRule="auto"/>
        <w:ind w:firstLine="708"/>
        <w:jc w:val="both"/>
        <w:rPr>
          <w:rFonts w:ascii="Times New Roman" w:hAnsi="Times New Roman" w:cs="Times New Roman"/>
          <w:sz w:val="24"/>
          <w:szCs w:val="24"/>
          <w:lang w:eastAsia="uk-UA"/>
        </w:rPr>
      </w:pPr>
      <w:bookmarkStart w:id="0" w:name="n454"/>
      <w:bookmarkEnd w:id="0"/>
      <w:r w:rsidRPr="0012127A">
        <w:rPr>
          <w:rFonts w:ascii="Times New Roman" w:hAnsi="Times New Roman" w:cs="Times New Roman"/>
          <w:sz w:val="24"/>
          <w:szCs w:val="24"/>
          <w:lang w:eastAsia="uk-UA"/>
        </w:rPr>
        <w:t xml:space="preserve">Працівники управління також беруть участь у роботі різних комісій, комітетів, робочих груп, що створюються у міській раді. За звітний період працівники взяли участь у роботі понад </w:t>
      </w:r>
      <w:r>
        <w:rPr>
          <w:rFonts w:ascii="Times New Roman" w:hAnsi="Times New Roman" w:cs="Times New Roman"/>
          <w:sz w:val="24"/>
          <w:szCs w:val="24"/>
          <w:lang w:eastAsia="uk-UA"/>
        </w:rPr>
        <w:t>100</w:t>
      </w:r>
      <w:r w:rsidRPr="0012127A">
        <w:rPr>
          <w:rFonts w:ascii="Times New Roman" w:hAnsi="Times New Roman" w:cs="Times New Roman"/>
          <w:sz w:val="24"/>
          <w:szCs w:val="24"/>
          <w:lang w:eastAsia="uk-UA"/>
        </w:rPr>
        <w:t xml:space="preserve"> комісій в т.ч. постійно діючих комісій. Серед них, зокрема: постійно діюча робоча група з демонтажу тимчасових споруд, які влаштовані на земельних ділянках без документів, що посвідчують право користування землею; робота в комісіях по</w:t>
      </w:r>
      <w:r w:rsidRPr="0012127A">
        <w:rPr>
          <w:rFonts w:ascii="Times New Roman" w:hAnsi="Times New Roman" w:cs="Times New Roman"/>
          <w:sz w:val="24"/>
          <w:szCs w:val="24"/>
          <w:shd w:val="clear" w:color="auto" w:fill="FFFFFF"/>
          <w:lang w:eastAsia="uk-UA"/>
        </w:rPr>
        <w:t xml:space="preserve"> розміщенню та облаштування сезонних об’єктів сфери торгівлі, послуг, відпочинку та розваг на території м. Тернополя та парків, комісії по розгляду заяв щодо встановлення нічного режиму роботи закладам торгівлі, побуту, ресторанного господарства та закладам дозвілля та впорядкування розміщення об’єктів дрібнороздрібної торгівлі та тимчасових споруд побутового призначення;</w:t>
      </w:r>
      <w:r w:rsidRPr="0012127A">
        <w:rPr>
          <w:rFonts w:ascii="Times New Roman" w:hAnsi="Times New Roman" w:cs="Times New Roman"/>
          <w:sz w:val="24"/>
          <w:szCs w:val="24"/>
          <w:lang w:eastAsia="uk-UA"/>
        </w:rPr>
        <w:t xml:space="preserve"> комісії з </w:t>
      </w:r>
    </w:p>
    <w:p w:rsidR="00086F1F" w:rsidRDefault="00086F1F" w:rsidP="006A09B7">
      <w:pPr>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lastRenderedPageBreak/>
        <w:t xml:space="preserve">                                                       5</w:t>
      </w:r>
    </w:p>
    <w:p w:rsidR="006A09B7" w:rsidRPr="00A177AD" w:rsidRDefault="006A09B7" w:rsidP="00086F1F">
      <w:pPr>
        <w:spacing w:after="0" w:line="240" w:lineRule="auto"/>
        <w:jc w:val="both"/>
        <w:rPr>
          <w:rFonts w:ascii="Times New Roman" w:hAnsi="Times New Roman" w:cs="Times New Roman"/>
          <w:color w:val="000000"/>
          <w:sz w:val="24"/>
          <w:szCs w:val="24"/>
          <w:shd w:val="clear" w:color="auto" w:fill="FFFFFF"/>
        </w:rPr>
      </w:pPr>
      <w:r w:rsidRPr="0012127A">
        <w:rPr>
          <w:rFonts w:ascii="Times New Roman" w:hAnsi="Times New Roman" w:cs="Times New Roman"/>
          <w:sz w:val="24"/>
          <w:szCs w:val="24"/>
          <w:lang w:eastAsia="uk-UA"/>
        </w:rPr>
        <w:t>питань визначення та відшкодування збитків заподіяних територіальній громаді внаслідок порушення земельного законодавства; конкурсного комітету з визначення суб’єктів господарювання – операторів паркування транспортних засобів в місті Тернополі; міська комісія із забезпечення прав мешканців гуртожитків; громадська комісія з житлових питань; узгоджувальна комісія Тернопільської міської ради по вирішенню земельних спорів; комісія з захисту прав дітей; комісія з питань прийняття відомчого житлового фонду в комунальну власність; комісія щодо забезпечення належного використання легких електричних транспортних засобів, група впровадження проєкту «Міський громадський транспорт України ІІ»,</w:t>
      </w:r>
      <w:r>
        <w:rPr>
          <w:rFonts w:ascii="Times New Roman" w:hAnsi="Times New Roman" w:cs="Times New Roman"/>
          <w:sz w:val="24"/>
          <w:szCs w:val="24"/>
          <w:lang w:eastAsia="uk-UA"/>
        </w:rPr>
        <w:t xml:space="preserve"> к</w:t>
      </w:r>
      <w:r w:rsidRPr="0012127A">
        <w:rPr>
          <w:rFonts w:ascii="Times New Roman" w:hAnsi="Times New Roman" w:cs="Times New Roman"/>
          <w:sz w:val="24"/>
          <w:szCs w:val="24"/>
        </w:rPr>
        <w:t>омісі</w:t>
      </w:r>
      <w:r>
        <w:rPr>
          <w:rFonts w:ascii="Times New Roman" w:hAnsi="Times New Roman" w:cs="Times New Roman"/>
          <w:sz w:val="24"/>
          <w:szCs w:val="24"/>
        </w:rPr>
        <w:t>я</w:t>
      </w:r>
      <w:r w:rsidRPr="0012127A">
        <w:rPr>
          <w:rFonts w:ascii="Times New Roman" w:hAnsi="Times New Roman" w:cs="Times New Roman"/>
          <w:sz w:val="24"/>
          <w:szCs w:val="24"/>
        </w:rPr>
        <w:t xml:space="preserve">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Pr>
          <w:rFonts w:ascii="Times New Roman" w:hAnsi="Times New Roman" w:cs="Times New Roman"/>
          <w:sz w:val="24"/>
          <w:szCs w:val="24"/>
        </w:rPr>
        <w:t>р</w:t>
      </w:r>
      <w:r w:rsidRPr="0012127A">
        <w:rPr>
          <w:rFonts w:ascii="Times New Roman" w:hAnsi="Times New Roman" w:cs="Times New Roman"/>
          <w:sz w:val="24"/>
          <w:szCs w:val="24"/>
        </w:rPr>
        <w:t xml:space="preserve">осійської </w:t>
      </w:r>
      <w:r>
        <w:rPr>
          <w:rFonts w:ascii="Times New Roman" w:hAnsi="Times New Roman" w:cs="Times New Roman"/>
          <w:sz w:val="24"/>
          <w:szCs w:val="24"/>
        </w:rPr>
        <w:t>ф</w:t>
      </w:r>
      <w:r w:rsidRPr="0012127A">
        <w:rPr>
          <w:rFonts w:ascii="Times New Roman" w:hAnsi="Times New Roman" w:cs="Times New Roman"/>
          <w:sz w:val="24"/>
          <w:szCs w:val="24"/>
        </w:rPr>
        <w:t>едерації на території Тернопільської міської територіальної громад</w:t>
      </w:r>
      <w:r>
        <w:rPr>
          <w:rFonts w:ascii="Times New Roman" w:hAnsi="Times New Roman" w:cs="Times New Roman"/>
          <w:sz w:val="24"/>
          <w:szCs w:val="24"/>
        </w:rPr>
        <w:t xml:space="preserve">и, </w:t>
      </w:r>
      <w:r w:rsidRPr="0012127A">
        <w:rPr>
          <w:rFonts w:ascii="Times New Roman" w:hAnsi="Times New Roman" w:cs="Times New Roman"/>
          <w:sz w:val="24"/>
          <w:szCs w:val="24"/>
          <w:shd w:val="clear" w:color="auto" w:fill="FFFFFF"/>
        </w:rPr>
        <w:t>тендерний комітет для організації та проведення закупівель товарів, робіт і послуг при реалізації проєкту «Будівництво багатоквартирного житлового будинку за адресою м. Тернопіль, вул. Микулинецька, 116»</w:t>
      </w:r>
      <w:r>
        <w:rPr>
          <w:rFonts w:ascii="Times New Roman" w:hAnsi="Times New Roman" w:cs="Times New Roman"/>
          <w:sz w:val="24"/>
          <w:szCs w:val="24"/>
          <w:shd w:val="clear" w:color="auto" w:fill="FFFFFF"/>
        </w:rPr>
        <w:t xml:space="preserve">, постійно діюча комісія щодо встановлення факту здійснення особою постійного догляду </w:t>
      </w:r>
      <w:r w:rsidRPr="0012127A">
        <w:rPr>
          <w:rFonts w:ascii="Times New Roman" w:hAnsi="Times New Roman" w:cs="Times New Roman"/>
          <w:sz w:val="24"/>
          <w:szCs w:val="24"/>
          <w:lang w:eastAsia="uk-UA"/>
        </w:rPr>
        <w:t xml:space="preserve"> тощо. </w:t>
      </w:r>
      <w:r w:rsidRPr="00A177AD">
        <w:rPr>
          <w:rFonts w:ascii="Times New Roman" w:hAnsi="Times New Roman" w:cs="Times New Roman"/>
          <w:color w:val="000000"/>
          <w:sz w:val="24"/>
          <w:szCs w:val="24"/>
          <w:shd w:val="clear" w:color="auto" w:fill="FFFFFF"/>
        </w:rPr>
        <w:t>Працівники управління правового забезпечення беруть участь у роботі робочої групи з підготовки змін до Статуту Тернопільської міської територіальної громади на виконання вимог Закону України «Про внесення змін до деяких законів України щодо народовладдя на рівні місцевого самоврядування».</w:t>
      </w:r>
    </w:p>
    <w:p w:rsidR="006A09B7" w:rsidRPr="00A177AD" w:rsidRDefault="006A09B7" w:rsidP="006A09B7">
      <w:pPr>
        <w:spacing w:after="0" w:line="240" w:lineRule="auto"/>
        <w:ind w:firstLine="708"/>
        <w:jc w:val="both"/>
        <w:rPr>
          <w:rFonts w:ascii="Times New Roman" w:hAnsi="Times New Roman" w:cs="Times New Roman"/>
          <w:color w:val="000000"/>
          <w:sz w:val="24"/>
          <w:szCs w:val="24"/>
          <w:shd w:val="clear" w:color="auto" w:fill="FFFFFF"/>
        </w:rPr>
      </w:pPr>
      <w:r w:rsidRPr="00A177AD">
        <w:rPr>
          <w:rFonts w:ascii="Times New Roman" w:hAnsi="Times New Roman" w:cs="Times New Roman"/>
          <w:color w:val="000000"/>
          <w:sz w:val="24"/>
          <w:szCs w:val="24"/>
          <w:shd w:val="clear" w:color="auto" w:fill="FFFFFF"/>
        </w:rPr>
        <w:t>На даний час опрацьовано проєкти змін до Статуту Тернопільської міської територіальної громади та додатків, що є його невід’ємною частиною.</w:t>
      </w:r>
    </w:p>
    <w:p w:rsidR="006A09B7" w:rsidRPr="00A177AD" w:rsidRDefault="006A09B7" w:rsidP="006A09B7">
      <w:pPr>
        <w:spacing w:after="0" w:line="240" w:lineRule="auto"/>
        <w:ind w:firstLine="708"/>
        <w:jc w:val="both"/>
        <w:rPr>
          <w:rFonts w:ascii="Times New Roman" w:hAnsi="Times New Roman" w:cs="Times New Roman"/>
          <w:color w:val="000000"/>
          <w:sz w:val="24"/>
          <w:szCs w:val="24"/>
          <w:shd w:val="clear" w:color="auto" w:fill="FFFFFF"/>
        </w:rPr>
      </w:pPr>
      <w:r w:rsidRPr="00A177AD">
        <w:rPr>
          <w:rFonts w:ascii="Times New Roman" w:hAnsi="Times New Roman" w:cs="Times New Roman"/>
          <w:color w:val="000000"/>
          <w:sz w:val="24"/>
          <w:szCs w:val="24"/>
          <w:shd w:val="clear" w:color="auto" w:fill="FFFFFF"/>
        </w:rPr>
        <w:t>Крім того, управління правового забезпечення здійснювало координацію проведення Державною екологічною інспекцією у Тернопільській області перевірки дотримання вимог природоохоронного законодавства, зокрема, але не виключно, щодо правомірності її проведення та дотримання встановленої процедури.</w:t>
      </w:r>
      <w:r>
        <w:rPr>
          <w:rFonts w:ascii="Times New Roman" w:hAnsi="Times New Roman" w:cs="Times New Roman"/>
          <w:color w:val="000000"/>
          <w:sz w:val="24"/>
          <w:szCs w:val="24"/>
          <w:shd w:val="clear" w:color="auto" w:fill="FFFFFF"/>
        </w:rPr>
        <w:t xml:space="preserve"> </w:t>
      </w:r>
    </w:p>
    <w:p w:rsidR="006A09B7" w:rsidRDefault="006A09B7" w:rsidP="006A09B7">
      <w:pPr>
        <w:spacing w:after="0" w:line="240" w:lineRule="auto"/>
        <w:ind w:firstLine="708"/>
        <w:jc w:val="both"/>
        <w:rPr>
          <w:rFonts w:ascii="Times New Roman" w:hAnsi="Times New Roman" w:cs="Times New Roman"/>
          <w:color w:val="000000"/>
          <w:sz w:val="24"/>
          <w:szCs w:val="24"/>
          <w:shd w:val="clear" w:color="auto" w:fill="FFFFFF"/>
        </w:rPr>
      </w:pPr>
      <w:r w:rsidRPr="00A177AD">
        <w:rPr>
          <w:rFonts w:ascii="Times New Roman" w:hAnsi="Times New Roman" w:cs="Times New Roman"/>
          <w:color w:val="000000"/>
          <w:sz w:val="24"/>
          <w:szCs w:val="24"/>
          <w:shd w:val="clear" w:color="auto" w:fill="FFFFFF"/>
        </w:rPr>
        <w:t>Також працівники управління входять до складу робочої групи, яка здійснює моніторинг та надає рекомендації щодо забезпечення облаштування засобів безперешкодного доступу осіб з інвалідністю та інших маломобільних груп населення до об’єктів різного призначення в межах реалізації</w:t>
      </w:r>
      <w:r>
        <w:rPr>
          <w:rFonts w:ascii="Times New Roman" w:hAnsi="Times New Roman" w:cs="Times New Roman"/>
          <w:color w:val="000000"/>
          <w:sz w:val="24"/>
          <w:szCs w:val="24"/>
          <w:shd w:val="clear" w:color="auto" w:fill="FFFFFF"/>
        </w:rPr>
        <w:t xml:space="preserve"> </w:t>
      </w:r>
      <w:r w:rsidRPr="00A177AD">
        <w:rPr>
          <w:rFonts w:ascii="Times New Roman" w:hAnsi="Times New Roman" w:cs="Times New Roman"/>
          <w:color w:val="000000"/>
          <w:sz w:val="24"/>
          <w:szCs w:val="24"/>
          <w:shd w:val="clear" w:color="auto" w:fill="FFFFFF"/>
        </w:rPr>
        <w:t>в межах реалізації пілотного проєкту Міністерства розвитку громад та територій України «Рух без бар’єрів», який є частиною програми Першої леді Олени Зеленської «Місто без бар’єрів».</w:t>
      </w:r>
    </w:p>
    <w:p w:rsidR="006A09B7" w:rsidRPr="006E3FA5" w:rsidRDefault="00086F1F" w:rsidP="00086F1F">
      <w:pPr>
        <w:jc w:val="both"/>
        <w:rPr>
          <w:rFonts w:ascii="Times New Roman" w:eastAsia="Times New Roman" w:hAnsi="Times New Roman" w:cs="Times New Roman"/>
          <w:kern w:val="2"/>
          <w:sz w:val="24"/>
          <w:szCs w:val="24"/>
          <w:lang w:eastAsia="uk-UA"/>
          <w14:ligatures w14:val="standardContextual"/>
        </w:rPr>
      </w:pPr>
      <w:r>
        <w:rPr>
          <w:rFonts w:ascii="Times New Roman" w:hAnsi="Times New Roman" w:cs="Times New Roman"/>
          <w:sz w:val="24"/>
          <w:szCs w:val="24"/>
          <w:lang w:eastAsia="uk-UA"/>
        </w:rPr>
        <w:t xml:space="preserve">             </w:t>
      </w:r>
      <w:r w:rsidR="006A09B7" w:rsidRPr="006E3FA5">
        <w:rPr>
          <w:rFonts w:ascii="Times New Roman" w:eastAsiaTheme="minorEastAsia" w:hAnsi="Times New Roman" w:cs="Times New Roman"/>
          <w:color w:val="000000"/>
          <w:sz w:val="24"/>
          <w:szCs w:val="24"/>
          <w:lang w:eastAsia="uk-UA"/>
        </w:rPr>
        <w:t>Систематичною є підвищення кваліфікації працівників при прийнятті участі у  програмах, семінарах та навчальних процесах. Зокрема, Інститутом муніципального менеджменту проведено онлайн-семінар на тему «Реорганізація (трансформація) комунальних та державних підприємств у товариства: покроковий алгоритм та основні ризики», під час якого розглядалися практичні аспекти застосування положень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обмін досвідом із шведськими колегами на тему «</w:t>
      </w:r>
      <w:r w:rsidR="006A09B7" w:rsidRPr="006E3FA5">
        <w:rPr>
          <w:rFonts w:ascii="Times New Roman" w:eastAsia="Times New Roman" w:hAnsi="Times New Roman" w:cs="Times New Roman"/>
          <w:kern w:val="2"/>
          <w:sz w:val="24"/>
          <w:szCs w:val="24"/>
          <w:lang w:eastAsia="uk-UA"/>
          <w14:ligatures w14:val="standardContextual"/>
        </w:rPr>
        <w:t>Управління в кризових умовах: досвід Тернополя у забезпеченні безпеки та життєдіяльності громади».</w:t>
      </w:r>
    </w:p>
    <w:p w:rsidR="006A09B7" w:rsidRPr="009C5BB8" w:rsidRDefault="006A09B7" w:rsidP="006A09B7">
      <w:pPr>
        <w:spacing w:after="0" w:line="240" w:lineRule="auto"/>
        <w:ind w:firstLine="709"/>
        <w:jc w:val="both"/>
        <w:rPr>
          <w:rFonts w:ascii="Times New Roman" w:eastAsiaTheme="minorEastAsia" w:hAnsi="Times New Roman" w:cs="Times New Roman"/>
          <w:color w:val="000000"/>
          <w:sz w:val="24"/>
          <w:szCs w:val="24"/>
          <w:lang w:eastAsia="uk-UA"/>
        </w:rPr>
      </w:pPr>
    </w:p>
    <w:tbl>
      <w:tblPr>
        <w:tblStyle w:val="a3"/>
        <w:tblW w:w="0" w:type="auto"/>
        <w:tblLook w:val="04A0" w:firstRow="1" w:lastRow="0" w:firstColumn="1" w:lastColumn="0" w:noHBand="0" w:noVBand="1"/>
      </w:tblPr>
      <w:tblGrid>
        <w:gridCol w:w="3209"/>
        <w:gridCol w:w="3210"/>
        <w:gridCol w:w="3210"/>
      </w:tblGrid>
      <w:tr w:rsidR="006A09B7" w:rsidRPr="009C5BB8" w:rsidTr="001C5DD4">
        <w:tc>
          <w:tcPr>
            <w:tcW w:w="3209" w:type="dxa"/>
          </w:tcPr>
          <w:p w:rsidR="006A09B7" w:rsidRPr="009C5BB8" w:rsidRDefault="006A09B7" w:rsidP="001C5DD4">
            <w:pPr>
              <w:jc w:val="both"/>
              <w:rPr>
                <w:rFonts w:ascii="Times New Roman" w:hAnsi="Times New Roman" w:cs="Times New Roman"/>
                <w:color w:val="000000"/>
                <w:sz w:val="24"/>
                <w:szCs w:val="24"/>
              </w:rPr>
            </w:pPr>
            <w:r>
              <w:rPr>
                <w:rFonts w:ascii="Times New Roman" w:hAnsi="Times New Roman" w:cs="Times New Roman"/>
                <w:color w:val="000000"/>
                <w:sz w:val="24"/>
                <w:szCs w:val="24"/>
              </w:rPr>
              <w:t>За 2024 рік взято участь</w:t>
            </w:r>
          </w:p>
        </w:tc>
        <w:tc>
          <w:tcPr>
            <w:tcW w:w="3210" w:type="dxa"/>
          </w:tcPr>
          <w:p w:rsidR="006A09B7" w:rsidRPr="009C5BB8" w:rsidRDefault="006A09B7" w:rsidP="001C5DD4">
            <w:pPr>
              <w:jc w:val="both"/>
              <w:rPr>
                <w:rFonts w:ascii="Times New Roman" w:hAnsi="Times New Roman" w:cs="Times New Roman"/>
                <w:color w:val="000000"/>
                <w:sz w:val="24"/>
                <w:szCs w:val="24"/>
              </w:rPr>
            </w:pPr>
            <w:r w:rsidRPr="009C5BB8">
              <w:rPr>
                <w:rFonts w:ascii="Times New Roman" w:hAnsi="Times New Roman" w:cs="Times New Roman"/>
                <w:color w:val="000000"/>
                <w:sz w:val="24"/>
                <w:szCs w:val="24"/>
              </w:rPr>
              <w:t>За</w:t>
            </w:r>
            <w:r>
              <w:rPr>
                <w:rFonts w:ascii="Times New Roman" w:hAnsi="Times New Roman" w:cs="Times New Roman"/>
                <w:color w:val="000000"/>
                <w:sz w:val="24"/>
                <w:szCs w:val="24"/>
              </w:rPr>
              <w:t xml:space="preserve"> 10 місяців</w:t>
            </w:r>
            <w:r w:rsidRPr="009C5BB8">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4 року</w:t>
            </w:r>
          </w:p>
        </w:tc>
        <w:tc>
          <w:tcPr>
            <w:tcW w:w="3210" w:type="dxa"/>
          </w:tcPr>
          <w:p w:rsidR="006A09B7" w:rsidRPr="009C5BB8" w:rsidRDefault="006A09B7" w:rsidP="001C5DD4">
            <w:pPr>
              <w:jc w:val="both"/>
              <w:rPr>
                <w:rFonts w:ascii="Times New Roman" w:hAnsi="Times New Roman" w:cs="Times New Roman"/>
                <w:color w:val="000000"/>
                <w:sz w:val="24"/>
                <w:szCs w:val="24"/>
              </w:rPr>
            </w:pPr>
            <w:r w:rsidRPr="009C5BB8">
              <w:rPr>
                <w:rFonts w:ascii="Times New Roman" w:hAnsi="Times New Roman" w:cs="Times New Roman"/>
                <w:color w:val="000000"/>
                <w:sz w:val="24"/>
                <w:szCs w:val="24"/>
              </w:rPr>
              <w:t>За 10 місяців 202</w:t>
            </w:r>
            <w:r>
              <w:rPr>
                <w:rFonts w:ascii="Times New Roman" w:hAnsi="Times New Roman" w:cs="Times New Roman"/>
                <w:color w:val="000000"/>
                <w:sz w:val="24"/>
                <w:szCs w:val="24"/>
              </w:rPr>
              <w:t>5 року</w:t>
            </w:r>
          </w:p>
        </w:tc>
      </w:tr>
      <w:tr w:rsidR="006A09B7" w:rsidRPr="009C5BB8" w:rsidTr="001C5DD4">
        <w:trPr>
          <w:trHeight w:val="132"/>
        </w:trPr>
        <w:tc>
          <w:tcPr>
            <w:tcW w:w="3209" w:type="dxa"/>
          </w:tcPr>
          <w:p w:rsidR="006A09B7" w:rsidRPr="009C5BB8" w:rsidRDefault="006A09B7" w:rsidP="001C5DD4">
            <w:pPr>
              <w:jc w:val="both"/>
              <w:rPr>
                <w:rFonts w:ascii="Times New Roman" w:hAnsi="Times New Roman" w:cs="Times New Roman"/>
                <w:color w:val="000000"/>
                <w:sz w:val="24"/>
                <w:szCs w:val="24"/>
              </w:rPr>
            </w:pPr>
            <w:r>
              <w:rPr>
                <w:rFonts w:ascii="Times New Roman" w:hAnsi="Times New Roman" w:cs="Times New Roman"/>
                <w:color w:val="000000"/>
                <w:sz w:val="24"/>
                <w:szCs w:val="24"/>
              </w:rPr>
              <w:t>10 семінарах</w:t>
            </w:r>
          </w:p>
        </w:tc>
        <w:tc>
          <w:tcPr>
            <w:tcW w:w="3210" w:type="dxa"/>
          </w:tcPr>
          <w:p w:rsidR="006A09B7" w:rsidRPr="009C5BB8" w:rsidRDefault="006A09B7" w:rsidP="001C5DD4">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210" w:type="dxa"/>
          </w:tcPr>
          <w:p w:rsidR="006A09B7" w:rsidRPr="009C5BB8" w:rsidRDefault="006A09B7" w:rsidP="001C5DD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w:t>
            </w:r>
          </w:p>
        </w:tc>
      </w:tr>
    </w:tbl>
    <w:p w:rsidR="006A09B7" w:rsidRPr="009C5BB8" w:rsidRDefault="006A09B7" w:rsidP="006A09B7">
      <w:pPr>
        <w:spacing w:after="0" w:line="240" w:lineRule="auto"/>
        <w:ind w:firstLine="709"/>
        <w:jc w:val="both"/>
        <w:rPr>
          <w:rFonts w:ascii="Times New Roman" w:eastAsiaTheme="minorEastAsia" w:hAnsi="Times New Roman" w:cs="Times New Roman"/>
          <w:color w:val="000000"/>
          <w:sz w:val="24"/>
          <w:szCs w:val="24"/>
          <w:lang w:eastAsia="uk-UA"/>
        </w:rPr>
      </w:pPr>
    </w:p>
    <w:p w:rsidR="006A09B7" w:rsidRPr="009C5BB8" w:rsidRDefault="006A09B7" w:rsidP="006A09B7">
      <w:pPr>
        <w:spacing w:after="0" w:line="240" w:lineRule="auto"/>
        <w:ind w:firstLine="709"/>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color w:val="000000"/>
          <w:sz w:val="24"/>
          <w:szCs w:val="24"/>
          <w:lang w:eastAsia="uk-UA"/>
        </w:rPr>
        <w:t>Постійним є юридичний супровід перевірок, процесуальних дій в кримінальних справах контролюючих та правоохоронних органів в структурних підрозділах, комунальних підприємствах, установах.</w:t>
      </w:r>
      <w:r w:rsidRPr="009C5BB8">
        <w:rPr>
          <w:rFonts w:ascii="Times New Roman" w:eastAsiaTheme="minorEastAsia" w:hAnsi="Times New Roman" w:cs="Times New Roman"/>
          <w:i/>
          <w:sz w:val="24"/>
          <w:szCs w:val="24"/>
          <w:lang w:eastAsia="uk-UA"/>
        </w:rPr>
        <w:t xml:space="preserve"> </w:t>
      </w: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00FB60C0">
        <w:rPr>
          <w:rFonts w:ascii="Times New Roman" w:eastAsia="Times New Roman" w:hAnsi="Times New Roman" w:cs="Times New Roman"/>
          <w:color w:val="000000"/>
          <w:sz w:val="24"/>
          <w:szCs w:val="24"/>
          <w:lang w:eastAsia="uk-UA"/>
        </w:rPr>
        <w:t xml:space="preserve">     </w:t>
      </w:r>
      <w:bookmarkStart w:id="1" w:name="_GoBack"/>
      <w:bookmarkEnd w:id="1"/>
      <w:r>
        <w:rPr>
          <w:rFonts w:ascii="Times New Roman" w:eastAsia="Times New Roman" w:hAnsi="Times New Roman" w:cs="Times New Roman"/>
          <w:color w:val="000000"/>
          <w:sz w:val="24"/>
          <w:szCs w:val="24"/>
          <w:lang w:eastAsia="uk-UA"/>
        </w:rPr>
        <w:t xml:space="preserve">  6</w:t>
      </w:r>
    </w:p>
    <w:p w:rsidR="00086F1F" w:rsidRDefault="00086F1F"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6A09B7" w:rsidRPr="009C5BB8" w:rsidRDefault="006A09B7" w:rsidP="006A09B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9C5BB8">
        <w:rPr>
          <w:rFonts w:ascii="Times New Roman" w:eastAsia="Times New Roman" w:hAnsi="Times New Roman" w:cs="Times New Roman"/>
          <w:color w:val="000000"/>
          <w:sz w:val="24"/>
          <w:szCs w:val="24"/>
          <w:lang w:eastAsia="uk-UA"/>
        </w:rPr>
        <w:t>На виконання Закону України «Про запобігання корупції», у відповідності до приписів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затвердженого постановою Кабінету Міністрів України від 13.06.2000 року № 950, в редакції постанови Кабінету Міністрів України від 13.09.2017 року № 691, з метою належного розслідування порушень працівниками Тернопільської міської ради вимог антикорупційного законодавства України та належного реагування, працівники управління приймають участь в роботі постійно діючої комісії Тернопільської міської ради з проведення службових розслідувань порушень антикорупційного законодавства України працівниками міської ради.</w:t>
      </w:r>
    </w:p>
    <w:p w:rsidR="006A09B7" w:rsidRPr="009C5BB8" w:rsidRDefault="006A09B7" w:rsidP="006A09B7">
      <w:pPr>
        <w:spacing w:after="0" w:line="240" w:lineRule="auto"/>
        <w:ind w:firstLine="709"/>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Працівниками управління правового забезпечення вживаються належні заходи  з приводу розгляду подань Південно-західного відділення міжобласного територіального відділення антимонопольного комітету України щодо дотримання законодавства по захисту економічної конкуренції у вигляді антиконкурентних дій органів місцевого самоврядування.</w:t>
      </w:r>
    </w:p>
    <w:p w:rsidR="006A09B7" w:rsidRPr="009C5BB8" w:rsidRDefault="006A09B7" w:rsidP="006A09B7">
      <w:pPr>
        <w:spacing w:after="0" w:line="240" w:lineRule="auto"/>
        <w:ind w:firstLine="709"/>
        <w:jc w:val="both"/>
        <w:rPr>
          <w:rFonts w:ascii="Times New Roman" w:eastAsiaTheme="minorEastAsia" w:hAnsi="Times New Roman" w:cs="Times New Roman"/>
          <w:color w:val="000000"/>
          <w:sz w:val="24"/>
          <w:szCs w:val="24"/>
          <w:lang w:eastAsia="uk-UA"/>
        </w:rPr>
      </w:pPr>
      <w:r w:rsidRPr="009C5BB8">
        <w:rPr>
          <w:rFonts w:ascii="Times New Roman" w:eastAsiaTheme="minorEastAsia" w:hAnsi="Times New Roman" w:cs="Times New Roman"/>
          <w:color w:val="000000"/>
          <w:sz w:val="24"/>
          <w:szCs w:val="24"/>
          <w:lang w:eastAsia="uk-UA"/>
        </w:rPr>
        <w:t>Систематичною є прийняття участі в роботі постійних депутатських комісій ради,  розгляд депутатських звернень, доручень, тощо.</w:t>
      </w: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Щорічно на базі управління проходять стажування, навчальну та виробничі практики студенти вищих навчальних закладів України за спеціальністю правознавство.</w:t>
      </w:r>
    </w:p>
    <w:p w:rsidR="006A09B7" w:rsidRPr="009C5BB8" w:rsidRDefault="006A09B7" w:rsidP="006A09B7">
      <w:pPr>
        <w:widowControl w:val="0"/>
        <w:suppressAutoHyphens/>
        <w:spacing w:after="0" w:line="240" w:lineRule="auto"/>
        <w:ind w:firstLine="720"/>
        <w:jc w:val="both"/>
        <w:rPr>
          <w:rFonts w:ascii="Times New Roman" w:eastAsiaTheme="minorEastAsia" w:hAnsi="Times New Roman" w:cs="Times New Roman"/>
          <w:color w:val="000000"/>
          <w:sz w:val="24"/>
          <w:szCs w:val="24"/>
          <w:lang w:eastAsia="uk-UA"/>
        </w:rPr>
      </w:pPr>
      <w:r w:rsidRPr="009C5BB8">
        <w:rPr>
          <w:rFonts w:ascii="Times New Roman" w:eastAsiaTheme="minorEastAsia" w:hAnsi="Times New Roman" w:cs="Times New Roman"/>
          <w:color w:val="000000"/>
          <w:sz w:val="24"/>
          <w:szCs w:val="24"/>
          <w:lang w:eastAsia="uk-UA"/>
        </w:rPr>
        <w:t>Управлінням правового забезпечення здійснюється координація роботи юридичних служб та юристів структурних підрозділів міської ради, а також супровід юридичних аспектів діяльності комунальних підприємств.</w:t>
      </w:r>
    </w:p>
    <w:p w:rsidR="006A09B7" w:rsidRPr="009C5BB8"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p>
    <w:p w:rsidR="006A09B7" w:rsidRPr="009C5BB8" w:rsidRDefault="006A09B7" w:rsidP="006A09B7">
      <w:pPr>
        <w:widowControl w:val="0"/>
        <w:suppressAutoHyphens/>
        <w:spacing w:after="0" w:line="240" w:lineRule="auto"/>
        <w:ind w:firstLine="360"/>
        <w:jc w:val="both"/>
        <w:rPr>
          <w:rFonts w:ascii="Times New Roman" w:eastAsiaTheme="minorEastAsia" w:hAnsi="Times New Roman" w:cs="Times New Roman"/>
          <w:sz w:val="24"/>
          <w:szCs w:val="24"/>
          <w:lang w:eastAsia="uk-UA"/>
        </w:rPr>
      </w:pPr>
    </w:p>
    <w:p w:rsidR="006A09B7" w:rsidRPr="009C5BB8" w:rsidRDefault="006A09B7" w:rsidP="006A09B7">
      <w:pPr>
        <w:spacing w:after="0" w:line="240" w:lineRule="auto"/>
        <w:rPr>
          <w:rFonts w:ascii="Times New Roman" w:eastAsiaTheme="minorEastAsia" w:hAnsi="Times New Roman" w:cs="Times New Roman"/>
          <w:sz w:val="24"/>
          <w:szCs w:val="24"/>
          <w:lang w:eastAsia="uk-UA"/>
        </w:rPr>
      </w:pPr>
      <w:r w:rsidRPr="009C5BB8">
        <w:rPr>
          <w:rFonts w:ascii="Times New Roman" w:eastAsiaTheme="minorEastAsia" w:hAnsi="Times New Roman" w:cs="Times New Roman"/>
          <w:sz w:val="24"/>
          <w:szCs w:val="24"/>
          <w:lang w:eastAsia="uk-UA"/>
        </w:rPr>
        <w:t>Міський голова</w:t>
      </w:r>
      <w:r w:rsidRPr="009C5BB8">
        <w:rPr>
          <w:rFonts w:ascii="Times New Roman" w:eastAsiaTheme="minorEastAsia" w:hAnsi="Times New Roman" w:cs="Times New Roman"/>
          <w:sz w:val="24"/>
          <w:szCs w:val="24"/>
          <w:lang w:eastAsia="uk-UA"/>
        </w:rPr>
        <w:tab/>
      </w:r>
      <w:r w:rsidRPr="009C5BB8">
        <w:rPr>
          <w:rFonts w:ascii="Times New Roman" w:eastAsiaTheme="minorEastAsia" w:hAnsi="Times New Roman" w:cs="Times New Roman"/>
          <w:sz w:val="24"/>
          <w:szCs w:val="24"/>
          <w:lang w:eastAsia="uk-UA"/>
        </w:rPr>
        <w:tab/>
      </w:r>
      <w:r w:rsidRPr="009C5BB8">
        <w:rPr>
          <w:rFonts w:ascii="Times New Roman" w:eastAsiaTheme="minorEastAsia" w:hAnsi="Times New Roman" w:cs="Times New Roman"/>
          <w:sz w:val="24"/>
          <w:szCs w:val="24"/>
          <w:lang w:eastAsia="uk-UA"/>
        </w:rPr>
        <w:tab/>
      </w:r>
      <w:r w:rsidRPr="009C5BB8">
        <w:rPr>
          <w:rFonts w:ascii="Times New Roman" w:eastAsiaTheme="minorEastAsia" w:hAnsi="Times New Roman" w:cs="Times New Roman"/>
          <w:sz w:val="24"/>
          <w:szCs w:val="24"/>
          <w:lang w:eastAsia="uk-UA"/>
        </w:rPr>
        <w:tab/>
      </w:r>
      <w:r w:rsidRPr="009C5BB8">
        <w:rPr>
          <w:rFonts w:ascii="Times New Roman" w:eastAsiaTheme="minorEastAsia" w:hAnsi="Times New Roman" w:cs="Times New Roman"/>
          <w:sz w:val="24"/>
          <w:szCs w:val="24"/>
          <w:lang w:eastAsia="uk-UA"/>
        </w:rPr>
        <w:tab/>
        <w:t xml:space="preserve">              </w:t>
      </w:r>
      <w:r w:rsidRPr="009C5BB8">
        <w:rPr>
          <w:rFonts w:ascii="Times New Roman" w:eastAsiaTheme="minorEastAsia" w:hAnsi="Times New Roman" w:cs="Times New Roman"/>
          <w:sz w:val="24"/>
          <w:szCs w:val="24"/>
          <w:lang w:eastAsia="uk-UA"/>
        </w:rPr>
        <w:tab/>
      </w:r>
      <w:r w:rsidRPr="009C5BB8">
        <w:rPr>
          <w:rFonts w:ascii="Times New Roman" w:eastAsiaTheme="minorEastAsia" w:hAnsi="Times New Roman" w:cs="Times New Roman"/>
          <w:sz w:val="24"/>
          <w:szCs w:val="24"/>
          <w:lang w:eastAsia="uk-UA"/>
        </w:rPr>
        <w:tab/>
      </w:r>
      <w:r w:rsidRPr="009C5BB8">
        <w:rPr>
          <w:rFonts w:ascii="Times New Roman" w:eastAsiaTheme="minorEastAsia" w:hAnsi="Times New Roman" w:cs="Times New Roman"/>
          <w:sz w:val="24"/>
          <w:szCs w:val="24"/>
          <w:lang w:eastAsia="uk-UA"/>
        </w:rPr>
        <w:tab/>
        <w:t>Сергій НАДАЛ</w:t>
      </w:r>
    </w:p>
    <w:p w:rsidR="006A09B7" w:rsidRPr="009C5BB8" w:rsidRDefault="006A09B7" w:rsidP="006A09B7">
      <w:pPr>
        <w:spacing w:after="0" w:line="240" w:lineRule="auto"/>
        <w:rPr>
          <w:rFonts w:ascii="Times New Roman" w:eastAsiaTheme="minorEastAsia" w:hAnsi="Times New Roman" w:cs="Times New Roman"/>
          <w:sz w:val="24"/>
          <w:szCs w:val="24"/>
          <w:lang w:eastAsia="uk-UA"/>
        </w:rPr>
      </w:pPr>
    </w:p>
    <w:p w:rsidR="006A09B7" w:rsidRPr="009C5BB8" w:rsidRDefault="006A09B7" w:rsidP="006A09B7">
      <w:pPr>
        <w:spacing w:after="0" w:line="240" w:lineRule="auto"/>
        <w:rPr>
          <w:rFonts w:ascii="Times New Roman" w:eastAsiaTheme="minorEastAsia" w:hAnsi="Times New Roman" w:cs="Times New Roman"/>
          <w:sz w:val="24"/>
          <w:szCs w:val="24"/>
          <w:lang w:eastAsia="uk-UA"/>
        </w:rPr>
      </w:pPr>
    </w:p>
    <w:p w:rsidR="006A09B7" w:rsidRDefault="006A09B7" w:rsidP="006A09B7"/>
    <w:p w:rsidR="000D49C5" w:rsidRDefault="000D49C5"/>
    <w:sectPr w:rsidR="000D49C5" w:rsidSect="00086F1F">
      <w:pgSz w:w="11906" w:h="16838"/>
      <w:pgMar w:top="850" w:right="850" w:bottom="850"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C03" w:rsidRDefault="00293C03" w:rsidP="00086F1F">
      <w:pPr>
        <w:spacing w:after="0" w:line="240" w:lineRule="auto"/>
      </w:pPr>
      <w:r>
        <w:separator/>
      </w:r>
    </w:p>
  </w:endnote>
  <w:endnote w:type="continuationSeparator" w:id="0">
    <w:p w:rsidR="00293C03" w:rsidRDefault="00293C03" w:rsidP="0008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C03" w:rsidRDefault="00293C03" w:rsidP="00086F1F">
      <w:pPr>
        <w:spacing w:after="0" w:line="240" w:lineRule="auto"/>
      </w:pPr>
      <w:r>
        <w:separator/>
      </w:r>
    </w:p>
  </w:footnote>
  <w:footnote w:type="continuationSeparator" w:id="0">
    <w:p w:rsidR="00293C03" w:rsidRDefault="00293C03" w:rsidP="00086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8257F"/>
    <w:multiLevelType w:val="hybridMultilevel"/>
    <w:tmpl w:val="392A69DE"/>
    <w:lvl w:ilvl="0" w:tplc="7626EA9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17"/>
    <w:rsid w:val="00086F1F"/>
    <w:rsid w:val="000D49C5"/>
    <w:rsid w:val="00293C03"/>
    <w:rsid w:val="00556917"/>
    <w:rsid w:val="006A09B7"/>
    <w:rsid w:val="00FB60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A8950"/>
  <w15:chartTrackingRefBased/>
  <w15:docId w15:val="{D45CB447-14AD-445B-BF77-B342D0EE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9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9B7"/>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A09B7"/>
    <w:pPr>
      <w:spacing w:after="0" w:line="240" w:lineRule="auto"/>
    </w:pPr>
  </w:style>
  <w:style w:type="paragraph" w:styleId="a5">
    <w:name w:val="List Paragraph"/>
    <w:basedOn w:val="a"/>
    <w:uiPriority w:val="34"/>
    <w:qFormat/>
    <w:rsid w:val="006A09B7"/>
    <w:pPr>
      <w:ind w:left="720"/>
      <w:contextualSpacing/>
    </w:pPr>
  </w:style>
  <w:style w:type="paragraph" w:styleId="a6">
    <w:name w:val="header"/>
    <w:basedOn w:val="a"/>
    <w:link w:val="a7"/>
    <w:uiPriority w:val="99"/>
    <w:unhideWhenUsed/>
    <w:rsid w:val="00086F1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086F1F"/>
  </w:style>
  <w:style w:type="paragraph" w:styleId="a8">
    <w:name w:val="footer"/>
    <w:basedOn w:val="a"/>
    <w:link w:val="a9"/>
    <w:uiPriority w:val="99"/>
    <w:unhideWhenUsed/>
    <w:rsid w:val="00086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8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6ABF-C213-48C2-A96F-D62ED89D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11025</Words>
  <Characters>6285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d04-Charnosh</dc:creator>
  <cp:keywords/>
  <dc:description/>
  <cp:lastModifiedBy>d04-Charnosh</cp:lastModifiedBy>
  <cp:revision>4</cp:revision>
  <dcterms:created xsi:type="dcterms:W3CDTF">2025-11-06T12:45:00Z</dcterms:created>
  <dcterms:modified xsi:type="dcterms:W3CDTF">2025-11-07T08:19:00Z</dcterms:modified>
</cp:coreProperties>
</file>