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43D4F1BC" w:rsidR="009C23AD" w:rsidRDefault="009F1BD4"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9C23AD" w:rsidRPr="00B331BB">
        <w:rPr>
          <w:rFonts w:ascii="Times New Roman" w:hAnsi="Times New Roman" w:cs="Times New Roman"/>
          <w:sz w:val="24"/>
          <w:szCs w:val="24"/>
        </w:rPr>
        <w:t>итан</w:t>
      </w:r>
      <w:r>
        <w:rPr>
          <w:rFonts w:ascii="Times New Roman" w:hAnsi="Times New Roman" w:cs="Times New Roman"/>
          <w:sz w:val="24"/>
          <w:szCs w:val="24"/>
        </w:rPr>
        <w:t>ня</w:t>
      </w:r>
      <w:r w:rsidR="009C23AD"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9C23AD"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552CE2EB" w14:textId="77777777" w:rsidR="00CA771A" w:rsidRDefault="00CA771A" w:rsidP="009C23AD">
      <w:pPr>
        <w:tabs>
          <w:tab w:val="left" w:pos="5790"/>
        </w:tabs>
        <w:spacing w:after="0" w:line="240" w:lineRule="auto"/>
        <w:ind w:firstLine="709"/>
        <w:jc w:val="both"/>
        <w:rPr>
          <w:rFonts w:ascii="Times New Roman" w:hAnsi="Times New Roman" w:cs="Times New Roman"/>
          <w:bCs/>
          <w:sz w:val="24"/>
          <w:szCs w:val="24"/>
        </w:rPr>
      </w:pPr>
    </w:p>
    <w:p w14:paraId="40F47399" w14:textId="77777777" w:rsidR="00CA771A" w:rsidRDefault="00CA771A"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67"/>
        <w:gridCol w:w="8704"/>
      </w:tblGrid>
      <w:tr w:rsidR="00CA771A" w14:paraId="1712A598" w14:textId="77777777" w:rsidTr="00CA771A">
        <w:tc>
          <w:tcPr>
            <w:tcW w:w="453" w:type="pct"/>
            <w:tcBorders>
              <w:top w:val="single" w:sz="4" w:space="0" w:color="auto"/>
              <w:left w:val="single" w:sz="4" w:space="0" w:color="auto"/>
              <w:bottom w:val="single" w:sz="4" w:space="0" w:color="auto"/>
              <w:right w:val="single" w:sz="4" w:space="0" w:color="auto"/>
            </w:tcBorders>
            <w:vAlign w:val="center"/>
            <w:hideMark/>
          </w:tcPr>
          <w:p w14:paraId="18819CF8" w14:textId="77777777" w:rsidR="00CA771A" w:rsidRDefault="00CA771A">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w:t>
            </w:r>
          </w:p>
          <w:p w14:paraId="3F6F8D51" w14:textId="77777777" w:rsidR="00CA771A" w:rsidRDefault="00CA771A">
            <w:pPr>
              <w:tabs>
                <w:tab w:val="left" w:pos="2385"/>
              </w:tabs>
              <w:jc w:val="center"/>
              <w:rPr>
                <w:rFonts w:ascii="Times New Roman" w:hAnsi="Times New Roman" w:cs="Times New Roman"/>
                <w:b/>
                <w:bCs/>
                <w:sz w:val="24"/>
                <w:szCs w:val="24"/>
              </w:rPr>
            </w:pPr>
            <w:r>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358D313F" w14:textId="74CB5629" w:rsidR="00CA771A" w:rsidRDefault="00CA771A">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 xml:space="preserve">Назва </w:t>
            </w:r>
            <w:r w:rsidR="00E4380E">
              <w:rPr>
                <w:rFonts w:ascii="Times New Roman" w:eastAsia="Times New Roman" w:hAnsi="Times New Roman" w:cs="Times New Roman"/>
                <w:b/>
                <w:bCs/>
                <w:position w:val="-1"/>
                <w:sz w:val="24"/>
                <w:szCs w:val="24"/>
                <w:lang w:eastAsia="en-GB"/>
              </w:rPr>
              <w:t xml:space="preserve">проєкту рішення </w:t>
            </w:r>
          </w:p>
          <w:p w14:paraId="04A7090B" w14:textId="77777777" w:rsidR="00CA771A" w:rsidRDefault="00CA771A">
            <w:pPr>
              <w:tabs>
                <w:tab w:val="left" w:pos="2385"/>
              </w:tabs>
              <w:ind w:firstLine="708"/>
              <w:jc w:val="center"/>
              <w:rPr>
                <w:rFonts w:ascii="Times New Roman" w:hAnsi="Times New Roman" w:cs="Times New Roman"/>
                <w:b/>
                <w:bCs/>
                <w:sz w:val="24"/>
                <w:szCs w:val="24"/>
              </w:rPr>
            </w:pPr>
          </w:p>
        </w:tc>
      </w:tr>
      <w:tr w:rsidR="00CA771A" w14:paraId="58659F3A" w14:textId="77777777" w:rsidTr="00CA771A">
        <w:tc>
          <w:tcPr>
            <w:tcW w:w="453" w:type="pct"/>
            <w:tcBorders>
              <w:top w:val="single" w:sz="4" w:space="0" w:color="auto"/>
              <w:left w:val="single" w:sz="4" w:space="0" w:color="auto"/>
              <w:bottom w:val="single" w:sz="4" w:space="0" w:color="auto"/>
              <w:right w:val="single" w:sz="4" w:space="0" w:color="auto"/>
            </w:tcBorders>
            <w:vAlign w:val="center"/>
          </w:tcPr>
          <w:p w14:paraId="41676D58" w14:textId="77777777" w:rsidR="00CA771A" w:rsidRDefault="00CA771A" w:rsidP="00CA771A">
            <w:pPr>
              <w:pStyle w:val="a4"/>
              <w:keepNext/>
              <w:numPr>
                <w:ilvl w:val="0"/>
                <w:numId w:val="15"/>
              </w:numPr>
              <w:suppressAutoHyphens/>
              <w:spacing w:before="0" w:beforeAutospacing="0" w:after="0" w:afterAutospacing="0"/>
              <w:contextualSpacing/>
              <w:textAlignment w:val="top"/>
              <w:outlineLvl w:val="0"/>
              <w:rPr>
                <w:position w:val="-1"/>
                <w:lang w:eastAsia="en-GB"/>
              </w:rPr>
            </w:pPr>
          </w:p>
        </w:tc>
        <w:tc>
          <w:tcPr>
            <w:tcW w:w="4547" w:type="pct"/>
            <w:tcBorders>
              <w:top w:val="single" w:sz="4" w:space="0" w:color="auto"/>
              <w:left w:val="single" w:sz="4" w:space="0" w:color="auto"/>
              <w:bottom w:val="single" w:sz="4" w:space="0" w:color="auto"/>
              <w:right w:val="single" w:sz="4" w:space="0" w:color="auto"/>
            </w:tcBorders>
            <w:hideMark/>
          </w:tcPr>
          <w:p w14:paraId="37DA9A7E" w14:textId="33B8DC8F" w:rsidR="00CA771A" w:rsidRDefault="00E4380E">
            <w:pPr>
              <w:keepNext/>
              <w:suppressAutoHyphens/>
              <w:ind w:leftChars="-1" w:hangingChars="1" w:hanging="2"/>
              <w:jc w:val="both"/>
              <w:textAlignment w:val="top"/>
              <w:outlineLvl w:val="0"/>
              <w:rPr>
                <w:rFonts w:ascii="Times New Roman" w:hAnsi="Times New Roman" w:cs="Times New Roman"/>
                <w:sz w:val="24"/>
                <w:szCs w:val="24"/>
              </w:rPr>
            </w:pPr>
            <w:r w:rsidRPr="00E4380E">
              <w:rPr>
                <w:rFonts w:ascii="Times New Roman" w:hAnsi="Times New Roman" w:cs="Times New Roman"/>
                <w:sz w:val="24"/>
                <w:szCs w:val="24"/>
              </w:rPr>
              <w:t>Про внесення змін до рішення виконавчого комітету від 12.02.2025 №177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tc>
      </w:tr>
    </w:tbl>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sectPr w:rsidR="009C23AD" w:rsidRPr="00B331BB"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3B5C" w14:textId="77777777" w:rsidR="00E14FA4" w:rsidRDefault="00E14FA4" w:rsidP="009C7DA1">
      <w:pPr>
        <w:spacing w:after="0" w:line="240" w:lineRule="auto"/>
      </w:pPr>
      <w:r>
        <w:separator/>
      </w:r>
    </w:p>
  </w:endnote>
  <w:endnote w:type="continuationSeparator" w:id="0">
    <w:p w14:paraId="156D5FC0" w14:textId="77777777" w:rsidR="00E14FA4" w:rsidRDefault="00E14FA4"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AE21" w14:textId="77777777" w:rsidR="00E14FA4" w:rsidRDefault="00E14FA4" w:rsidP="009C7DA1">
      <w:pPr>
        <w:spacing w:after="0" w:line="240" w:lineRule="auto"/>
      </w:pPr>
      <w:r>
        <w:separator/>
      </w:r>
    </w:p>
  </w:footnote>
  <w:footnote w:type="continuationSeparator" w:id="0">
    <w:p w14:paraId="42117849" w14:textId="77777777" w:rsidR="00E14FA4" w:rsidRDefault="00E14FA4"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1"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8"/>
  </w:num>
  <w:num w:numId="2" w16cid:durableId="1651053592">
    <w:abstractNumId w:val="3"/>
  </w:num>
  <w:num w:numId="3" w16cid:durableId="862671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5"/>
  </w:num>
  <w:num w:numId="5" w16cid:durableId="2044597081">
    <w:abstractNumId w:val="12"/>
  </w:num>
  <w:num w:numId="6" w16cid:durableId="1874423298">
    <w:abstractNumId w:val="6"/>
  </w:num>
  <w:num w:numId="7" w16cid:durableId="1851985056">
    <w:abstractNumId w:val="9"/>
  </w:num>
  <w:num w:numId="8" w16cid:durableId="1003313534">
    <w:abstractNumId w:val="10"/>
  </w:num>
  <w:num w:numId="9" w16cid:durableId="382564231">
    <w:abstractNumId w:val="11"/>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96933">
    <w:abstractNumId w:val="4"/>
  </w:num>
  <w:num w:numId="15" w16cid:durableId="1149902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248B8"/>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1BD4"/>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B3002"/>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A771A"/>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14FA4"/>
    <w:rsid w:val="00E22F96"/>
    <w:rsid w:val="00E26385"/>
    <w:rsid w:val="00E26A3B"/>
    <w:rsid w:val="00E34BA8"/>
    <w:rsid w:val="00E363F5"/>
    <w:rsid w:val="00E37E54"/>
    <w:rsid w:val="00E4380E"/>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730798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296</Words>
  <Characters>170</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41</cp:revision>
  <cp:lastPrinted>2024-05-27T07:48:00Z</cp:lastPrinted>
  <dcterms:created xsi:type="dcterms:W3CDTF">2021-10-25T05:11:00Z</dcterms:created>
  <dcterms:modified xsi:type="dcterms:W3CDTF">2025-06-19T13:39:00Z</dcterms:modified>
</cp:coreProperties>
</file>