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8980DA5" w14:textId="41E89CED" w:rsidR="006346C7" w:rsidRPr="005E40E7" w:rsidRDefault="00243B7A" w:rsidP="008C53BB">
      <w:pPr>
        <w:pStyle w:val="a5"/>
        <w:ind w:left="-142" w:right="283" w:firstLine="709"/>
        <w:jc w:val="both"/>
      </w:pPr>
      <w:r>
        <w:t>П</w:t>
      </w:r>
      <w:r w:rsidR="002C01C8" w:rsidRPr="005E40E7">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209"/>
      </w:tblGrid>
      <w:tr w:rsidR="000E06CD" w:rsidRPr="008876E4"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8876E4" w:rsidRDefault="005E40E7" w:rsidP="008876E4">
            <w:pPr>
              <w:rPr>
                <w:b/>
                <w:bCs/>
                <w:position w:val="-1"/>
                <w:sz w:val="24"/>
                <w:szCs w:val="24"/>
              </w:rPr>
            </w:pPr>
            <w:r w:rsidRPr="008876E4">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78F15ABE" w:rsidR="00732CCD" w:rsidRPr="008876E4" w:rsidRDefault="00732CCD" w:rsidP="002F0734">
            <w:pPr>
              <w:jc w:val="center"/>
              <w:rPr>
                <w:b/>
                <w:bCs/>
                <w:position w:val="-1"/>
                <w:sz w:val="24"/>
                <w:szCs w:val="24"/>
              </w:rPr>
            </w:pPr>
            <w:r w:rsidRPr="008876E4">
              <w:rPr>
                <w:b/>
                <w:bCs/>
                <w:position w:val="-1"/>
                <w:sz w:val="24"/>
                <w:szCs w:val="24"/>
              </w:rPr>
              <w:t xml:space="preserve">Назва </w:t>
            </w:r>
            <w:r w:rsidR="00EA6C4A" w:rsidRPr="008876E4">
              <w:rPr>
                <w:b/>
                <w:bCs/>
                <w:position w:val="-1"/>
                <w:sz w:val="24"/>
                <w:szCs w:val="24"/>
              </w:rPr>
              <w:t>проєкту рішення</w:t>
            </w:r>
          </w:p>
          <w:p w14:paraId="06639D18" w14:textId="77777777" w:rsidR="00E94C38" w:rsidRPr="008876E4" w:rsidRDefault="00E94C38" w:rsidP="002F0734">
            <w:pPr>
              <w:jc w:val="center"/>
              <w:rPr>
                <w:b/>
                <w:bCs/>
                <w:position w:val="-1"/>
                <w:sz w:val="24"/>
                <w:szCs w:val="24"/>
              </w:rPr>
            </w:pPr>
          </w:p>
          <w:p w14:paraId="4E7302A1" w14:textId="67A9A8A0" w:rsidR="00732CCD" w:rsidRPr="008876E4" w:rsidRDefault="00732CCD" w:rsidP="002F0734">
            <w:pPr>
              <w:jc w:val="center"/>
              <w:rPr>
                <w:b/>
                <w:bCs/>
                <w:sz w:val="24"/>
                <w:szCs w:val="24"/>
              </w:rPr>
            </w:pPr>
          </w:p>
        </w:tc>
      </w:tr>
      <w:tr w:rsidR="008876E4" w:rsidRPr="000E06CD" w14:paraId="01C0B2CA" w14:textId="77777777" w:rsidTr="00B32747">
        <w:tc>
          <w:tcPr>
            <w:tcW w:w="443" w:type="pct"/>
            <w:tcBorders>
              <w:top w:val="single" w:sz="4" w:space="0" w:color="auto"/>
              <w:left w:val="single" w:sz="4" w:space="0" w:color="auto"/>
              <w:bottom w:val="single" w:sz="4" w:space="0" w:color="auto"/>
              <w:right w:val="single" w:sz="4" w:space="0" w:color="auto"/>
            </w:tcBorders>
          </w:tcPr>
          <w:p w14:paraId="7CAE26ED" w14:textId="77777777" w:rsidR="008876E4" w:rsidRPr="008876E4" w:rsidRDefault="008876E4" w:rsidP="008876E4">
            <w:pPr>
              <w:pStyle w:val="af3"/>
              <w:numPr>
                <w:ilvl w:val="0"/>
                <w:numId w:val="10"/>
              </w:numPr>
              <w:jc w:val="center"/>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40185D51" w14:textId="4965D89B" w:rsidR="008876E4" w:rsidRPr="000E06CD" w:rsidRDefault="008876E4" w:rsidP="008876E4">
            <w:pPr>
              <w:jc w:val="both"/>
              <w:rPr>
                <w:b/>
                <w:bCs/>
                <w:position w:val="-1"/>
                <w:sz w:val="24"/>
                <w:szCs w:val="24"/>
              </w:rPr>
            </w:pPr>
            <w:r w:rsidRPr="000E06CD">
              <w:rPr>
                <w:bCs/>
                <w:sz w:val="24"/>
                <w:szCs w:val="24"/>
              </w:rPr>
              <w:t>Про затвердження Програми співпраці Тернопільської міської ради та Тернопільської митниці в сфері зовнішньоекономічної діяльності на 2025-2026 роки</w:t>
            </w:r>
          </w:p>
        </w:tc>
      </w:tr>
      <w:tr w:rsidR="000E06CD" w:rsidRPr="000E06CD" w14:paraId="5BB3B34A" w14:textId="77777777" w:rsidTr="00B32747">
        <w:tc>
          <w:tcPr>
            <w:tcW w:w="443" w:type="pct"/>
            <w:tcBorders>
              <w:top w:val="single" w:sz="4" w:space="0" w:color="auto"/>
              <w:left w:val="single" w:sz="4" w:space="0" w:color="auto"/>
              <w:bottom w:val="single" w:sz="4" w:space="0" w:color="auto"/>
              <w:right w:val="single" w:sz="4" w:space="0" w:color="auto"/>
            </w:tcBorders>
          </w:tcPr>
          <w:p w14:paraId="586D6479"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77B451D1" w14:textId="200C614E" w:rsidR="000E06CD" w:rsidRPr="000E06CD" w:rsidRDefault="000E06CD" w:rsidP="000E06CD">
            <w:pPr>
              <w:jc w:val="both"/>
              <w:rPr>
                <w:position w:val="-1"/>
                <w:sz w:val="24"/>
                <w:szCs w:val="24"/>
              </w:rPr>
            </w:pPr>
            <w:r w:rsidRPr="000E06CD">
              <w:rPr>
                <w:bCs/>
                <w:sz w:val="24"/>
                <w:szCs w:val="24"/>
              </w:rPr>
              <w:t>Про виконання бюджету Тернопільської міської територіальної громади за перше півріччя 2025 року</w:t>
            </w:r>
          </w:p>
        </w:tc>
      </w:tr>
      <w:tr w:rsidR="000E06CD" w:rsidRPr="000E06CD" w14:paraId="344814B7" w14:textId="77777777" w:rsidTr="00B32747">
        <w:tc>
          <w:tcPr>
            <w:tcW w:w="443" w:type="pct"/>
            <w:tcBorders>
              <w:top w:val="single" w:sz="4" w:space="0" w:color="auto"/>
              <w:left w:val="single" w:sz="4" w:space="0" w:color="auto"/>
              <w:bottom w:val="single" w:sz="4" w:space="0" w:color="auto"/>
              <w:right w:val="single" w:sz="4" w:space="0" w:color="auto"/>
            </w:tcBorders>
          </w:tcPr>
          <w:p w14:paraId="0D4796BB"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0E6E3085" w14:textId="15FDA9E2" w:rsidR="000E06CD" w:rsidRPr="000E06CD" w:rsidRDefault="000E06CD" w:rsidP="000E06CD">
            <w:pPr>
              <w:jc w:val="both"/>
              <w:rPr>
                <w:position w:val="-1"/>
                <w:sz w:val="24"/>
                <w:szCs w:val="24"/>
              </w:rPr>
            </w:pPr>
            <w:r w:rsidRPr="000E06CD">
              <w:rPr>
                <w:bCs/>
                <w:sz w:val="24"/>
                <w:szCs w:val="24"/>
              </w:rPr>
              <w:t>Про  внесення  змін  до  рішення міської  ради  від  13.12.2024 року № 8/45/37 «Про     бюджет Тернопільської міської територіальної громади  на  2025 рік»</w:t>
            </w:r>
          </w:p>
        </w:tc>
      </w:tr>
      <w:tr w:rsidR="000E06CD" w:rsidRPr="000E06CD" w14:paraId="035DBA1D" w14:textId="77777777" w:rsidTr="00B32747">
        <w:tc>
          <w:tcPr>
            <w:tcW w:w="443" w:type="pct"/>
            <w:tcBorders>
              <w:top w:val="single" w:sz="4" w:space="0" w:color="auto"/>
              <w:left w:val="single" w:sz="4" w:space="0" w:color="auto"/>
              <w:bottom w:val="single" w:sz="4" w:space="0" w:color="auto"/>
              <w:right w:val="single" w:sz="4" w:space="0" w:color="auto"/>
            </w:tcBorders>
          </w:tcPr>
          <w:p w14:paraId="2EE5C2D4"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7DA78EC" w14:textId="3F6AED96" w:rsidR="000E06CD" w:rsidRPr="000E06CD" w:rsidRDefault="000E06CD" w:rsidP="000E06CD">
            <w:pPr>
              <w:jc w:val="both"/>
              <w:rPr>
                <w:position w:val="-1"/>
                <w:sz w:val="24"/>
                <w:szCs w:val="24"/>
              </w:rPr>
            </w:pPr>
            <w:r w:rsidRPr="000E06CD">
              <w:rPr>
                <w:bCs/>
                <w:sz w:val="24"/>
                <w:szCs w:val="24"/>
              </w:rPr>
              <w:t>Про схвалення Прогнозу бюджету Тернопільської міської територіальної громади на 2026-2028 роки</w:t>
            </w:r>
          </w:p>
        </w:tc>
      </w:tr>
      <w:tr w:rsidR="008876E4" w:rsidRPr="000E06CD" w14:paraId="7EB9D21F" w14:textId="77777777" w:rsidTr="00B32747">
        <w:tc>
          <w:tcPr>
            <w:tcW w:w="443" w:type="pct"/>
            <w:tcBorders>
              <w:top w:val="single" w:sz="4" w:space="0" w:color="auto"/>
              <w:left w:val="single" w:sz="4" w:space="0" w:color="auto"/>
              <w:bottom w:val="single" w:sz="4" w:space="0" w:color="auto"/>
              <w:right w:val="single" w:sz="4" w:space="0" w:color="auto"/>
            </w:tcBorders>
          </w:tcPr>
          <w:p w14:paraId="558989FF" w14:textId="77777777" w:rsidR="008876E4" w:rsidRPr="008876E4" w:rsidRDefault="008876E4"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187FED28" w14:textId="4B7E6B48" w:rsidR="008876E4" w:rsidRPr="000E06CD" w:rsidRDefault="008876E4" w:rsidP="000E06CD">
            <w:pPr>
              <w:jc w:val="both"/>
              <w:rPr>
                <w:bCs/>
                <w:sz w:val="24"/>
                <w:szCs w:val="24"/>
              </w:rPr>
            </w:pPr>
            <w:r w:rsidRPr="000E06CD">
              <w:rPr>
                <w:bCs/>
                <w:sz w:val="24"/>
                <w:szCs w:val="24"/>
              </w:rPr>
              <w:t>Про внесення змін та доповнень до Програми розвитку фізичної культури і спорту на 2025-2027 роки</w:t>
            </w:r>
          </w:p>
        </w:tc>
      </w:tr>
      <w:tr w:rsidR="000E06CD" w:rsidRPr="000E06CD" w14:paraId="69B0A15A" w14:textId="77777777" w:rsidTr="00B32747">
        <w:tc>
          <w:tcPr>
            <w:tcW w:w="443" w:type="pct"/>
            <w:tcBorders>
              <w:top w:val="single" w:sz="4" w:space="0" w:color="auto"/>
              <w:left w:val="single" w:sz="4" w:space="0" w:color="auto"/>
              <w:bottom w:val="single" w:sz="4" w:space="0" w:color="auto"/>
              <w:right w:val="single" w:sz="4" w:space="0" w:color="auto"/>
            </w:tcBorders>
          </w:tcPr>
          <w:p w14:paraId="7F9FAA8C"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B5EAA1B" w14:textId="1F127F6B" w:rsidR="000E06CD" w:rsidRPr="000E06CD" w:rsidRDefault="000E06CD" w:rsidP="000E06CD">
            <w:pPr>
              <w:jc w:val="both"/>
              <w:rPr>
                <w:position w:val="-1"/>
                <w:sz w:val="24"/>
                <w:szCs w:val="24"/>
              </w:rPr>
            </w:pPr>
            <w:r w:rsidRPr="000E06CD">
              <w:rPr>
                <w:bCs/>
                <w:sz w:val="24"/>
                <w:szCs w:val="24"/>
              </w:rPr>
              <w:t>Про затвердження Положення «Про громадський бюджет Тернопільської міської територіальної громади в умовах воєнного стану»</w:t>
            </w:r>
          </w:p>
        </w:tc>
      </w:tr>
      <w:tr w:rsidR="000E06CD" w:rsidRPr="000E06CD" w14:paraId="123C808B" w14:textId="77777777" w:rsidTr="00B32747">
        <w:tc>
          <w:tcPr>
            <w:tcW w:w="443" w:type="pct"/>
            <w:tcBorders>
              <w:top w:val="single" w:sz="4" w:space="0" w:color="auto"/>
              <w:left w:val="single" w:sz="4" w:space="0" w:color="auto"/>
              <w:bottom w:val="single" w:sz="4" w:space="0" w:color="auto"/>
              <w:right w:val="single" w:sz="4" w:space="0" w:color="auto"/>
            </w:tcBorders>
          </w:tcPr>
          <w:p w14:paraId="77145845"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628B39FD" w14:textId="23AEE126" w:rsidR="000E06CD" w:rsidRPr="000E06CD" w:rsidRDefault="000E06CD" w:rsidP="000E06CD">
            <w:pPr>
              <w:jc w:val="both"/>
              <w:rPr>
                <w:sz w:val="24"/>
                <w:szCs w:val="24"/>
              </w:rPr>
            </w:pPr>
            <w:r w:rsidRPr="000E06CD">
              <w:rPr>
                <w:bCs/>
                <w:sz w:val="24"/>
                <w:szCs w:val="24"/>
              </w:rPr>
              <w:t>Про затвердження (ратифікацію) договору, укладеного з Європейським банком реконструкції та розвитку в межах Проєкту модернізації громадського тролейбусного транспорту у м. Тернопіль в рамках програми RLF</w:t>
            </w:r>
          </w:p>
        </w:tc>
      </w:tr>
      <w:tr w:rsidR="000E06CD" w:rsidRPr="000E06CD" w14:paraId="5D2D8A2D" w14:textId="77777777" w:rsidTr="00B32747">
        <w:tc>
          <w:tcPr>
            <w:tcW w:w="443" w:type="pct"/>
            <w:tcBorders>
              <w:top w:val="single" w:sz="4" w:space="0" w:color="auto"/>
              <w:left w:val="single" w:sz="4" w:space="0" w:color="auto"/>
              <w:bottom w:val="single" w:sz="4" w:space="0" w:color="auto"/>
              <w:right w:val="single" w:sz="4" w:space="0" w:color="auto"/>
            </w:tcBorders>
          </w:tcPr>
          <w:p w14:paraId="5D003193"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6B7AB2E2" w14:textId="07502787" w:rsidR="000E06CD" w:rsidRPr="000E06CD" w:rsidRDefault="000E06CD" w:rsidP="000E06CD">
            <w:pPr>
              <w:jc w:val="both"/>
              <w:rPr>
                <w:bCs/>
                <w:sz w:val="24"/>
                <w:szCs w:val="24"/>
              </w:rPr>
            </w:pPr>
            <w:r w:rsidRPr="000E06CD">
              <w:rPr>
                <w:bCs/>
                <w:sz w:val="24"/>
                <w:szCs w:val="24"/>
              </w:rPr>
              <w:t>Про призначення іменних стипендій Тернопільської міської ради в галузі освіти для обдарованих дітей</w:t>
            </w:r>
          </w:p>
        </w:tc>
      </w:tr>
      <w:tr w:rsidR="000E06CD" w:rsidRPr="000E06CD" w14:paraId="159CF5E1" w14:textId="77777777" w:rsidTr="00B32747">
        <w:tc>
          <w:tcPr>
            <w:tcW w:w="443" w:type="pct"/>
            <w:tcBorders>
              <w:top w:val="single" w:sz="4" w:space="0" w:color="auto"/>
              <w:left w:val="single" w:sz="4" w:space="0" w:color="auto"/>
              <w:bottom w:val="single" w:sz="4" w:space="0" w:color="auto"/>
              <w:right w:val="single" w:sz="4" w:space="0" w:color="auto"/>
            </w:tcBorders>
          </w:tcPr>
          <w:p w14:paraId="0D4BAA32"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ACD009B" w14:textId="290926DC" w:rsidR="000E06CD" w:rsidRPr="000E06CD" w:rsidRDefault="000E06CD" w:rsidP="000E06CD">
            <w:pPr>
              <w:jc w:val="both"/>
              <w:rPr>
                <w:bCs/>
                <w:sz w:val="24"/>
                <w:szCs w:val="24"/>
              </w:rPr>
            </w:pPr>
            <w:r w:rsidRPr="000E06CD">
              <w:rPr>
                <w:bCs/>
                <w:sz w:val="24"/>
                <w:szCs w:val="24"/>
              </w:rPr>
              <w:t xml:space="preserve">Про преміювання випускників закладів загальної середньої освіти Тернопільської міської ради за підсумками національного </w:t>
            </w:r>
            <w:proofErr w:type="spellStart"/>
            <w:r w:rsidRPr="000E06CD">
              <w:rPr>
                <w:bCs/>
                <w:sz w:val="24"/>
                <w:szCs w:val="24"/>
              </w:rPr>
              <w:t>мультипредметного</w:t>
            </w:r>
            <w:proofErr w:type="spellEnd"/>
            <w:r w:rsidRPr="000E06CD">
              <w:rPr>
                <w:bCs/>
                <w:sz w:val="24"/>
                <w:szCs w:val="24"/>
              </w:rPr>
              <w:t xml:space="preserve"> тесту у 2025 році</w:t>
            </w:r>
          </w:p>
        </w:tc>
      </w:tr>
      <w:tr w:rsidR="000E06CD" w:rsidRPr="000E06CD" w14:paraId="5105EDFB" w14:textId="77777777" w:rsidTr="00B32747">
        <w:tc>
          <w:tcPr>
            <w:tcW w:w="443" w:type="pct"/>
            <w:tcBorders>
              <w:top w:val="single" w:sz="4" w:space="0" w:color="auto"/>
              <w:left w:val="single" w:sz="4" w:space="0" w:color="auto"/>
              <w:bottom w:val="single" w:sz="4" w:space="0" w:color="auto"/>
              <w:right w:val="single" w:sz="4" w:space="0" w:color="auto"/>
            </w:tcBorders>
          </w:tcPr>
          <w:p w14:paraId="28DFBE6D" w14:textId="77777777" w:rsidR="000E06CD" w:rsidRPr="008876E4" w:rsidRDefault="000E06CD" w:rsidP="008876E4">
            <w:pPr>
              <w:pStyle w:val="af3"/>
              <w:numPr>
                <w:ilvl w:val="0"/>
                <w:numId w:val="10"/>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A992AA6" w14:textId="64F931BA" w:rsidR="000E06CD" w:rsidRPr="000E06CD" w:rsidRDefault="000E06CD" w:rsidP="000E06CD">
            <w:pPr>
              <w:jc w:val="both"/>
              <w:rPr>
                <w:bCs/>
                <w:sz w:val="24"/>
                <w:szCs w:val="24"/>
              </w:rPr>
            </w:pPr>
            <w:r w:rsidRPr="000E06CD">
              <w:rPr>
                <w:bCs/>
                <w:sz w:val="24"/>
                <w:szCs w:val="24"/>
              </w:rPr>
              <w:t>Про затвердження договорів про міжбюджетні трансферти на 2025 рік</w:t>
            </w:r>
          </w:p>
        </w:tc>
      </w:tr>
    </w:tbl>
    <w:p w14:paraId="2D66B5A4" w14:textId="77777777" w:rsidR="005E40E7" w:rsidRDefault="005E40E7" w:rsidP="00ED78D6">
      <w:pPr>
        <w:rPr>
          <w:sz w:val="24"/>
          <w:szCs w:val="24"/>
        </w:rPr>
      </w:pPr>
    </w:p>
    <w:p w14:paraId="151C4350" w14:textId="77777777" w:rsidR="00ED78D6" w:rsidRDefault="00ED78D6" w:rsidP="004D7500">
      <w:pPr>
        <w:jc w:val="center"/>
        <w:rPr>
          <w:sz w:val="24"/>
          <w:szCs w:val="24"/>
        </w:rPr>
      </w:pPr>
    </w:p>
    <w:sectPr w:rsidR="00ED78D6" w:rsidSect="000E06CD">
      <w:footerReference w:type="default" r:id="rId7"/>
      <w:pgSz w:w="11906" w:h="16838"/>
      <w:pgMar w:top="1418"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7CB6DE9"/>
    <w:multiLevelType w:val="hybridMultilevel"/>
    <w:tmpl w:val="B6324D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8"/>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 w:numId="10" w16cid:durableId="1949460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A6AE2"/>
    <w:rsid w:val="000B003E"/>
    <w:rsid w:val="000B0588"/>
    <w:rsid w:val="000B2DA8"/>
    <w:rsid w:val="000C0327"/>
    <w:rsid w:val="000C25A1"/>
    <w:rsid w:val="000D1481"/>
    <w:rsid w:val="000D4838"/>
    <w:rsid w:val="000E06CD"/>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3B7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8318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876E4"/>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5A76"/>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5274992">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3</cp:revision>
  <cp:lastPrinted>2025-04-22T07:20:00Z</cp:lastPrinted>
  <dcterms:created xsi:type="dcterms:W3CDTF">2025-07-21T09:07:00Z</dcterms:created>
  <dcterms:modified xsi:type="dcterms:W3CDTF">2025-07-21T09:08:00Z</dcterms:modified>
</cp:coreProperties>
</file>