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31831A7E" w14:textId="2EF62601" w:rsidR="00300443" w:rsidRPr="00FB1063" w:rsidRDefault="00FB1063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bookmarkStart w:id="0" w:name="_Hlk165279619"/>
            <w:r w:rsidRPr="00FB1063">
              <w:rPr>
                <w:rFonts w:eastAsia="Times New Roman"/>
                <w:iCs/>
                <w:sz w:val="24"/>
                <w:szCs w:val="24"/>
                <w:lang w:eastAsia="uk-UA"/>
              </w:rPr>
              <w:t>Послуги з надання доступу та дозволу на використання системи Vkursi (Економічний профайл)</w:t>
            </w:r>
            <w:r w:rsidR="000E0825" w:rsidRPr="00FB1063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</w:p>
          <w:p w14:paraId="5E94D501" w14:textId="77777777" w:rsidR="000E0825" w:rsidRPr="009130AF" w:rsidRDefault="000E0825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00E919BB" w14:textId="77777777" w:rsidR="00AE6677" w:rsidRPr="009130AF" w:rsidRDefault="00A20DFB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p w14:paraId="48264825" w14:textId="232E4975" w:rsidR="00AE6677" w:rsidRPr="00107F59" w:rsidRDefault="00FB1063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813395">
              <w:rPr>
                <w:rFonts w:eastAsia="SimSun" w:cs="Times New Roman"/>
                <w:sz w:val="24"/>
                <w:szCs w:val="24"/>
                <w:lang w:eastAsia="uk-UA"/>
              </w:rPr>
              <w:t>48610000-7: Системи баз даних</w:t>
            </w:r>
          </w:p>
          <w:bookmarkEnd w:id="0"/>
          <w:p w14:paraId="6B70925C" w14:textId="1AC555C9" w:rsidR="00D9450C" w:rsidRPr="00107F59" w:rsidRDefault="00D9450C" w:rsidP="00300443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  <w:shd w:val="clear" w:color="auto" w:fill="auto"/>
          </w:tcPr>
          <w:p w14:paraId="378FE47A" w14:textId="6B2BD4E4" w:rsidR="00516F65" w:rsidRPr="00F01959" w:rsidRDefault="005D0D89" w:rsidP="00894E12">
            <w:pPr>
              <w:rPr>
                <w:sz w:val="24"/>
                <w:szCs w:val="24"/>
              </w:rPr>
            </w:pPr>
            <w:r w:rsidRPr="005D0D89">
              <w:rPr>
                <w:sz w:val="24"/>
                <w:szCs w:val="24"/>
              </w:rPr>
              <w:t>UA-2025-10-03-011031-a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402524" w14:textId="5F6E8DE7" w:rsidR="00516F65" w:rsidRPr="009130AF" w:rsidRDefault="00F71959" w:rsidP="00063DD4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714796">
              <w:rPr>
                <w:sz w:val="24"/>
                <w:szCs w:val="24"/>
              </w:rPr>
              <w:t xml:space="preserve">Закупівля здійснюється </w:t>
            </w:r>
            <w:r>
              <w:rPr>
                <w:sz w:val="24"/>
                <w:szCs w:val="24"/>
              </w:rPr>
              <w:t>з метою доступу до єдиної системи даних та  візуалізованої аналітики про реальну економіку громади на основі даних з понад 100 джере</w:t>
            </w:r>
            <w:r w:rsidR="00063DD4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 xml:space="preserve"> та державних реєстрів для аналізу економічного розвитку громади.</w:t>
            </w:r>
            <w:r w:rsidRPr="00714796">
              <w:rPr>
                <w:sz w:val="24"/>
                <w:szCs w:val="24"/>
              </w:rPr>
              <w:t xml:space="preserve"> </w:t>
            </w:r>
            <w:r w:rsidRPr="00431B5D">
              <w:rPr>
                <w:sz w:val="24"/>
                <w:szCs w:val="24"/>
              </w:rPr>
              <w:t>Склад та характеристики послуги має відповідати технічним та якісним вимогам до цієї закупівлі. Технічні та якісні характеристики предмета закупівлі (в тому числі еквівалента) мают</w:t>
            </w:r>
            <w:bookmarkStart w:id="1" w:name="_GoBack"/>
            <w:bookmarkEnd w:id="1"/>
            <w:r w:rsidRPr="00431B5D">
              <w:rPr>
                <w:sz w:val="24"/>
                <w:szCs w:val="24"/>
              </w:rPr>
              <w:t>ь бути не гіршими за вимоги, зазначені у вимогах до тендерної документації або кращі.</w:t>
            </w:r>
            <w:r>
              <w:rPr>
                <w:sz w:val="24"/>
                <w:szCs w:val="24"/>
              </w:rPr>
              <w:t xml:space="preserve"> </w:t>
            </w:r>
            <w:r w:rsidRPr="00431B5D">
              <w:rPr>
                <w:sz w:val="24"/>
                <w:szCs w:val="24"/>
              </w:rPr>
              <w:t xml:space="preserve">Учасник повинен надати </w:t>
            </w:r>
            <w:r>
              <w:rPr>
                <w:sz w:val="24"/>
                <w:szCs w:val="24"/>
              </w:rPr>
              <w:t>документи про підтвердження власності або користування на підтвердження прав інтелектуальної власності. Д</w:t>
            </w:r>
            <w:r w:rsidRPr="00431B5D">
              <w:rPr>
                <w:sz w:val="24"/>
                <w:szCs w:val="24"/>
              </w:rPr>
              <w:t>о ціни послуг включ</w:t>
            </w:r>
            <w:r>
              <w:rPr>
                <w:sz w:val="24"/>
                <w:szCs w:val="24"/>
              </w:rPr>
              <w:t>ено</w:t>
            </w:r>
            <w:r w:rsidRPr="00431B5D">
              <w:rPr>
                <w:sz w:val="24"/>
                <w:szCs w:val="24"/>
              </w:rPr>
              <w:t xml:space="preserve"> всі витрати, які можуть бути понесені у зв’язку з виконанням договірних зобов’язань, в тому числі вартість надання послуг, а також податки, збори та всі інші витрати, що мають бути здійснені (понесені) Учасником у зв’язку з виконанням Договору.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1E3F4A98" w:rsidR="00516F65" w:rsidRPr="007044F4" w:rsidRDefault="00F71959" w:rsidP="00854FEF">
            <w:pPr>
              <w:spacing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621515">
              <w:rPr>
                <w:sz w:val="24"/>
                <w:szCs w:val="24"/>
              </w:rPr>
              <w:t>Розмір бюджетного приз</w:t>
            </w:r>
            <w:r>
              <w:rPr>
                <w:sz w:val="24"/>
                <w:szCs w:val="24"/>
              </w:rPr>
              <w:t xml:space="preserve">начення передбачений пунктом 3.1. </w:t>
            </w:r>
            <w:r w:rsidRPr="00621515">
              <w:rPr>
                <w:sz w:val="24"/>
                <w:szCs w:val="24"/>
              </w:rPr>
              <w:t>Програми інформатизації Тернопільської міської територіальної громади  на 2025-2027 роки, затверджена рішенням сесії від 13.12.2024 № 8/45/19, по КПКВК 011</w:t>
            </w:r>
            <w:r>
              <w:rPr>
                <w:sz w:val="24"/>
                <w:szCs w:val="24"/>
              </w:rPr>
              <w:t>7520</w:t>
            </w:r>
            <w:r w:rsidR="00854FEF">
              <w:rPr>
                <w:sz w:val="24"/>
                <w:szCs w:val="24"/>
              </w:rPr>
              <w:t>,</w:t>
            </w:r>
            <w:r w:rsidRPr="00621515">
              <w:rPr>
                <w:sz w:val="24"/>
                <w:szCs w:val="24"/>
              </w:rPr>
              <w:t xml:space="preserve"> КЕКВ </w:t>
            </w:r>
            <w:r>
              <w:rPr>
                <w:rFonts w:cs="Times New Roman"/>
                <w:sz w:val="24"/>
                <w:szCs w:val="24"/>
              </w:rPr>
              <w:t>2240</w:t>
            </w:r>
            <w:r w:rsidRPr="009130AF">
              <w:rPr>
                <w:rFonts w:cs="Times New Roman"/>
                <w:sz w:val="24"/>
                <w:szCs w:val="24"/>
              </w:rPr>
              <w:t xml:space="preserve">. </w:t>
            </w:r>
            <w:r w:rsidRPr="009130AF">
              <w:rPr>
                <w:sz w:val="24"/>
                <w:szCs w:val="24"/>
              </w:rPr>
              <w:t xml:space="preserve">А також, здійснення закупівель в період правового режиму воєнного стану на виконання вимог Постанови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(зі змінами та </w:t>
            </w:r>
            <w:r w:rsidRPr="009130AF">
              <w:rPr>
                <w:sz w:val="24"/>
                <w:szCs w:val="24"/>
              </w:rPr>
              <w:lastRenderedPageBreak/>
              <w:t>доповненнями), з метою задоволення вкрай важливих 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67F95C78" w:rsidR="00516F65" w:rsidRPr="009130AF" w:rsidRDefault="007044F4" w:rsidP="007044F4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300 000</w:t>
            </w:r>
            <w:r w:rsidR="00217B68">
              <w:rPr>
                <w:sz w:val="24"/>
                <w:szCs w:val="24"/>
              </w:rPr>
              <w:t>,00</w:t>
            </w:r>
            <w:r w:rsidR="00246FC3" w:rsidRPr="009130AF">
              <w:rPr>
                <w:sz w:val="24"/>
                <w:szCs w:val="24"/>
              </w:rPr>
              <w:t xml:space="preserve"> грн.</w:t>
            </w:r>
            <w:r w:rsidR="00693CAC" w:rsidRPr="009130AF">
              <w:rPr>
                <w:sz w:val="24"/>
                <w:szCs w:val="24"/>
              </w:rPr>
              <w:t xml:space="preserve"> (</w:t>
            </w:r>
            <w:r w:rsidR="004E4700">
              <w:rPr>
                <w:sz w:val="24"/>
                <w:szCs w:val="24"/>
              </w:rPr>
              <w:t>три</w:t>
            </w:r>
            <w:r>
              <w:rPr>
                <w:sz w:val="24"/>
                <w:szCs w:val="24"/>
              </w:rPr>
              <w:t>ста</w:t>
            </w:r>
            <w:r w:rsidR="00D35DE9">
              <w:rPr>
                <w:sz w:val="24"/>
                <w:szCs w:val="24"/>
              </w:rPr>
              <w:t xml:space="preserve"> </w:t>
            </w:r>
            <w:r w:rsidR="00237E37">
              <w:rPr>
                <w:sz w:val="24"/>
                <w:szCs w:val="24"/>
              </w:rPr>
              <w:t>тисяч</w:t>
            </w:r>
            <w:r w:rsidR="004E4700">
              <w:rPr>
                <w:sz w:val="24"/>
                <w:szCs w:val="24"/>
              </w:rPr>
              <w:t xml:space="preserve"> </w:t>
            </w:r>
            <w:r w:rsidR="000D5F76" w:rsidRPr="009130AF">
              <w:rPr>
                <w:sz w:val="24"/>
                <w:szCs w:val="24"/>
              </w:rPr>
              <w:t>гривень 00 копійок</w:t>
            </w:r>
            <w:r w:rsidR="00693CAC" w:rsidRPr="009130AF">
              <w:rPr>
                <w:sz w:val="24"/>
                <w:szCs w:val="24"/>
              </w:rPr>
              <w:t>)</w:t>
            </w:r>
            <w:r w:rsidR="005629DC">
              <w:rPr>
                <w:sz w:val="24"/>
                <w:szCs w:val="24"/>
              </w:rPr>
              <w:t xml:space="preserve"> (з ПДВ)</w:t>
            </w:r>
            <w:r w:rsidR="00516F65" w:rsidRPr="009130AF">
              <w:rPr>
                <w:sz w:val="24"/>
                <w:szCs w:val="24"/>
              </w:rPr>
              <w:t>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076C0058" w:rsidR="00516F65" w:rsidRPr="009130AF" w:rsidRDefault="0029629A" w:rsidP="00ED127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прайс-листах, в електронній системі закупівель "Prozorro"</w:t>
            </w:r>
            <w:r w:rsidR="00ED1279">
              <w:rPr>
                <w:sz w:val="24"/>
                <w:szCs w:val="24"/>
                <w:shd w:val="clear" w:color="auto" w:fill="FFFFFF"/>
              </w:rPr>
              <w:t>)</w:t>
            </w:r>
            <w:r w:rsidRPr="009130AF">
              <w:rPr>
                <w:sz w:val="24"/>
                <w:szCs w:val="24"/>
              </w:rPr>
              <w:t xml:space="preserve">, </w:t>
            </w:r>
            <w:r w:rsidR="00ED1279">
              <w:rPr>
                <w:sz w:val="24"/>
                <w:szCs w:val="24"/>
              </w:rPr>
              <w:t xml:space="preserve">аналіз </w:t>
            </w:r>
            <w:r w:rsidR="0000796D" w:rsidRPr="009130AF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9130AF">
              <w:rPr>
                <w:sz w:val="24"/>
                <w:szCs w:val="24"/>
              </w:rPr>
              <w:t>в електронній системі закупівель «</w:t>
            </w:r>
            <w:r w:rsidR="00424EA6" w:rsidRPr="009130AF">
              <w:rPr>
                <w:sz w:val="24"/>
                <w:szCs w:val="24"/>
                <w:shd w:val="clear" w:color="auto" w:fill="FFFFFF"/>
              </w:rPr>
              <w:t>Prozorro</w:t>
            </w:r>
            <w:r w:rsidRPr="009130AF">
              <w:rPr>
                <w:sz w:val="24"/>
                <w:szCs w:val="24"/>
              </w:rPr>
              <w:t>»</w:t>
            </w:r>
            <w:r w:rsidR="003C64BB">
              <w:rPr>
                <w:sz w:val="24"/>
                <w:szCs w:val="24"/>
              </w:rPr>
              <w:t xml:space="preserve">, </w:t>
            </w:r>
            <w:r w:rsidR="00ED1279">
              <w:rPr>
                <w:sz w:val="24"/>
                <w:szCs w:val="24"/>
              </w:rPr>
              <w:t xml:space="preserve">а також аналіз </w:t>
            </w:r>
            <w:r w:rsidR="003C64BB" w:rsidRPr="003C64BB">
              <w:rPr>
                <w:sz w:val="24"/>
                <w:szCs w:val="24"/>
              </w:rPr>
              <w:t>інформаці</w:t>
            </w:r>
            <w:r w:rsidR="00ED1279">
              <w:rPr>
                <w:sz w:val="24"/>
                <w:szCs w:val="24"/>
              </w:rPr>
              <w:t>ї</w:t>
            </w:r>
            <w:r w:rsidR="003C64BB" w:rsidRPr="003C64BB">
              <w:rPr>
                <w:sz w:val="24"/>
                <w:szCs w:val="24"/>
              </w:rPr>
              <w:t>, отриман</w:t>
            </w:r>
            <w:r w:rsidR="00ED1279">
              <w:rPr>
                <w:sz w:val="24"/>
                <w:szCs w:val="24"/>
              </w:rPr>
              <w:t>ої</w:t>
            </w:r>
            <w:r w:rsidR="003C64BB" w:rsidRPr="003C64BB">
              <w:rPr>
                <w:sz w:val="24"/>
                <w:szCs w:val="24"/>
              </w:rPr>
              <w:t xml:space="preserve"> шляхом проведення ринкових консультацій</w:t>
            </w:r>
            <w:r w:rsidR="00ED1279">
              <w:rPr>
                <w:sz w:val="24"/>
                <w:szCs w:val="24"/>
              </w:rPr>
              <w:t xml:space="preserve"> з</w:t>
            </w:r>
            <w:r w:rsidR="003C64BB" w:rsidRPr="003C64BB">
              <w:rPr>
                <w:sz w:val="24"/>
                <w:szCs w:val="24"/>
              </w:rPr>
              <w:t xml:space="preserve"> </w:t>
            </w:r>
            <w:r w:rsidR="00ED1279">
              <w:rPr>
                <w:sz w:val="24"/>
                <w:szCs w:val="24"/>
              </w:rPr>
              <w:t>метою отримання акту</w:t>
            </w:r>
            <w:r w:rsidR="003C64BB" w:rsidRPr="003C64BB">
              <w:rPr>
                <w:sz w:val="24"/>
                <w:szCs w:val="24"/>
              </w:rPr>
              <w:t>альної інформації</w:t>
            </w:r>
            <w:r w:rsidRPr="009130AF">
              <w:rPr>
                <w:sz w:val="24"/>
                <w:szCs w:val="24"/>
              </w:rPr>
              <w:t xml:space="preserve"> тощо</w:t>
            </w:r>
            <w:r w:rsidR="00BE7953" w:rsidRPr="009130AF">
              <w:rPr>
                <w:sz w:val="24"/>
                <w:szCs w:val="24"/>
              </w:rPr>
              <w:t>.</w:t>
            </w:r>
            <w:r w:rsidR="00135DD7"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412E05" w14:textId="77777777" w:rsidR="00DA613A" w:rsidRDefault="00DA613A" w:rsidP="003F52D9">
      <w:pPr>
        <w:spacing w:after="0" w:line="240" w:lineRule="auto"/>
      </w:pPr>
      <w:r>
        <w:separator/>
      </w:r>
    </w:p>
  </w:endnote>
  <w:endnote w:type="continuationSeparator" w:id="0">
    <w:p w14:paraId="562A342D" w14:textId="77777777" w:rsidR="00DA613A" w:rsidRDefault="00DA613A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CF0F06" w14:textId="77777777" w:rsidR="00DA613A" w:rsidRDefault="00DA613A" w:rsidP="003F52D9">
      <w:pPr>
        <w:spacing w:after="0" w:line="240" w:lineRule="auto"/>
      </w:pPr>
      <w:r>
        <w:separator/>
      </w:r>
    </w:p>
  </w:footnote>
  <w:footnote w:type="continuationSeparator" w:id="0">
    <w:p w14:paraId="230CE5AE" w14:textId="77777777" w:rsidR="00DA613A" w:rsidRDefault="00DA613A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2402B"/>
    <w:rsid w:val="00031913"/>
    <w:rsid w:val="00032992"/>
    <w:rsid w:val="0003322F"/>
    <w:rsid w:val="00035C50"/>
    <w:rsid w:val="00037DED"/>
    <w:rsid w:val="000402DD"/>
    <w:rsid w:val="00040F1F"/>
    <w:rsid w:val="000421A2"/>
    <w:rsid w:val="000456FB"/>
    <w:rsid w:val="00046EBE"/>
    <w:rsid w:val="00047CE8"/>
    <w:rsid w:val="00055885"/>
    <w:rsid w:val="00055D2C"/>
    <w:rsid w:val="00060BB4"/>
    <w:rsid w:val="00063DD4"/>
    <w:rsid w:val="000660B2"/>
    <w:rsid w:val="000661FA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0825"/>
    <w:rsid w:val="000E3855"/>
    <w:rsid w:val="000E6295"/>
    <w:rsid w:val="000E67A1"/>
    <w:rsid w:val="000F05DC"/>
    <w:rsid w:val="000F1194"/>
    <w:rsid w:val="000F1CB2"/>
    <w:rsid w:val="000F1DCB"/>
    <w:rsid w:val="000F21F3"/>
    <w:rsid w:val="000F542B"/>
    <w:rsid w:val="000F5A32"/>
    <w:rsid w:val="00102EE6"/>
    <w:rsid w:val="00107F59"/>
    <w:rsid w:val="00110A85"/>
    <w:rsid w:val="001152BD"/>
    <w:rsid w:val="0011655A"/>
    <w:rsid w:val="0011711D"/>
    <w:rsid w:val="00135D1A"/>
    <w:rsid w:val="00135DD7"/>
    <w:rsid w:val="001415C7"/>
    <w:rsid w:val="00143A51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B68"/>
    <w:rsid w:val="00217FA6"/>
    <w:rsid w:val="00220D5A"/>
    <w:rsid w:val="00223939"/>
    <w:rsid w:val="002241F5"/>
    <w:rsid w:val="00224B24"/>
    <w:rsid w:val="00231C97"/>
    <w:rsid w:val="0023564C"/>
    <w:rsid w:val="00237E37"/>
    <w:rsid w:val="00237E7D"/>
    <w:rsid w:val="002400BE"/>
    <w:rsid w:val="00242D4A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3CB7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5562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92545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64BB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3A9C"/>
    <w:rsid w:val="004C499E"/>
    <w:rsid w:val="004C555A"/>
    <w:rsid w:val="004C62AF"/>
    <w:rsid w:val="004C6EDC"/>
    <w:rsid w:val="004D0AE7"/>
    <w:rsid w:val="004D2B47"/>
    <w:rsid w:val="004E0820"/>
    <w:rsid w:val="004E31C0"/>
    <w:rsid w:val="004E470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76321"/>
    <w:rsid w:val="0057652C"/>
    <w:rsid w:val="005771C0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07C9"/>
    <w:rsid w:val="005D0D89"/>
    <w:rsid w:val="005D344D"/>
    <w:rsid w:val="005E1786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721A"/>
    <w:rsid w:val="006A72F3"/>
    <w:rsid w:val="006A774B"/>
    <w:rsid w:val="006B0069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35DA"/>
    <w:rsid w:val="006F40E2"/>
    <w:rsid w:val="006F458F"/>
    <w:rsid w:val="006F66E2"/>
    <w:rsid w:val="006F6FA3"/>
    <w:rsid w:val="007001FA"/>
    <w:rsid w:val="00700F0F"/>
    <w:rsid w:val="007044F4"/>
    <w:rsid w:val="0070748E"/>
    <w:rsid w:val="00710508"/>
    <w:rsid w:val="007129C1"/>
    <w:rsid w:val="00714DE6"/>
    <w:rsid w:val="00716A14"/>
    <w:rsid w:val="0072417D"/>
    <w:rsid w:val="00727AA0"/>
    <w:rsid w:val="00730A5E"/>
    <w:rsid w:val="007312E5"/>
    <w:rsid w:val="00731D17"/>
    <w:rsid w:val="00732C88"/>
    <w:rsid w:val="00735C2E"/>
    <w:rsid w:val="00736130"/>
    <w:rsid w:val="007361DE"/>
    <w:rsid w:val="00737C63"/>
    <w:rsid w:val="007400AC"/>
    <w:rsid w:val="00741D1A"/>
    <w:rsid w:val="00742141"/>
    <w:rsid w:val="00746AD0"/>
    <w:rsid w:val="00752043"/>
    <w:rsid w:val="00752E42"/>
    <w:rsid w:val="00754E59"/>
    <w:rsid w:val="00755353"/>
    <w:rsid w:val="00755730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4FEF"/>
    <w:rsid w:val="008557FD"/>
    <w:rsid w:val="008659C3"/>
    <w:rsid w:val="00870E69"/>
    <w:rsid w:val="0087215E"/>
    <w:rsid w:val="008725E3"/>
    <w:rsid w:val="0087342A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C32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071BE"/>
    <w:rsid w:val="0091133A"/>
    <w:rsid w:val="0091206C"/>
    <w:rsid w:val="00912264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610D"/>
    <w:rsid w:val="00957177"/>
    <w:rsid w:val="00964609"/>
    <w:rsid w:val="00965416"/>
    <w:rsid w:val="00970646"/>
    <w:rsid w:val="00970827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D0D00"/>
    <w:rsid w:val="009D308D"/>
    <w:rsid w:val="009D53D0"/>
    <w:rsid w:val="009E4B7B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801C1"/>
    <w:rsid w:val="00A845F0"/>
    <w:rsid w:val="00A852D4"/>
    <w:rsid w:val="00A85318"/>
    <w:rsid w:val="00A95DFA"/>
    <w:rsid w:val="00AA2155"/>
    <w:rsid w:val="00AA2433"/>
    <w:rsid w:val="00AA4B6E"/>
    <w:rsid w:val="00AB18C5"/>
    <w:rsid w:val="00AB3EFD"/>
    <w:rsid w:val="00AB4F3D"/>
    <w:rsid w:val="00AB6208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2209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644C"/>
    <w:rsid w:val="00C567CE"/>
    <w:rsid w:val="00C63804"/>
    <w:rsid w:val="00C63ADC"/>
    <w:rsid w:val="00C655B0"/>
    <w:rsid w:val="00C671B0"/>
    <w:rsid w:val="00C7129C"/>
    <w:rsid w:val="00C80D51"/>
    <w:rsid w:val="00C82CD9"/>
    <w:rsid w:val="00C83D21"/>
    <w:rsid w:val="00C92179"/>
    <w:rsid w:val="00C93B87"/>
    <w:rsid w:val="00CA1223"/>
    <w:rsid w:val="00CA34BF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6D8C"/>
    <w:rsid w:val="00CD71EF"/>
    <w:rsid w:val="00CD7D62"/>
    <w:rsid w:val="00CE4580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0D"/>
    <w:rsid w:val="00D3161D"/>
    <w:rsid w:val="00D32529"/>
    <w:rsid w:val="00D35900"/>
    <w:rsid w:val="00D35DE9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450C"/>
    <w:rsid w:val="00D9498C"/>
    <w:rsid w:val="00D95A4C"/>
    <w:rsid w:val="00D961AE"/>
    <w:rsid w:val="00DA0F8E"/>
    <w:rsid w:val="00DA1AEB"/>
    <w:rsid w:val="00DA2531"/>
    <w:rsid w:val="00DA5B00"/>
    <w:rsid w:val="00DA613A"/>
    <w:rsid w:val="00DA6CCF"/>
    <w:rsid w:val="00DA7C4A"/>
    <w:rsid w:val="00DB0053"/>
    <w:rsid w:val="00DB01AF"/>
    <w:rsid w:val="00DB1E58"/>
    <w:rsid w:val="00DB45B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576F"/>
    <w:rsid w:val="00E567BB"/>
    <w:rsid w:val="00E64889"/>
    <w:rsid w:val="00E6646E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63FD"/>
    <w:rsid w:val="00EB7F15"/>
    <w:rsid w:val="00EC53D2"/>
    <w:rsid w:val="00EC62D0"/>
    <w:rsid w:val="00EC7D95"/>
    <w:rsid w:val="00ED0784"/>
    <w:rsid w:val="00ED1279"/>
    <w:rsid w:val="00ED13B0"/>
    <w:rsid w:val="00ED234E"/>
    <w:rsid w:val="00ED282E"/>
    <w:rsid w:val="00ED553D"/>
    <w:rsid w:val="00ED563D"/>
    <w:rsid w:val="00EE04C4"/>
    <w:rsid w:val="00EE36F9"/>
    <w:rsid w:val="00EE4A3D"/>
    <w:rsid w:val="00EE715B"/>
    <w:rsid w:val="00EF0462"/>
    <w:rsid w:val="00EF3E8D"/>
    <w:rsid w:val="00EF47DA"/>
    <w:rsid w:val="00EF518A"/>
    <w:rsid w:val="00F013A4"/>
    <w:rsid w:val="00F014BA"/>
    <w:rsid w:val="00F01577"/>
    <w:rsid w:val="00F01959"/>
    <w:rsid w:val="00F03624"/>
    <w:rsid w:val="00F037A7"/>
    <w:rsid w:val="00F03EE2"/>
    <w:rsid w:val="00F0713A"/>
    <w:rsid w:val="00F20EEC"/>
    <w:rsid w:val="00F2127C"/>
    <w:rsid w:val="00F22DD5"/>
    <w:rsid w:val="00F2392A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1959"/>
    <w:rsid w:val="00F74506"/>
    <w:rsid w:val="00F7450E"/>
    <w:rsid w:val="00F86393"/>
    <w:rsid w:val="00F864D6"/>
    <w:rsid w:val="00F94F9E"/>
    <w:rsid w:val="00F967F1"/>
    <w:rsid w:val="00FA1C24"/>
    <w:rsid w:val="00FA5647"/>
    <w:rsid w:val="00FA5B0F"/>
    <w:rsid w:val="00FB06F7"/>
    <w:rsid w:val="00FB09C3"/>
    <w:rsid w:val="00FB1063"/>
    <w:rsid w:val="00FB15F4"/>
    <w:rsid w:val="00FB1D1F"/>
    <w:rsid w:val="00FB36A1"/>
    <w:rsid w:val="00FB49B4"/>
    <w:rsid w:val="00FB6B3C"/>
    <w:rsid w:val="00FC22D8"/>
    <w:rsid w:val="00FC4C40"/>
    <w:rsid w:val="00FC4DA2"/>
    <w:rsid w:val="00FC6648"/>
    <w:rsid w:val="00FD0FBE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3726F-8D37-4014-883B-1A6BB2FF5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2789</Words>
  <Characters>1590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d32-shevchuk</cp:lastModifiedBy>
  <cp:revision>105</cp:revision>
  <cp:lastPrinted>2023-05-30T12:51:00Z</cp:lastPrinted>
  <dcterms:created xsi:type="dcterms:W3CDTF">2024-04-30T08:20:00Z</dcterms:created>
  <dcterms:modified xsi:type="dcterms:W3CDTF">2025-10-03T14:17:00Z</dcterms:modified>
</cp:coreProperties>
</file>